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rPr>
          <w:rFonts w:ascii="Calibri" w:hAnsi="Calibri"/>
          <w:b/>
          <w:color w:val="2E74B5"/>
          <w:sz w:val="20"/>
        </w:rPr>
        <w:t>IMPLEMENTATION &amp; VERIFICATION GUIDE</w:t>
      </w:r>
    </w:p>
    <w:p>
      <w:pPr>
        <w:spacing w:after="240"/>
        <w:jc w:val="center"/>
      </w:pPr>
      <w:r>
        <w:rPr>
          <w:rFonts w:ascii="Calibri" w:hAnsi="Calibri"/>
          <w:b/>
          <w:color w:val="0B2545"/>
          <w:sz w:val="60"/>
        </w:rPr>
        <w:t>Rwanda HIE Integration</w:t>
      </w:r>
    </w:p>
    <w:p>
      <w:pPr>
        <w:spacing w:after="640"/>
        <w:jc w:val="center"/>
      </w:pPr>
      <w:r>
        <w:rPr>
          <w:rFonts w:ascii="Calibri" w:hAnsi="Calibri"/>
          <w:color w:val="1F4D78"/>
          <w:sz w:val="30"/>
        </w:rPr>
        <w:t>CareLogic backend + web frontend</w:t>
      </w:r>
    </w:p>
    <w:p>
      <w:pPr>
        <w:spacing w:after="600"/>
        <w:jc w:val="center"/>
      </w:pPr>
      <w:r>
        <w:rPr>
          <w:rFonts w:ascii="Calibri" w:hAnsi="Calibri"/>
          <w:color w:val="2E74B5"/>
          <w:sz w:val="18"/>
        </w:rPr>
        <w:t>━━━━━━━━━━━━━━━━━━━━━━━━━━━━━━━━━━━━</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vAlign w:val="center"/>
            <w:shd w:fill="F2F4F7"/>
          </w:tcPr>
          <w:p>
            <w:r/>
            <w:r>
              <w:rPr>
                <w:rFonts w:ascii="Calibri" w:hAnsi="Calibri"/>
                <w:b/>
                <w:color w:val="667085"/>
                <w:sz w:val="17"/>
              </w:rPr>
              <w:t>SNAPSHOT</w:t>
            </w:r>
          </w:p>
        </w:tc>
        <w:tc>
          <w:tcPr>
            <w:tcW w:type="dxa" w:w="7560"/>
            <w:tcMar>
              <w:top w:w="80" w:type="dxa"/>
              <w:start w:w="120" w:type="dxa"/>
              <w:bottom w:w="80" w:type="dxa"/>
              <w:end w:w="120" w:type="dxa"/>
            </w:tcMar>
            <w:vAlign w:val="center"/>
          </w:tcPr>
          <w:p>
            <w:r/>
            <w:r>
              <w:rPr>
                <w:rFonts w:ascii="Calibri" w:hAnsi="Calibri"/>
                <w:color w:val="0B2545"/>
                <w:sz w:val="21"/>
              </w:rPr>
              <w:t>12 August 2026 · Africa/Kigali</w:t>
            </w:r>
          </w:p>
        </w:tc>
      </w:tr>
      <w:tr>
        <w:tc>
          <w:tcPr>
            <w:tcW w:type="dxa" w:w="1800"/>
            <w:tcMar>
              <w:top w:w="80" w:type="dxa"/>
              <w:start w:w="120" w:type="dxa"/>
              <w:bottom w:w="80" w:type="dxa"/>
              <w:end w:w="120" w:type="dxa"/>
            </w:tcMar>
            <w:vAlign w:val="center"/>
            <w:shd w:fill="F2F4F7"/>
          </w:tcPr>
          <w:p>
            <w:r/>
            <w:r>
              <w:rPr>
                <w:rFonts w:ascii="Calibri" w:hAnsi="Calibri"/>
                <w:b/>
                <w:color w:val="667085"/>
                <w:sz w:val="17"/>
              </w:rPr>
              <w:t>BACKEND</w:t>
            </w:r>
          </w:p>
        </w:tc>
        <w:tc>
          <w:tcPr>
            <w:tcW w:type="dxa" w:w="7560"/>
            <w:tcMar>
              <w:top w:w="80" w:type="dxa"/>
              <w:start w:w="120" w:type="dxa"/>
              <w:bottom w:w="80" w:type="dxa"/>
              <w:end w:w="120" w:type="dxa"/>
            </w:tcMar>
            <w:vAlign w:val="center"/>
          </w:tcPr>
          <w:p>
            <w:r/>
            <w:r>
              <w:rPr>
                <w:rFonts w:ascii="Calibri" w:hAnsi="Calibri"/>
                <w:color w:val="0B2545"/>
                <w:sz w:val="21"/>
              </w:rPr>
              <w:t>19ffbc1 · fixes based on review</w:t>
            </w:r>
          </w:p>
        </w:tc>
      </w:tr>
      <w:tr>
        <w:tc>
          <w:tcPr>
            <w:tcW w:type="dxa" w:w="1800"/>
            <w:tcMar>
              <w:top w:w="80" w:type="dxa"/>
              <w:start w:w="120" w:type="dxa"/>
              <w:bottom w:w="80" w:type="dxa"/>
              <w:end w:w="120" w:type="dxa"/>
            </w:tcMar>
            <w:vAlign w:val="center"/>
            <w:shd w:fill="F2F4F7"/>
          </w:tcPr>
          <w:p>
            <w:r/>
            <w:r>
              <w:rPr>
                <w:rFonts w:ascii="Calibri" w:hAnsi="Calibri"/>
                <w:b/>
                <w:color w:val="667085"/>
                <w:sz w:val="17"/>
              </w:rPr>
              <w:t>CONTRACT</w:t>
            </w:r>
          </w:p>
        </w:tc>
        <w:tc>
          <w:tcPr>
            <w:tcW w:type="dxa" w:w="7560"/>
            <w:tcMar>
              <w:top w:w="80" w:type="dxa"/>
              <w:start w:w="120" w:type="dxa"/>
              <w:bottom w:w="80" w:type="dxa"/>
              <w:end w:w="120" w:type="dxa"/>
            </w:tcMar>
            <w:vAlign w:val="center"/>
          </w:tcPr>
          <w:p>
            <w:r/>
            <w:r>
              <w:rPr>
                <w:rFonts w:ascii="Calibri" w:hAnsi="Calibri"/>
                <w:color w:val="0B2545"/>
                <w:sz w:val="21"/>
              </w:rPr>
              <w:t>RHIE FHIR R4 · 2026-08-11 pinned Swagger</w:t>
            </w:r>
          </w:p>
        </w:tc>
      </w:tr>
      <w:tr>
        <w:tc>
          <w:tcPr>
            <w:tcW w:type="dxa" w:w="1800"/>
            <w:tcMar>
              <w:top w:w="80" w:type="dxa"/>
              <w:start w:w="120" w:type="dxa"/>
              <w:bottom w:w="80" w:type="dxa"/>
              <w:end w:w="120" w:type="dxa"/>
            </w:tcMar>
            <w:vAlign w:val="center"/>
            <w:shd w:fill="F2F4F7"/>
          </w:tcPr>
          <w:p>
            <w:r/>
            <w:r>
              <w:rPr>
                <w:rFonts w:ascii="Calibri" w:hAnsi="Calibri"/>
                <w:b/>
                <w:color w:val="667085"/>
                <w:sz w:val="17"/>
              </w:rPr>
              <w:t>AUDIENCE</w:t>
            </w:r>
          </w:p>
        </w:tc>
        <w:tc>
          <w:tcPr>
            <w:tcW w:type="dxa" w:w="7560"/>
            <w:tcMar>
              <w:top w:w="80" w:type="dxa"/>
              <w:start w:w="120" w:type="dxa"/>
              <w:bottom w:w="80" w:type="dxa"/>
              <w:end w:w="120" w:type="dxa"/>
            </w:tcMar>
            <w:vAlign w:val="center"/>
          </w:tcPr>
          <w:p>
            <w:r/>
            <w:r>
              <w:rPr>
                <w:rFonts w:ascii="Calibri" w:hAnsi="Calibri"/>
                <w:color w:val="0B2545"/>
                <w:sz w:val="21"/>
              </w:rPr>
              <w:t>Engineering · QA · Operations · Compliance</w:t>
            </w:r>
          </w:p>
        </w:tc>
      </w:tr>
    </w:tbl>
    <w:p>
      <w:pPr>
        <w:spacing w:before="720"/>
        <w:jc w:val="center"/>
      </w:pPr>
      <w:r>
        <w:rPr>
          <w:rFonts w:ascii="Calibri" w:hAnsi="Calibri"/>
          <w:i/>
          <w:color w:val="667085"/>
          <w:sz w:val="21"/>
        </w:rPr>
        <w:t>Code-complete against the pinned contract; production activation remains externally and operationally gated.</w:t>
      </w:r>
    </w:p>
    <w:p>
      <w:r>
        <w:br w:type="page"/>
      </w:r>
    </w:p>
    <w:p>
      <w:pPr>
        <w:pStyle w:val="Heading1"/>
      </w:pPr>
      <w:r>
        <w:t>Guide map</w:t>
      </w:r>
    </w:p>
    <w:p>
      <w:r>
        <w:rPr>
          <w:rFonts w:ascii="Calibri" w:hAnsi="Calibri"/>
          <w:color w:val="222222"/>
          <w:sz w:val="21"/>
        </w:rPr>
        <w:t>Use this page to jump to the part of the implementation you need. Word can also build a dynamic table of contents from the real heading styles in this file.</w:t>
      </w:r>
    </w:p>
    <w:p>
      <w:pPr>
        <w:numPr>
          <w:ilvl w:val="0"/>
          <w:numId w:val="10"/>
        </w:numPr>
      </w:pPr>
      <w:r>
        <w:rPr>
          <w:rFonts w:ascii="Calibri" w:hAnsi="Calibri"/>
          <w:color w:val="222222"/>
          <w:sz w:val="21"/>
        </w:rPr>
        <w:t>Purpose, scope, and process placement</w:t>
      </w:r>
    </w:p>
    <w:p>
      <w:pPr>
        <w:numPr>
          <w:ilvl w:val="0"/>
          <w:numId w:val="10"/>
        </w:numPr>
      </w:pPr>
      <w:r>
        <w:rPr>
          <w:rFonts w:ascii="Calibri" w:hAnsi="Calibri"/>
          <w:color w:val="222222"/>
          <w:sz w:val="21"/>
        </w:rPr>
        <w:t>Runtime architecture and durable publication</w:t>
      </w:r>
    </w:p>
    <w:p>
      <w:pPr>
        <w:numPr>
          <w:ilvl w:val="0"/>
          <w:numId w:val="10"/>
        </w:numPr>
      </w:pPr>
      <w:r>
        <w:rPr>
          <w:rFonts w:ascii="Calibri" w:hAnsi="Calibri"/>
          <w:color w:val="222222"/>
          <w:sz w:val="21"/>
        </w:rPr>
        <w:t>Safety, privacy, tenancy, and authorization</w:t>
      </w:r>
    </w:p>
    <w:p>
      <w:pPr>
        <w:numPr>
          <w:ilvl w:val="0"/>
          <w:numId w:val="10"/>
        </w:numPr>
      </w:pPr>
      <w:r>
        <w:rPr>
          <w:rFonts w:ascii="Calibri" w:hAnsi="Calibri"/>
          <w:color w:val="222222"/>
          <w:sz w:val="21"/>
        </w:rPr>
        <w:t>Implemented workflows</w:t>
      </w:r>
    </w:p>
    <w:p>
      <w:pPr>
        <w:numPr>
          <w:ilvl w:val="0"/>
          <w:numId w:val="10"/>
        </w:numPr>
      </w:pPr>
      <w:r>
        <w:rPr>
          <w:rFonts w:ascii="Calibri" w:hAnsi="Calibri"/>
          <w:color w:val="222222"/>
          <w:sz w:val="21"/>
        </w:rPr>
        <w:t>Data model and API inventory</w:t>
      </w:r>
    </w:p>
    <w:p>
      <w:pPr>
        <w:numPr>
          <w:ilvl w:val="0"/>
          <w:numId w:val="10"/>
        </w:numPr>
      </w:pPr>
      <w:r>
        <w:rPr>
          <w:rFonts w:ascii="Calibri" w:hAnsi="Calibri"/>
          <w:color w:val="222222"/>
          <w:sz w:val="21"/>
        </w:rPr>
        <w:t>Key files and code patterns</w:t>
      </w:r>
    </w:p>
    <w:p>
      <w:pPr>
        <w:numPr>
          <w:ilvl w:val="0"/>
          <w:numId w:val="10"/>
        </w:numPr>
      </w:pPr>
      <w:r>
        <w:rPr>
          <w:rFonts w:ascii="Calibri" w:hAnsi="Calibri"/>
          <w:color w:val="222222"/>
          <w:sz w:val="21"/>
        </w:rPr>
        <w:t>Dependencies and configuration</w:t>
      </w:r>
    </w:p>
    <w:p>
      <w:pPr>
        <w:numPr>
          <w:ilvl w:val="0"/>
          <w:numId w:val="10"/>
        </w:numPr>
      </w:pPr>
      <w:r>
        <w:rPr>
          <w:rFonts w:ascii="Calibri" w:hAnsi="Calibri"/>
          <w:color w:val="222222"/>
          <w:sz w:val="21"/>
        </w:rPr>
        <w:t>Functional test runbook</w:t>
      </w:r>
    </w:p>
    <w:p>
      <w:pPr>
        <w:numPr>
          <w:ilvl w:val="0"/>
          <w:numId w:val="10"/>
        </w:numPr>
      </w:pPr>
      <w:r>
        <w:rPr>
          <w:rFonts w:ascii="Calibri" w:hAnsi="Calibri"/>
          <w:color w:val="222222"/>
          <w:sz w:val="21"/>
        </w:rPr>
        <w:t>Limitations, follow-up, and troubleshooting</w:t>
      </w:r>
    </w:p>
    <w:p>
      <w:r>
        <w:br w:type="page"/>
      </w:r>
    </w:p>
    <w:p>
      <w:pPr>
        <w:spacing w:before="100" w:after="160"/>
        <w:ind w:left="317" w:right="173"/>
        <w:shd w:fill="E8EEF5"/>
      </w:pPr>
      <w:r>
        <w:rPr>
          <w:rFonts w:ascii="Calibri" w:hAnsi="Calibri"/>
          <w:b/>
          <w:color w:val="1F4D78"/>
          <w:sz w:val="21"/>
        </w:rPr>
        <w:t>Status in one sentence:</w:t>
      </w:r>
      <w:r>
        <w:rPr>
          <w:rFonts w:ascii="Calibri" w:hAnsi="Calibri"/>
          <w:color w:val="1F4D78"/>
          <w:sz w:val="21"/>
        </w:rPr>
        <w:t xml:space="preserve"> the implementation is code-complete for the pinned RHIE FHIR R4 contract surface described here, but every tenant capability is disabled by default and production activation still depends on MoH confirmation, operational approvals, secure connectivity, verified national mappings, and a completed rollout process.</w:t>
      </w:r>
    </w:p>
    <w:p>
      <w:pPr>
        <w:pStyle w:val="Heading2"/>
      </w:pPr>
      <w:r>
        <w:t>1. Purpose and scope</w:t>
      </w:r>
    </w:p>
    <w:p>
      <w:r>
        <w:rPr>
          <w:rFonts w:ascii="Calibri" w:hAnsi="Calibri"/>
          <w:color w:val="222222"/>
          <w:sz w:val="21"/>
        </w:rPr>
        <w:t>CareLogic integrates with the Rwanda Health Information Exchange (RHIE) through the backend. The integration covers:</w:t>
      </w:r>
    </w:p>
    <w:p>
      <w:pPr>
        <w:numPr>
          <w:ilvl w:val="0"/>
          <w:numId w:val="10"/>
        </w:numPr>
      </w:pPr>
      <w:r>
        <w:rPr>
          <w:rFonts w:ascii="Calibri" w:hAnsi="Calibri"/>
          <w:color w:val="222222"/>
          <w:sz w:val="21"/>
        </w:rPr>
        <w:t>national patient identity lookup, human-reviewed linking, deferred/offline verification, retry, and duplicate/conflict resolution;</w:t>
      </w:r>
    </w:p>
    <w:p>
      <w:pPr>
        <w:numPr>
          <w:ilvl w:val="0"/>
          <w:numId w:val="10"/>
        </w:numPr>
      </w:pPr>
      <w:r>
        <w:rPr>
          <w:rFonts w:ascii="Calibri" w:hAnsi="Calibri"/>
          <w:color w:val="222222"/>
          <w:sz w:val="21"/>
        </w:rPr>
        <w:t>local sharing consent with asynchronous RHIE synchronization and withdrawal;</w:t>
      </w:r>
    </w:p>
    <w:p>
      <w:pPr>
        <w:numPr>
          <w:ilvl w:val="0"/>
          <w:numId w:val="10"/>
        </w:numPr>
      </w:pPr>
      <w:r>
        <w:rPr>
          <w:rFonts w:ascii="Calibri" w:hAnsi="Calibri"/>
          <w:color w:val="222222"/>
          <w:sz w:val="21"/>
        </w:rPr>
        <w:t>read-only retrieval of an International Patient Summary (IPS) and a sectioned national record;</w:t>
      </w:r>
    </w:p>
    <w:p>
      <w:pPr>
        <w:numPr>
          <w:ilvl w:val="0"/>
          <w:numId w:val="10"/>
        </w:numPr>
      </w:pPr>
      <w:r>
        <w:rPr>
          <w:rFonts w:ascii="Calibri" w:hAnsi="Calibri"/>
          <w:color w:val="222222"/>
          <w:sz w:val="21"/>
        </w:rPr>
        <w:t>audited emergency “break glass” national-record access;</w:t>
      </w:r>
    </w:p>
    <w:p>
      <w:pPr>
        <w:numPr>
          <w:ilvl w:val="0"/>
          <w:numId w:val="10"/>
        </w:numPr>
      </w:pPr>
      <w:r>
        <w:rPr>
          <w:rFonts w:ascii="Calibri" w:hAnsi="Calibri"/>
          <w:color w:val="222222"/>
          <w:sz w:val="21"/>
        </w:rPr>
        <w:t>publication of finalized encounters and coded clinical resources through a durable outbox;</w:t>
      </w:r>
    </w:p>
    <w:p>
      <w:pPr>
        <w:numPr>
          <w:ilvl w:val="0"/>
          <w:numId w:val="10"/>
        </w:numPr>
      </w:pPr>
      <w:r>
        <w:rPr>
          <w:rFonts w:ascii="Calibri" w:hAnsi="Calibri"/>
          <w:color w:val="222222"/>
          <w:sz w:val="21"/>
        </w:rPr>
        <w:t>explicitly structured consultation observations, allergies, immunizations, imaging orders, and imaging metadata;</w:t>
      </w:r>
    </w:p>
    <w:p>
      <w:pPr>
        <w:numPr>
          <w:ilvl w:val="0"/>
          <w:numId w:val="10"/>
        </w:numPr>
      </w:pPr>
      <w:r>
        <w:rPr>
          <w:rFonts w:ascii="Calibri" w:hAnsi="Calibri"/>
          <w:color w:val="222222"/>
          <w:sz w:val="21"/>
        </w:rPr>
        <w:t>outbound and inbound inter-facility transfer workflows;</w:t>
      </w:r>
    </w:p>
    <w:p>
      <w:pPr>
        <w:numPr>
          <w:ilvl w:val="0"/>
          <w:numId w:val="10"/>
        </w:numPr>
      </w:pPr>
      <w:r>
        <w:rPr>
          <w:rFonts w:ascii="Calibri" w:hAnsi="Calibri"/>
          <w:color w:val="222222"/>
          <w:sz w:val="21"/>
        </w:rPr>
        <w:t>terminology, facility, practitioner, coverage, date-of-birth, and emergency-access governance;</w:t>
      </w:r>
    </w:p>
    <w:p>
      <w:pPr>
        <w:numPr>
          <w:ilvl w:val="0"/>
          <w:numId w:val="10"/>
        </w:numPr>
      </w:pPr>
      <w:r>
        <w:rPr>
          <w:rFonts w:ascii="Calibri" w:hAnsi="Calibri"/>
          <w:color w:val="222222"/>
          <w:sz w:val="21"/>
        </w:rPr>
        <w:t>tenant-scoped operational metrics, alerts, retries, and audit views; and</w:t>
      </w:r>
    </w:p>
    <w:p>
      <w:pPr>
        <w:numPr>
          <w:ilvl w:val="0"/>
          <w:numId w:val="10"/>
        </w:numPr>
      </w:pPr>
      <w:r>
        <w:rPr>
          <w:rFonts w:ascii="Calibri" w:hAnsi="Calibri"/>
          <w:color w:val="222222"/>
          <w:sz w:val="21"/>
        </w:rPr>
        <w:t>frontend workflow placement at reception, the patient chart, consultation, inventory/terminology administration, and clinic HIE setup.</w:t>
      </w:r>
    </w:p>
    <w:p>
      <w:r>
        <w:rPr>
          <w:rFonts w:ascii="Calibri" w:hAnsi="Calibri"/>
          <w:color w:val="222222"/>
          <w:sz w:val="21"/>
        </w:rPr>
        <w:t xml:space="preserve">The integration intentionally does </w:t>
      </w:r>
      <w:r>
        <w:rPr>
          <w:rFonts w:ascii="Calibri" w:hAnsi="Calibri"/>
          <w:b/>
          <w:color w:val="222222"/>
          <w:sz w:val="21"/>
        </w:rPr>
        <w:t>not</w:t>
      </w:r>
      <w:r>
        <w:rPr>
          <w:rFonts w:ascii="Calibri" w:hAnsi="Calibri"/>
          <w:color w:val="222222"/>
          <w:sz w:val="21"/>
        </w:rPr>
        <w:t xml:space="preserve"> create national </w:t>
      </w:r>
      <w:r>
        <w:rPr>
          <w:rFonts w:ascii="Menlo" w:hAnsi="Menlo"/>
          <w:color w:val="1F4D78"/>
          <w:sz w:val="17"/>
          <w:shd w:fill="F6F8FA"/>
        </w:rPr>
        <w:t>Patient</w:t>
      </w:r>
      <w:r>
        <w:rPr>
          <w:rFonts w:ascii="Calibri" w:hAnsi="Calibri"/>
          <w:color w:val="222222"/>
          <w:sz w:val="21"/>
        </w:rPr>
        <w:t xml:space="preserve"> resources, overwrite local demographics from national data, automatically import external clinical records into local orders/diagnoses/billing, or transmit imaging binaries.</w:t>
      </w:r>
    </w:p>
    <w:p>
      <w:pPr>
        <w:pStyle w:val="Heading2"/>
      </w:pPr>
      <w:r>
        <w:t>2. Where HIE sits in the CareLogic process flow</w:t>
      </w:r>
    </w:p>
    <w:p>
      <w:pPr>
        <w:pStyle w:val="Heading3"/>
      </w:pPr>
      <w:r>
        <w:t>2.1 End-to-end flow</w:t>
      </w:r>
    </w:p>
    <w:p>
      <w:pPr>
        <w:spacing w:before="60" w:after="140" w:line="252" w:lineRule="auto"/>
        <w:ind w:left="259" w:right="173"/>
        <w:shd w:fill="F6F8FA"/>
      </w:pPr>
      <w:r>
        <w:rPr>
          <w:rFonts w:ascii="Menlo" w:hAnsi="Menlo"/>
          <w:color w:val="1F2937"/>
          <w:sz w:val="15"/>
        </w:rPr>
        <w:t>Platform administrator</w:t>
        <w:br/>
        <w:t xml:space="preserve">  enables clinic HIE entitlement (disabled in every plan by default)</w:t>
        <w:br/>
        <w:t xml:space="preserve">        │</w:t>
        <w:br/>
        <w:t>Clinic administrator</w:t>
        <w:br/>
        <w:t xml:space="preserve">  saves TEST/PRODUCTION tenant capabilities</w:t>
        <w:br/>
        <w:t xml:space="preserve">  verifies branch → FOSA/Location mappings</w:t>
        <w:br/>
        <w:t xml:space="preserve">  verifies staff → Practitioner mappings</w:t>
        <w:br/>
        <w:t xml:space="preserve">  verifies destination facilities and terminology</w:t>
        <w:br/>
        <w:t xml:space="preserve">        │</w:t>
        <w:br/>
        <w:t>Reception / cashier / nurse</w:t>
        <w:br/>
        <w:t xml:space="preserve">  NID + birth-date lookup → review national/local demographics</w:t>
        <w:br/>
        <w:t xml:space="preserve">  → link existing/new local patient OR defer verification</w:t>
        <w:br/>
        <w:t xml:space="preserve">        │</w:t>
        <w:br/>
        <w:t>Authorized staff</w:t>
        <w:br/>
        <w:t xml:space="preserve">  records active sharing consent → Consent outbox event → RHIE</w:t>
        <w:br/>
        <w:t xml:space="preserve">        │</w:t>
        <w:br/>
        <w:t>Normal CareLogic care flow continues</w:t>
        <w:br/>
        <w:t xml:space="preserve">  triage → consultation → labs → prescriptions → pharmacy → inpatient care</w:t>
        <w:br/>
        <w:t xml:space="preserve">        │</w:t>
        <w:br/>
        <w:t>Local finalization transaction</w:t>
        <w:br/>
        <w:t xml:space="preserve">  commits local clinical state + encrypted/idempotent HIE outbox events</w:t>
        <w:br/>
        <w:t xml:space="preserve">        │</w:t>
        <w:br/>
        <w:t>Minute worker</w:t>
        <w:br/>
        <w:t xml:space="preserve">  dependency checks → FHIR mapping → allowlisted backend request → RHIE</w:t>
        <w:br/>
        <w:t xml:space="preserve">  → resource link + attempt/audit status, or bounded retry/dead letter</w:t>
        <w:br/>
        <w:t xml:space="preserve">        │</w:t>
        <w:br/>
        <w:t>Patient chart / HIE administration</w:t>
        <w:br/>
        <w:t xml:space="preserve">  read national history, reconcile external items, manage transfers,</w:t>
        <w:br/>
        <w:t xml:space="preserve">  review alerts, retry failures, and resolve compliance queues</w:t>
      </w:r>
    </w:p>
    <w:p>
      <w:pPr>
        <w:pStyle w:val="Heading3"/>
      </w:pPr>
      <w:r>
        <w:t>2.2 Workflow placement by user task</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cantSplit w:val="true"/>
        </w:trPr>
        <w:tc>
          <w:tcPr>
            <w:tcW w:type="dxa" w:w="2200"/>
            <w:tcMar>
              <w:top w:w="80" w:type="dxa"/>
              <w:start w:w="120" w:type="dxa"/>
              <w:bottom w:w="80" w:type="dxa"/>
              <w:end w:w="120" w:type="dxa"/>
            </w:tcMar>
            <w:vAlign w:val="center"/>
            <w:shd w:fill="E8EEF5"/>
          </w:tcPr>
          <w:p>
            <w:pPr>
              <w:spacing w:after="0"/>
            </w:pPr>
            <w:r>
              <w:rPr>
                <w:b/>
                <w:color w:val="0B2545"/>
              </w:rPr>
            </w:r>
            <w:r>
              <w:rPr>
                <w:rFonts w:ascii="Calibri" w:hAnsi="Calibri"/>
                <w:b/>
                <w:color w:val="0B2545"/>
                <w:sz w:val="17"/>
              </w:rPr>
              <w:t>CareLogic process point</w:t>
            </w:r>
          </w:p>
        </w:tc>
        <w:tc>
          <w:tcPr>
            <w:tcW w:type="dxa" w:w="3000"/>
            <w:tcMar>
              <w:top w:w="80" w:type="dxa"/>
              <w:start w:w="120" w:type="dxa"/>
              <w:bottom w:w="80" w:type="dxa"/>
              <w:end w:w="120" w:type="dxa"/>
            </w:tcMar>
            <w:vAlign w:val="center"/>
            <w:shd w:fill="E8EEF5"/>
          </w:tcPr>
          <w:p>
            <w:pPr>
              <w:spacing w:after="0"/>
            </w:pPr>
            <w:r>
              <w:rPr>
                <w:b/>
                <w:color w:val="0B2545"/>
              </w:rPr>
            </w:r>
            <w:r>
              <w:rPr>
                <w:rFonts w:ascii="Calibri" w:hAnsi="Calibri"/>
                <w:b/>
                <w:color w:val="0B2545"/>
                <w:sz w:val="17"/>
              </w:rPr>
              <w:t>HIE behavior</w:t>
            </w:r>
          </w:p>
        </w:tc>
        <w:tc>
          <w:tcPr>
            <w:tcW w:type="dxa" w:w="4160"/>
            <w:tcMar>
              <w:top w:w="80" w:type="dxa"/>
              <w:start w:w="120" w:type="dxa"/>
              <w:bottom w:w="80" w:type="dxa"/>
              <w:end w:w="120" w:type="dxa"/>
            </w:tcMar>
            <w:vAlign w:val="center"/>
            <w:shd w:fill="E8EEF5"/>
          </w:tcPr>
          <w:p>
            <w:pPr>
              <w:spacing w:after="0"/>
            </w:pPr>
            <w:r>
              <w:rPr>
                <w:b/>
                <w:color w:val="0B2545"/>
              </w:rPr>
            </w:r>
            <w:r>
              <w:rPr>
                <w:rFonts w:ascii="Calibri" w:hAnsi="Calibri"/>
                <w:b/>
                <w:color w:val="0B2545"/>
                <w:sz w:val="17"/>
              </w:rPr>
              <w:t>Primary UI/backend trigger</w:t>
            </w:r>
          </w:p>
        </w:tc>
      </w:tr>
      <w:tr>
        <w:trPr>
          <w:cantSplit w:val="true"/>
        </w:trPr>
        <w:tc>
          <w:tcPr>
            <w:tcW w:type="dxa" w:w="2200"/>
            <w:tcMar>
              <w:top w:w="80" w:type="dxa"/>
              <w:start w:w="120" w:type="dxa"/>
              <w:bottom w:w="80" w:type="dxa"/>
              <w:end w:w="120" w:type="dxa"/>
            </w:tcMar>
            <w:vAlign w:val="center"/>
          </w:tcPr>
          <w:p>
            <w:pPr>
              <w:spacing w:after="0"/>
            </w:pPr>
            <w:r/>
            <w:r>
              <w:rPr>
                <w:rFonts w:ascii="Calibri" w:hAnsi="Calibri"/>
                <w:color w:val="222222"/>
                <w:sz w:val="17"/>
              </w:rPr>
              <w:t>Platform setup</w:t>
            </w:r>
          </w:p>
        </w:tc>
        <w:tc>
          <w:tcPr>
            <w:tcW w:type="dxa" w:w="3000"/>
            <w:tcMar>
              <w:top w:w="80" w:type="dxa"/>
              <w:start w:w="120" w:type="dxa"/>
              <w:bottom w:w="80" w:type="dxa"/>
              <w:end w:w="120" w:type="dxa"/>
            </w:tcMar>
            <w:vAlign w:val="center"/>
          </w:tcPr>
          <w:p>
            <w:pPr>
              <w:spacing w:after="0"/>
            </w:pPr>
            <w:r/>
            <w:r>
              <w:rPr>
                <w:rFonts w:ascii="Calibri" w:hAnsi="Calibri"/>
                <w:color w:val="222222"/>
                <w:sz w:val="16"/>
              </w:rPr>
              <w:t xml:space="preserve">Enables the otherwise-disabled </w:t>
            </w:r>
            <w:r>
              <w:rPr>
                <w:rFonts w:ascii="Menlo" w:hAnsi="Menlo"/>
                <w:color w:val="1F4D78"/>
                <w:sz w:val="17"/>
                <w:shd w:fill="F6F8FA"/>
              </w:rPr>
              <w:t>hie</w:t>
            </w:r>
            <w:r>
              <w:rPr>
                <w:rFonts w:ascii="Calibri" w:hAnsi="Calibri"/>
                <w:color w:val="222222"/>
                <w:sz w:val="16"/>
              </w:rPr>
              <w:t xml:space="preserve"> entitlement; governs global clinical/product terminology</w:t>
            </w:r>
          </w:p>
        </w:tc>
        <w:tc>
          <w:tcPr>
            <w:tcW w:type="dxa" w:w="4160"/>
            <w:tcMar>
              <w:top w:w="80" w:type="dxa"/>
              <w:start w:w="120" w:type="dxa"/>
              <w:bottom w:w="80" w:type="dxa"/>
              <w:end w:w="120" w:type="dxa"/>
            </w:tcMar>
            <w:vAlign w:val="center"/>
          </w:tcPr>
          <w:p>
            <w:pPr>
              <w:spacing w:after="0"/>
            </w:pPr>
            <w:r/>
            <w:r>
              <w:rPr>
                <w:rFonts w:ascii="Calibri" w:hAnsi="Calibri"/>
                <w:color w:val="222222"/>
                <w:sz w:val="16"/>
              </w:rPr>
              <w:t xml:space="preserve">Platform admin pages and entitlement overrides; </w:t>
            </w:r>
            <w:r>
              <w:rPr>
                <w:rFonts w:ascii="Menlo" w:hAnsi="Menlo"/>
                <w:color w:val="1F4D78"/>
                <w:sz w:val="17"/>
                <w:shd w:fill="F6F8FA"/>
              </w:rPr>
              <w:t>src/lib/entitlements-matrix.ts</w:t>
            </w:r>
            <w:r>
              <w:rPr>
                <w:rFonts w:ascii="Calibri" w:hAnsi="Calibri"/>
                <w:color w:val="222222"/>
                <w:sz w:val="16"/>
              </w:rPr>
              <w:t>; admin terminology controllers</w:t>
            </w:r>
          </w:p>
        </w:tc>
      </w:tr>
      <w:tr>
        <w:trPr>
          <w:cantSplit w:val="true"/>
        </w:trPr>
        <w:tc>
          <w:tcPr>
            <w:tcW w:type="dxa" w:w="2200"/>
            <w:tcMar>
              <w:top w:w="80" w:type="dxa"/>
              <w:start w:w="120" w:type="dxa"/>
              <w:bottom w:w="80" w:type="dxa"/>
              <w:end w:w="120" w:type="dxa"/>
            </w:tcMar>
            <w:vAlign w:val="center"/>
          </w:tcPr>
          <w:p>
            <w:pPr>
              <w:spacing w:after="0"/>
            </w:pPr>
            <w:r/>
            <w:r>
              <w:rPr>
                <w:rFonts w:ascii="Calibri" w:hAnsi="Calibri"/>
                <w:color w:val="222222"/>
                <w:sz w:val="17"/>
              </w:rPr>
              <w:t>Clinic setup</w:t>
            </w:r>
          </w:p>
        </w:tc>
        <w:tc>
          <w:tcPr>
            <w:tcW w:type="dxa" w:w="3000"/>
            <w:tcMar>
              <w:top w:w="80" w:type="dxa"/>
              <w:start w:w="120" w:type="dxa"/>
              <w:bottom w:w="80" w:type="dxa"/>
              <w:end w:w="120" w:type="dxa"/>
            </w:tcMar>
            <w:vAlign w:val="center"/>
          </w:tcPr>
          <w:p>
            <w:pPr>
              <w:spacing w:after="0"/>
            </w:pPr>
            <w:r/>
            <w:r>
              <w:rPr>
                <w:rFonts w:ascii="Calibri" w:hAnsi="Calibri"/>
                <w:color w:val="222222"/>
                <w:sz w:val="16"/>
              </w:rPr>
              <w:t>Configures environment and capability flags; maps branch, practitioner, and transfer destinations</w:t>
            </w:r>
          </w:p>
        </w:tc>
        <w:tc>
          <w:tcPr>
            <w:tcW w:type="dxa" w:w="4160"/>
            <w:tcMar>
              <w:top w:w="80" w:type="dxa"/>
              <w:start w:w="120" w:type="dxa"/>
              <w:bottom w:w="80" w:type="dxa"/>
              <w:end w:w="120" w:type="dxa"/>
            </w:tcMar>
            <w:vAlign w:val="center"/>
          </w:tcPr>
          <w:p>
            <w:pPr>
              <w:spacing w:after="0"/>
            </w:pPr>
            <w:r/>
            <w:r>
              <w:rPr>
                <w:rFonts w:ascii="Calibri" w:hAnsi="Calibri"/>
                <w:color w:val="222222"/>
                <w:sz w:val="16"/>
              </w:rPr>
              <w:t xml:space="preserve">Dashboard </w:t>
            </w:r>
            <w:r>
              <w:rPr>
                <w:rFonts w:ascii="Calibri" w:hAnsi="Calibri"/>
                <w:b/>
                <w:color w:val="222222"/>
                <w:sz w:val="16"/>
              </w:rPr>
              <w:t>Setup → Rwanda HIE</w:t>
            </w:r>
            <w:r>
              <w:rPr>
                <w:rFonts w:ascii="Calibri" w:hAnsi="Calibri"/>
                <w:color w:val="222222"/>
                <w:sz w:val="16"/>
              </w:rPr>
              <w:t xml:space="preserve">; </w:t>
            </w:r>
            <w:r>
              <w:rPr>
                <w:rFonts w:ascii="Menlo" w:hAnsi="Menlo"/>
                <w:color w:val="1F4D78"/>
                <w:sz w:val="17"/>
                <w:shd w:fill="F6F8FA"/>
              </w:rPr>
              <w:t>HieAdministrationPanel</w:t>
            </w:r>
            <w:r>
              <w:rPr>
                <w:rFonts w:ascii="Calibri" w:hAnsi="Calibri"/>
                <w:color w:val="222222"/>
                <w:sz w:val="16"/>
              </w:rPr>
              <w:t xml:space="preserve">; </w:t>
            </w:r>
            <w:r>
              <w:rPr>
                <w:rFonts w:ascii="Menlo" w:hAnsi="Menlo"/>
                <w:color w:val="1F4D78"/>
                <w:sz w:val="17"/>
                <w:shd w:fill="F6F8FA"/>
              </w:rPr>
              <w:t>/api/v1/hie/config</w:t>
            </w:r>
            <w:r>
              <w:rPr>
                <w:rFonts w:ascii="Calibri" w:hAnsi="Calibri"/>
                <w:color w:val="222222"/>
                <w:sz w:val="16"/>
              </w:rPr>
              <w:t xml:space="preserve">, </w:t>
            </w:r>
            <w:r>
              <w:rPr>
                <w:rFonts w:ascii="Menlo" w:hAnsi="Menlo"/>
                <w:color w:val="1F4D78"/>
                <w:sz w:val="17"/>
                <w:shd w:fill="F6F8FA"/>
              </w:rPr>
              <w:t>/facilities</w:t>
            </w:r>
            <w:r>
              <w:rPr>
                <w:rFonts w:ascii="Calibri" w:hAnsi="Calibri"/>
                <w:color w:val="222222"/>
                <w:sz w:val="16"/>
              </w:rPr>
              <w:t xml:space="preserve">, </w:t>
            </w:r>
            <w:r>
              <w:rPr>
                <w:rFonts w:ascii="Menlo" w:hAnsi="Menlo"/>
                <w:color w:val="1F4D78"/>
                <w:sz w:val="17"/>
                <w:shd w:fill="F6F8FA"/>
              </w:rPr>
              <w:t>/practitioners</w:t>
            </w:r>
            <w:r>
              <w:rPr>
                <w:rFonts w:ascii="Calibri" w:hAnsi="Calibri"/>
                <w:color w:val="222222"/>
                <w:sz w:val="16"/>
              </w:rPr>
              <w:t xml:space="preserve">, </w:t>
            </w:r>
            <w:r>
              <w:rPr>
                <w:rFonts w:ascii="Menlo" w:hAnsi="Menlo"/>
                <w:color w:val="1F4D78"/>
                <w:sz w:val="17"/>
                <w:shd w:fill="F6F8FA"/>
              </w:rPr>
              <w:t>/destinations</w:t>
            </w:r>
          </w:p>
        </w:tc>
      </w:tr>
      <w:tr>
        <w:trPr>
          <w:cantSplit w:val="true"/>
        </w:trPr>
        <w:tc>
          <w:tcPr>
            <w:tcW w:type="dxa" w:w="2200"/>
            <w:tcMar>
              <w:top w:w="80" w:type="dxa"/>
              <w:start w:w="120" w:type="dxa"/>
              <w:bottom w:w="80" w:type="dxa"/>
              <w:end w:w="120" w:type="dxa"/>
            </w:tcMar>
            <w:vAlign w:val="center"/>
          </w:tcPr>
          <w:p>
            <w:pPr>
              <w:spacing w:after="0"/>
            </w:pPr>
            <w:r/>
            <w:r>
              <w:rPr>
                <w:rFonts w:ascii="Calibri" w:hAnsi="Calibri"/>
                <w:color w:val="222222"/>
                <w:sz w:val="17"/>
              </w:rPr>
              <w:t>Reception/check-in</w:t>
            </w:r>
          </w:p>
        </w:tc>
        <w:tc>
          <w:tcPr>
            <w:tcW w:type="dxa" w:w="3000"/>
            <w:tcMar>
              <w:top w:w="80" w:type="dxa"/>
              <w:start w:w="120" w:type="dxa"/>
              <w:bottom w:w="80" w:type="dxa"/>
              <w:end w:w="120" w:type="dxa"/>
            </w:tcMar>
            <w:vAlign w:val="center"/>
          </w:tcPr>
          <w:p>
            <w:pPr>
              <w:spacing w:after="0"/>
            </w:pPr>
            <w:r/>
            <w:r>
              <w:rPr>
                <w:rFonts w:ascii="Calibri" w:hAnsi="Calibri"/>
                <w:color w:val="222222"/>
                <w:sz w:val="16"/>
              </w:rPr>
              <w:t>Verifies NID + DOB, compares national demographics with local candidates, links only after review, or records deferred/no-match state</w:t>
            </w:r>
          </w:p>
        </w:tc>
        <w:tc>
          <w:tcPr>
            <w:tcW w:type="dxa" w:w="4160"/>
            <w:tcMar>
              <w:top w:w="80" w:type="dxa"/>
              <w:start w:w="120" w:type="dxa"/>
              <w:bottom w:w="80" w:type="dxa"/>
              <w:end w:w="120" w:type="dxa"/>
            </w:tcMar>
            <w:vAlign w:val="center"/>
          </w:tcPr>
          <w:p>
            <w:pPr>
              <w:spacing w:after="0"/>
            </w:pPr>
            <w:r/>
            <w:r>
              <w:rPr>
                <w:rFonts w:ascii="Menlo" w:hAnsi="Menlo"/>
                <w:color w:val="1F4D78"/>
                <w:sz w:val="17"/>
                <w:shd w:fill="F6F8FA"/>
              </w:rPr>
              <w:t>reception-check-in-form.tsx</w:t>
            </w:r>
            <w:r>
              <w:rPr>
                <w:rFonts w:ascii="Calibri" w:hAnsi="Calibri"/>
                <w:color w:val="222222"/>
                <w:sz w:val="16"/>
              </w:rPr>
              <w:t xml:space="preserve">; </w:t>
            </w:r>
            <w:r>
              <w:rPr>
                <w:rFonts w:ascii="Menlo" w:hAnsi="Menlo"/>
                <w:color w:val="1F4D78"/>
                <w:sz w:val="17"/>
                <w:shd w:fill="F6F8FA"/>
              </w:rPr>
              <w:t>/patients/lookup</w:t>
            </w:r>
            <w:r>
              <w:rPr>
                <w:rFonts w:ascii="Calibri" w:hAnsi="Calibri"/>
                <w:color w:val="222222"/>
                <w:sz w:val="16"/>
              </w:rPr>
              <w:t xml:space="preserve">, </w:t>
            </w:r>
            <w:r>
              <w:rPr>
                <w:rFonts w:ascii="Menlo" w:hAnsi="Menlo"/>
                <w:color w:val="1F4D78"/>
                <w:sz w:val="17"/>
                <w:shd w:fill="F6F8FA"/>
              </w:rPr>
              <w:t>/patients/link</w:t>
            </w:r>
            <w:r>
              <w:rPr>
                <w:rFonts w:ascii="Calibri" w:hAnsi="Calibri"/>
                <w:color w:val="222222"/>
                <w:sz w:val="16"/>
              </w:rPr>
              <w:t xml:space="preserve">, </w:t>
            </w:r>
            <w:r>
              <w:rPr>
                <w:rFonts w:ascii="Menlo" w:hAnsi="Menlo"/>
                <w:color w:val="1F4D78"/>
                <w:sz w:val="17"/>
                <w:shd w:fill="F6F8FA"/>
              </w:rPr>
              <w:t>/patients/defer-verification</w:t>
            </w:r>
          </w:p>
        </w:tc>
      </w:tr>
      <w:tr>
        <w:trPr>
          <w:cantSplit w:val="true"/>
        </w:trPr>
        <w:tc>
          <w:tcPr>
            <w:tcW w:type="dxa" w:w="2200"/>
            <w:tcMar>
              <w:top w:w="80" w:type="dxa"/>
              <w:start w:w="120" w:type="dxa"/>
              <w:bottom w:w="80" w:type="dxa"/>
              <w:end w:w="120" w:type="dxa"/>
            </w:tcMar>
            <w:vAlign w:val="center"/>
          </w:tcPr>
          <w:p>
            <w:pPr>
              <w:spacing w:after="0"/>
            </w:pPr>
            <w:r/>
            <w:r>
              <w:rPr>
                <w:rFonts w:ascii="Calibri" w:hAnsi="Calibri"/>
                <w:color w:val="222222"/>
                <w:sz w:val="17"/>
              </w:rPr>
              <w:t>Patient chart</w:t>
            </w:r>
          </w:p>
        </w:tc>
        <w:tc>
          <w:tcPr>
            <w:tcW w:type="dxa" w:w="3000"/>
            <w:tcMar>
              <w:top w:w="80" w:type="dxa"/>
              <w:start w:w="120" w:type="dxa"/>
              <w:bottom w:w="80" w:type="dxa"/>
              <w:end w:w="120" w:type="dxa"/>
            </w:tcMar>
            <w:vAlign w:val="center"/>
          </w:tcPr>
          <w:p>
            <w:pPr>
              <w:spacing w:after="0"/>
            </w:pPr>
            <w:r/>
            <w:r>
              <w:rPr>
                <w:rFonts w:ascii="Calibri" w:hAnsi="Calibri"/>
                <w:color w:val="222222"/>
                <w:sz w:val="16"/>
              </w:rPr>
              <w:t>Shows link state, consent, read-only national record, structured HIE records, and transfers when capabilities permit</w:t>
            </w:r>
          </w:p>
        </w:tc>
        <w:tc>
          <w:tcPr>
            <w:tcW w:type="dxa" w:w="4160"/>
            <w:tcMar>
              <w:top w:w="80" w:type="dxa"/>
              <w:start w:w="120" w:type="dxa"/>
              <w:bottom w:w="80" w:type="dxa"/>
              <w:end w:w="120" w:type="dxa"/>
            </w:tcMar>
            <w:vAlign w:val="center"/>
          </w:tcPr>
          <w:p>
            <w:pPr>
              <w:spacing w:after="0"/>
            </w:pPr>
            <w:r/>
            <w:r>
              <w:rPr>
                <w:rFonts w:ascii="Menlo" w:hAnsi="Menlo"/>
                <w:color w:val="1F4D78"/>
                <w:sz w:val="17"/>
                <w:shd w:fill="F6F8FA"/>
              </w:rPr>
              <w:t>patient-chart.tsx</w:t>
            </w:r>
            <w:r>
              <w:rPr>
                <w:rFonts w:ascii="Calibri" w:hAnsi="Calibri"/>
                <w:color w:val="222222"/>
                <w:sz w:val="16"/>
              </w:rPr>
              <w:t xml:space="preserve"> plus components under </w:t>
            </w:r>
            <w:r>
              <w:rPr>
                <w:rFonts w:ascii="Menlo" w:hAnsi="Menlo"/>
                <w:color w:val="1F4D78"/>
                <w:sz w:val="17"/>
                <w:shd w:fill="F6F8FA"/>
              </w:rPr>
              <w:t>src/features/hie/components/</w:t>
            </w:r>
          </w:p>
        </w:tc>
      </w:tr>
      <w:tr>
        <w:trPr>
          <w:cantSplit w:val="true"/>
        </w:trPr>
        <w:tc>
          <w:tcPr>
            <w:tcW w:type="dxa" w:w="2200"/>
            <w:tcMar>
              <w:top w:w="80" w:type="dxa"/>
              <w:start w:w="120" w:type="dxa"/>
              <w:bottom w:w="80" w:type="dxa"/>
              <w:end w:w="120" w:type="dxa"/>
            </w:tcMar>
            <w:vAlign w:val="center"/>
          </w:tcPr>
          <w:p>
            <w:pPr>
              <w:spacing w:after="0"/>
            </w:pPr>
            <w:r/>
            <w:r>
              <w:rPr>
                <w:rFonts w:ascii="Calibri" w:hAnsi="Calibri"/>
                <w:color w:val="222222"/>
                <w:sz w:val="17"/>
              </w:rPr>
              <w:t>Consultation</w:t>
            </w:r>
          </w:p>
        </w:tc>
        <w:tc>
          <w:tcPr>
            <w:tcW w:type="dxa" w:w="3000"/>
            <w:tcMar>
              <w:top w:w="80" w:type="dxa"/>
              <w:start w:w="120" w:type="dxa"/>
              <w:bottom w:w="80" w:type="dxa"/>
              <w:end w:w="120" w:type="dxa"/>
            </w:tcMar>
            <w:vAlign w:val="center"/>
          </w:tcPr>
          <w:p>
            <w:pPr>
              <w:spacing w:after="0"/>
            </w:pPr>
            <w:r/>
            <w:r>
              <w:rPr>
                <w:rFonts w:ascii="Calibri" w:hAnsi="Calibri"/>
                <w:color w:val="222222"/>
                <w:sz w:val="16"/>
              </w:rPr>
              <w:t>Collects structured route/method details required for medication publication; finalized visits trigger encounter/condition/vitals/clinical event enqueueing</w:t>
            </w:r>
          </w:p>
        </w:tc>
        <w:tc>
          <w:tcPr>
            <w:tcW w:type="dxa" w:w="4160"/>
            <w:tcMar>
              <w:top w:w="80" w:type="dxa"/>
              <w:start w:w="120" w:type="dxa"/>
              <w:bottom w:w="80" w:type="dxa"/>
              <w:end w:w="120" w:type="dxa"/>
            </w:tcMar>
            <w:vAlign w:val="center"/>
          </w:tcPr>
          <w:p>
            <w:pPr>
              <w:spacing w:after="0"/>
            </w:pPr>
            <w:r/>
            <w:r>
              <w:rPr>
                <w:rFonts w:ascii="Menlo" w:hAnsi="Menlo"/>
                <w:color w:val="1F4D78"/>
                <w:sz w:val="17"/>
                <w:shd w:fill="F6F8FA"/>
              </w:rPr>
              <w:t>consultation-screen.tsx</w:t>
            </w:r>
            <w:r>
              <w:rPr>
                <w:rFonts w:ascii="Calibri" w:hAnsi="Calibri"/>
                <w:color w:val="222222"/>
                <w:sz w:val="16"/>
              </w:rPr>
              <w:t>; visit finalization controller; outbox mapper/service</w:t>
            </w:r>
          </w:p>
        </w:tc>
      </w:tr>
      <w:tr>
        <w:trPr>
          <w:cantSplit w:val="true"/>
        </w:trPr>
        <w:tc>
          <w:tcPr>
            <w:tcW w:type="dxa" w:w="2200"/>
            <w:tcMar>
              <w:top w:w="80" w:type="dxa"/>
              <w:start w:w="120" w:type="dxa"/>
              <w:bottom w:w="80" w:type="dxa"/>
              <w:end w:w="120" w:type="dxa"/>
            </w:tcMar>
            <w:vAlign w:val="center"/>
          </w:tcPr>
          <w:p>
            <w:pPr>
              <w:spacing w:after="0"/>
            </w:pPr>
            <w:r/>
            <w:r>
              <w:rPr>
                <w:rFonts w:ascii="Calibri" w:hAnsi="Calibri"/>
                <w:color w:val="222222"/>
                <w:sz w:val="17"/>
              </w:rPr>
              <w:t>Lab</w:t>
            </w:r>
          </w:p>
        </w:tc>
        <w:tc>
          <w:tcPr>
            <w:tcW w:type="dxa" w:w="3000"/>
            <w:tcMar>
              <w:top w:w="80" w:type="dxa"/>
              <w:start w:w="120" w:type="dxa"/>
              <w:bottom w:w="80" w:type="dxa"/>
              <w:end w:w="120" w:type="dxa"/>
            </w:tcMar>
            <w:vAlign w:val="center"/>
          </w:tcPr>
          <w:p>
            <w:pPr>
              <w:spacing w:after="0"/>
            </w:pPr>
            <w:r/>
            <w:r>
              <w:rPr>
                <w:rFonts w:ascii="Calibri" w:hAnsi="Calibri"/>
                <w:color w:val="222222"/>
                <w:sz w:val="16"/>
              </w:rPr>
              <w:t>Completed coded lab results enqueue current clinical resources</w:t>
            </w:r>
          </w:p>
        </w:tc>
        <w:tc>
          <w:tcPr>
            <w:tcW w:type="dxa" w:w="4160"/>
            <w:tcMar>
              <w:top w:w="80" w:type="dxa"/>
              <w:start w:w="120" w:type="dxa"/>
              <w:bottom w:w="80" w:type="dxa"/>
              <w:end w:w="120" w:type="dxa"/>
            </w:tcMar>
            <w:vAlign w:val="center"/>
          </w:tcPr>
          <w:p>
            <w:pPr>
              <w:spacing w:after="0"/>
            </w:pPr>
            <w:r/>
            <w:r>
              <w:rPr>
                <w:rFonts w:ascii="Menlo" w:hAnsi="Menlo"/>
                <w:color w:val="1F4D78"/>
                <w:sz w:val="17"/>
                <w:shd w:fill="F6F8FA"/>
              </w:rPr>
              <w:t>exams.controller.ts</w:t>
            </w:r>
            <w:r>
              <w:rPr>
                <w:rFonts w:ascii="Calibri" w:hAnsi="Calibri"/>
                <w:color w:val="222222"/>
                <w:sz w:val="16"/>
              </w:rPr>
              <w:t xml:space="preserve"> → </w:t>
            </w:r>
            <w:r>
              <w:rPr>
                <w:rFonts w:ascii="Menlo" w:hAnsi="Menlo"/>
                <w:color w:val="1F4D78"/>
                <w:sz w:val="17"/>
                <w:shd w:fill="F6F8FA"/>
              </w:rPr>
              <w:t>enqueueCurrentClinicalEventsInTransaction</w:t>
            </w:r>
          </w:p>
        </w:tc>
      </w:tr>
      <w:tr>
        <w:trPr>
          <w:cantSplit w:val="true"/>
        </w:trPr>
        <w:tc>
          <w:tcPr>
            <w:tcW w:type="dxa" w:w="2200"/>
            <w:tcMar>
              <w:top w:w="80" w:type="dxa"/>
              <w:start w:w="120" w:type="dxa"/>
              <w:bottom w:w="80" w:type="dxa"/>
              <w:end w:w="120" w:type="dxa"/>
            </w:tcMar>
            <w:vAlign w:val="center"/>
          </w:tcPr>
          <w:p>
            <w:pPr>
              <w:spacing w:after="0"/>
            </w:pPr>
            <w:r/>
            <w:r>
              <w:rPr>
                <w:rFonts w:ascii="Calibri" w:hAnsi="Calibri"/>
                <w:color w:val="222222"/>
                <w:sz w:val="17"/>
              </w:rPr>
              <w:t>Prescription</w:t>
            </w:r>
          </w:p>
        </w:tc>
        <w:tc>
          <w:tcPr>
            <w:tcW w:type="dxa" w:w="3000"/>
            <w:tcMar>
              <w:top w:w="80" w:type="dxa"/>
              <w:start w:w="120" w:type="dxa"/>
              <w:bottom w:w="80" w:type="dxa"/>
              <w:end w:w="120" w:type="dxa"/>
            </w:tcMar>
            <w:vAlign w:val="center"/>
          </w:tcPr>
          <w:p>
            <w:pPr>
              <w:spacing w:after="0"/>
            </w:pPr>
            <w:r/>
            <w:r>
              <w:rPr>
                <w:rFonts w:ascii="Calibri" w:hAnsi="Calibri"/>
                <w:color w:val="222222"/>
                <w:sz w:val="16"/>
              </w:rPr>
              <w:t>Issued/updated structured prescriptions enqueue medication requests</w:t>
            </w:r>
          </w:p>
        </w:tc>
        <w:tc>
          <w:tcPr>
            <w:tcW w:type="dxa" w:w="4160"/>
            <w:tcMar>
              <w:top w:w="80" w:type="dxa"/>
              <w:start w:w="120" w:type="dxa"/>
              <w:bottom w:w="80" w:type="dxa"/>
              <w:end w:w="120" w:type="dxa"/>
            </w:tcMar>
            <w:vAlign w:val="center"/>
          </w:tcPr>
          <w:p>
            <w:pPr>
              <w:spacing w:after="0"/>
            </w:pPr>
            <w:r/>
            <w:r>
              <w:rPr>
                <w:rFonts w:ascii="Calibri" w:hAnsi="Calibri"/>
                <w:color w:val="222222"/>
                <w:sz w:val="16"/>
              </w:rPr>
              <w:t>prescription controller → current-clinical-event enqueue</w:t>
            </w:r>
          </w:p>
        </w:tc>
      </w:tr>
      <w:tr>
        <w:trPr>
          <w:cantSplit w:val="true"/>
        </w:trPr>
        <w:tc>
          <w:tcPr>
            <w:tcW w:type="dxa" w:w="2200"/>
            <w:tcMar>
              <w:top w:w="80" w:type="dxa"/>
              <w:start w:w="120" w:type="dxa"/>
              <w:bottom w:w="80" w:type="dxa"/>
              <w:end w:w="120" w:type="dxa"/>
            </w:tcMar>
            <w:vAlign w:val="center"/>
          </w:tcPr>
          <w:p>
            <w:pPr>
              <w:spacing w:after="0"/>
            </w:pPr>
            <w:r/>
            <w:r>
              <w:rPr>
                <w:rFonts w:ascii="Calibri" w:hAnsi="Calibri"/>
                <w:color w:val="222222"/>
                <w:sz w:val="17"/>
              </w:rPr>
              <w:t>Pharmacy</w:t>
            </w:r>
          </w:p>
        </w:tc>
        <w:tc>
          <w:tcPr>
            <w:tcW w:type="dxa" w:w="3000"/>
            <w:tcMar>
              <w:top w:w="80" w:type="dxa"/>
              <w:start w:w="120" w:type="dxa"/>
              <w:bottom w:w="80" w:type="dxa"/>
              <w:end w:w="120" w:type="dxa"/>
            </w:tcMar>
            <w:vAlign w:val="center"/>
          </w:tcPr>
          <w:p>
            <w:pPr>
              <w:spacing w:after="0"/>
            </w:pPr>
            <w:r/>
            <w:r>
              <w:rPr>
                <w:rFonts w:ascii="Calibri" w:hAnsi="Calibri"/>
                <w:color w:val="222222"/>
                <w:sz w:val="16"/>
              </w:rPr>
              <w:t>Successful dispense transaction enqueues medication dispense resources</w:t>
            </w:r>
          </w:p>
        </w:tc>
        <w:tc>
          <w:tcPr>
            <w:tcW w:type="dxa" w:w="4160"/>
            <w:tcMar>
              <w:top w:w="80" w:type="dxa"/>
              <w:start w:w="120" w:type="dxa"/>
              <w:bottom w:w="80" w:type="dxa"/>
              <w:end w:w="120" w:type="dxa"/>
            </w:tcMar>
            <w:vAlign w:val="center"/>
          </w:tcPr>
          <w:p>
            <w:pPr>
              <w:spacing w:after="0"/>
            </w:pPr>
            <w:r/>
            <w:r>
              <w:rPr>
                <w:rFonts w:ascii="Menlo" w:hAnsi="Menlo"/>
                <w:color w:val="1F4D78"/>
                <w:sz w:val="17"/>
                <w:shd w:fill="F6F8FA"/>
              </w:rPr>
              <w:t>pharmacy-dispense-run-tx.ts</w:t>
            </w:r>
            <w:r>
              <w:rPr>
                <w:rFonts w:ascii="Calibri" w:hAnsi="Calibri"/>
                <w:color w:val="222222"/>
                <w:sz w:val="16"/>
              </w:rPr>
              <w:t xml:space="preserve"> → current-clinical-event enqueue</w:t>
            </w:r>
          </w:p>
        </w:tc>
      </w:tr>
      <w:tr>
        <w:trPr>
          <w:cantSplit w:val="true"/>
        </w:trPr>
        <w:tc>
          <w:tcPr>
            <w:tcW w:type="dxa" w:w="2200"/>
            <w:tcMar>
              <w:top w:w="80" w:type="dxa"/>
              <w:start w:w="120" w:type="dxa"/>
              <w:bottom w:w="80" w:type="dxa"/>
              <w:end w:w="120" w:type="dxa"/>
            </w:tcMar>
            <w:vAlign w:val="center"/>
          </w:tcPr>
          <w:p>
            <w:pPr>
              <w:spacing w:after="0"/>
            </w:pPr>
            <w:r/>
            <w:r>
              <w:rPr>
                <w:rFonts w:ascii="Calibri" w:hAnsi="Calibri"/>
                <w:color w:val="222222"/>
                <w:sz w:val="17"/>
              </w:rPr>
              <w:t>Hospitalization</w:t>
            </w:r>
          </w:p>
        </w:tc>
        <w:tc>
          <w:tcPr>
            <w:tcW w:type="dxa" w:w="3000"/>
            <w:tcMar>
              <w:top w:w="80" w:type="dxa"/>
              <w:start w:w="120" w:type="dxa"/>
              <w:bottom w:w="80" w:type="dxa"/>
              <w:end w:w="120" w:type="dxa"/>
            </w:tcMar>
            <w:vAlign w:val="center"/>
          </w:tcPr>
          <w:p>
            <w:pPr>
              <w:spacing w:after="0"/>
            </w:pPr>
            <w:r/>
            <w:r>
              <w:rPr>
                <w:rFonts w:ascii="Calibri" w:hAnsi="Calibri"/>
                <w:color w:val="222222"/>
                <w:sz w:val="16"/>
              </w:rPr>
              <w:t>Ward observations, medications/administrations, and discharge enqueue relevant resources; discharge creates an IPS bundle</w:t>
            </w:r>
          </w:p>
        </w:tc>
        <w:tc>
          <w:tcPr>
            <w:tcW w:type="dxa" w:w="4160"/>
            <w:tcMar>
              <w:top w:w="80" w:type="dxa"/>
              <w:start w:w="120" w:type="dxa"/>
              <w:bottom w:w="80" w:type="dxa"/>
              <w:end w:w="120" w:type="dxa"/>
            </w:tcMar>
            <w:vAlign w:val="center"/>
          </w:tcPr>
          <w:p>
            <w:pPr>
              <w:spacing w:after="0"/>
            </w:pPr>
            <w:r/>
            <w:r>
              <w:rPr>
                <w:rFonts w:ascii="Calibri" w:hAnsi="Calibri"/>
                <w:color w:val="222222"/>
                <w:sz w:val="16"/>
              </w:rPr>
              <w:t>hospitalization controller → current clinical/discharge enqueue</w:t>
            </w:r>
          </w:p>
        </w:tc>
      </w:tr>
      <w:tr>
        <w:trPr>
          <w:cantSplit w:val="true"/>
        </w:trPr>
        <w:tc>
          <w:tcPr>
            <w:tcW w:type="dxa" w:w="2200"/>
            <w:tcMar>
              <w:top w:w="80" w:type="dxa"/>
              <w:start w:w="120" w:type="dxa"/>
              <w:bottom w:w="80" w:type="dxa"/>
              <w:end w:w="120" w:type="dxa"/>
            </w:tcMar>
            <w:vAlign w:val="center"/>
          </w:tcPr>
          <w:p>
            <w:pPr>
              <w:spacing w:after="0"/>
            </w:pPr>
            <w:r/>
            <w:r>
              <w:rPr>
                <w:rFonts w:ascii="Calibri" w:hAnsi="Calibri"/>
                <w:color w:val="222222"/>
                <w:sz w:val="17"/>
              </w:rPr>
              <w:t>Transfer</w:t>
            </w:r>
          </w:p>
        </w:tc>
        <w:tc>
          <w:tcPr>
            <w:tcW w:type="dxa" w:w="3000"/>
            <w:tcMar>
              <w:top w:w="80" w:type="dxa"/>
              <w:start w:w="120" w:type="dxa"/>
              <w:bottom w:w="80" w:type="dxa"/>
              <w:end w:w="120" w:type="dxa"/>
            </w:tcMar>
            <w:vAlign w:val="center"/>
          </w:tcPr>
          <w:p>
            <w:pPr>
              <w:spacing w:after="0"/>
            </w:pPr>
            <w:r/>
            <w:r>
              <w:rPr>
                <w:rFonts w:ascii="Calibri" w:hAnsi="Calibri"/>
                <w:color w:val="222222"/>
                <w:sz w:val="16"/>
              </w:rPr>
              <w:t>Doctor creates a draft from a finalized visit, then queues independent Transfer Encounter and IPS events</w:t>
            </w:r>
          </w:p>
        </w:tc>
        <w:tc>
          <w:tcPr>
            <w:tcW w:type="dxa" w:w="4160"/>
            <w:tcMar>
              <w:top w:w="80" w:type="dxa"/>
              <w:start w:w="120" w:type="dxa"/>
              <w:bottom w:w="80" w:type="dxa"/>
              <w:end w:w="120" w:type="dxa"/>
            </w:tcMar>
            <w:vAlign w:val="center"/>
          </w:tcPr>
          <w:p>
            <w:pPr>
              <w:spacing w:after="0"/>
            </w:pPr>
            <w:r/>
            <w:r>
              <w:rPr>
                <w:rFonts w:ascii="Calibri" w:hAnsi="Calibri"/>
                <w:color w:val="222222"/>
                <w:sz w:val="16"/>
              </w:rPr>
              <w:t xml:space="preserve">Patient chart transfer tab; </w:t>
            </w:r>
            <w:r>
              <w:rPr>
                <w:rFonts w:ascii="Menlo" w:hAnsi="Menlo"/>
                <w:color w:val="1F4D78"/>
                <w:sz w:val="17"/>
                <w:shd w:fill="F6F8FA"/>
              </w:rPr>
              <w:t>/transfers*</w:t>
            </w:r>
            <w:r>
              <w:rPr>
                <w:rFonts w:ascii="Calibri" w:hAnsi="Calibri"/>
                <w:color w:val="222222"/>
                <w:sz w:val="16"/>
              </w:rPr>
              <w:t>; outbox worker</w:t>
            </w:r>
          </w:p>
        </w:tc>
      </w:tr>
      <w:tr>
        <w:trPr>
          <w:cantSplit w:val="true"/>
        </w:trPr>
        <w:tc>
          <w:tcPr>
            <w:tcW w:type="dxa" w:w="2200"/>
            <w:tcMar>
              <w:top w:w="80" w:type="dxa"/>
              <w:start w:w="120" w:type="dxa"/>
              <w:bottom w:w="80" w:type="dxa"/>
              <w:end w:w="120" w:type="dxa"/>
            </w:tcMar>
            <w:vAlign w:val="center"/>
          </w:tcPr>
          <w:p>
            <w:pPr>
              <w:spacing w:after="0"/>
            </w:pPr>
            <w:r/>
            <w:r>
              <w:rPr>
                <w:rFonts w:ascii="Calibri" w:hAnsi="Calibri"/>
                <w:color w:val="222222"/>
                <w:sz w:val="17"/>
              </w:rPr>
              <w:t>Operations/compliance</w:t>
            </w:r>
          </w:p>
        </w:tc>
        <w:tc>
          <w:tcPr>
            <w:tcW w:type="dxa" w:w="3000"/>
            <w:tcMar>
              <w:top w:w="80" w:type="dxa"/>
              <w:start w:w="120" w:type="dxa"/>
              <w:bottom w:w="80" w:type="dxa"/>
              <w:end w:w="120" w:type="dxa"/>
            </w:tcMar>
            <w:vAlign w:val="center"/>
          </w:tcPr>
          <w:p>
            <w:pPr>
              <w:spacing w:after="0"/>
            </w:pPr>
            <w:r/>
            <w:r>
              <w:rPr>
                <w:rFonts w:ascii="Calibri" w:hAnsi="Calibri"/>
                <w:color w:val="222222"/>
                <w:sz w:val="16"/>
              </w:rPr>
              <w:t>Reviews outbox, retry/dead-letter state, identity conflicts, emergency access, DOB discrepancies, coverage mappings, national audit, and readiness</w:t>
            </w:r>
          </w:p>
        </w:tc>
        <w:tc>
          <w:tcPr>
            <w:tcW w:type="dxa" w:w="4160"/>
            <w:tcMar>
              <w:top w:w="80" w:type="dxa"/>
              <w:start w:w="120" w:type="dxa"/>
              <w:bottom w:w="80" w:type="dxa"/>
              <w:end w:w="120" w:type="dxa"/>
            </w:tcMar>
            <w:vAlign w:val="center"/>
          </w:tcPr>
          <w:p>
            <w:pPr>
              <w:spacing w:after="0"/>
            </w:pPr>
            <w:r/>
            <w:r>
              <w:rPr>
                <w:rFonts w:ascii="Calibri" w:hAnsi="Calibri"/>
                <w:color w:val="222222"/>
                <w:sz w:val="16"/>
              </w:rPr>
              <w:t>HIE setup panels; operations/governance controllers and services</w:t>
            </w:r>
          </w:p>
        </w:tc>
      </w:tr>
    </w:tbl>
    <w:p>
      <w:pPr>
        <w:spacing w:after="40"/>
      </w:pPr>
    </w:p>
    <w:p>
      <w:pPr>
        <w:pStyle w:val="Heading2"/>
      </w:pPr>
      <w:r>
        <w:t>3. Runtime architecture</w:t>
      </w:r>
    </w:p>
    <w:p>
      <w:pPr>
        <w:pStyle w:val="Heading3"/>
      </w:pPr>
      <w:r>
        <w:t>3.1 Request path</w:t>
      </w:r>
    </w:p>
    <w:p>
      <w:r>
        <w:rPr>
          <w:rFonts w:ascii="Calibri" w:hAnsi="Calibri"/>
          <w:color w:val="222222"/>
          <w:sz w:val="21"/>
        </w:rPr>
        <w:t>Authenticated requests flow through:</w:t>
      </w:r>
    </w:p>
    <w:p>
      <w:pPr>
        <w:spacing w:before="60" w:after="140" w:line="252" w:lineRule="auto"/>
        <w:ind w:left="259" w:right="173"/>
        <w:shd w:fill="F6F8FA"/>
      </w:pPr>
      <w:r>
        <w:rPr>
          <w:rFonts w:ascii="Menlo" w:hAnsi="Menlo"/>
          <w:color w:val="1F2937"/>
          <w:sz w:val="15"/>
        </w:rPr>
        <w:t>src/index.ts</w:t>
        <w:br/>
        <w:t xml:space="preserve">  → /api</w:t>
        <w:br/>
        <w:t xml:space="preserve">  → src/routes/index.ts (v1 is mounted at /v1 and /)</w:t>
        <w:br/>
        <w:t xml:space="preserve">  → src/api/v1/index.ts</w:t>
        <w:br/>
        <w:t xml:space="preserve">  → authentication</w:t>
        <w:br/>
        <w:t xml:space="preserve">  → tenantContext</w:t>
        <w:br/>
        <w:t xml:space="preserve">  → entitlementsContext</w:t>
        <w:br/>
        <w:t xml:space="preserve">  → /hie router</w:t>
        <w:br/>
        <w:t xml:space="preserve">  → requireFeature("hie")</w:t>
        <w:br/>
        <w:t xml:space="preserve">  → resource/action permission</w:t>
        <w:br/>
        <w:t xml:space="preserve">  → Zod request validation</w:t>
        <w:br/>
        <w:t xml:space="preserve">  → tenant-scoped controller/service</w:t>
      </w:r>
    </w:p>
    <w:p>
      <w:r>
        <w:rPr>
          <w:rFonts w:ascii="Calibri" w:hAnsi="Calibri"/>
          <w:color w:val="222222"/>
          <w:sz w:val="21"/>
        </w:rPr>
        <w:t xml:space="preserve">Canonical endpoints are documented as </w:t>
      </w:r>
      <w:r>
        <w:rPr>
          <w:rFonts w:ascii="Menlo" w:hAnsi="Menlo"/>
          <w:color w:val="1F4D78"/>
          <w:sz w:val="17"/>
          <w:shd w:fill="F6F8FA"/>
        </w:rPr>
        <w:t>/api/v1/hie/...</w:t>
      </w:r>
      <w:r>
        <w:rPr>
          <w:rFonts w:ascii="Calibri" w:hAnsi="Calibri"/>
          <w:color w:val="222222"/>
          <w:sz w:val="21"/>
        </w:rPr>
        <w:t xml:space="preserve">; because the v1 router is also mounted at </w:t>
      </w:r>
      <w:r>
        <w:rPr>
          <w:rFonts w:ascii="Menlo" w:hAnsi="Menlo"/>
          <w:color w:val="1F4D78"/>
          <w:sz w:val="17"/>
          <w:shd w:fill="F6F8FA"/>
        </w:rPr>
        <w:t>/api</w:t>
      </w:r>
      <w:r>
        <w:rPr>
          <w:rFonts w:ascii="Calibri" w:hAnsi="Calibri"/>
          <w:color w:val="222222"/>
          <w:sz w:val="21"/>
        </w:rPr>
        <w:t xml:space="preserve">, aliases under </w:t>
      </w:r>
      <w:r>
        <w:rPr>
          <w:rFonts w:ascii="Menlo" w:hAnsi="Menlo"/>
          <w:color w:val="1F4D78"/>
          <w:sz w:val="17"/>
          <w:shd w:fill="F6F8FA"/>
        </w:rPr>
        <w:t>/api/hie/...</w:t>
      </w:r>
      <w:r>
        <w:rPr>
          <w:rFonts w:ascii="Calibri" w:hAnsi="Calibri"/>
          <w:color w:val="222222"/>
          <w:sz w:val="21"/>
        </w:rPr>
        <w:t xml:space="preserve"> currently exist. Tests and external documentation should use </w:t>
      </w:r>
      <w:r>
        <w:rPr>
          <w:rFonts w:ascii="Menlo" w:hAnsi="Menlo"/>
          <w:color w:val="1F4D78"/>
          <w:sz w:val="17"/>
          <w:shd w:fill="F6F8FA"/>
        </w:rPr>
        <w:t>/api/v1</w:t>
      </w:r>
      <w:r>
        <w:rPr>
          <w:rFonts w:ascii="Calibri" w:hAnsi="Calibri"/>
          <w:color w:val="222222"/>
          <w:sz w:val="21"/>
        </w:rPr>
        <w:t xml:space="preserve"> so a future alias removal does not break clients.</w:t>
      </w:r>
    </w:p>
    <w:p>
      <w:pPr>
        <w:pStyle w:val="Heading3"/>
      </w:pPr>
      <w:r>
        <w:t>3.2 External connectivity boundary</w:t>
      </w:r>
    </w:p>
    <w:p>
      <w:r>
        <w:rPr>
          <w:rFonts w:ascii="Calibri" w:hAnsi="Calibri"/>
          <w:color w:val="222222"/>
          <w:sz w:val="21"/>
        </w:rPr>
        <w:t xml:space="preserve">Only </w:t>
      </w:r>
      <w:r>
        <w:rPr>
          <w:rFonts w:ascii="Menlo" w:hAnsi="Menlo"/>
          <w:color w:val="1F4D78"/>
          <w:sz w:val="17"/>
          <w:shd w:fill="F6F8FA"/>
        </w:rPr>
        <w:t>src/services/hie/rhie-client.ts</w:t>
      </w:r>
      <w:r>
        <w:rPr>
          <w:rFonts w:ascii="Calibri" w:hAnsi="Calibri"/>
          <w:color w:val="222222"/>
          <w:sz w:val="21"/>
        </w:rPr>
        <w:t xml:space="preserve"> sends RHIE HTTP requests. It:</w:t>
      </w:r>
    </w:p>
    <w:p>
      <w:pPr>
        <w:numPr>
          <w:ilvl w:val="0"/>
          <w:numId w:val="10"/>
        </w:numPr>
      </w:pPr>
      <w:r>
        <w:rPr>
          <w:rFonts w:ascii="Calibri" w:hAnsi="Calibri"/>
          <w:color w:val="222222"/>
          <w:sz w:val="21"/>
        </w:rPr>
        <w:t>selects either the Client Registry or Shared Health Record (SHR) base URL;</w:t>
      </w:r>
    </w:p>
    <w:p>
      <w:pPr>
        <w:numPr>
          <w:ilvl w:val="0"/>
          <w:numId w:val="10"/>
        </w:numPr>
      </w:pPr>
      <w:r>
        <w:rPr>
          <w:rFonts w:ascii="Calibri" w:hAnsi="Calibri"/>
          <w:color w:val="222222"/>
          <w:sz w:val="21"/>
        </w:rPr>
        <w:t>verifies tenant, deployment, endpoint, and credential environments all match;</w:t>
      </w:r>
    </w:p>
    <w:p>
      <w:pPr>
        <w:numPr>
          <w:ilvl w:val="0"/>
          <w:numId w:val="10"/>
        </w:numPr>
      </w:pPr>
      <w:r>
        <w:rPr>
          <w:rFonts w:ascii="Calibri" w:hAnsi="Calibri"/>
          <w:color w:val="222222"/>
          <w:sz w:val="21"/>
        </w:rPr>
        <w:t>rejects HTTP in production, even if the test override is present;</w:t>
      </w:r>
    </w:p>
    <w:p>
      <w:pPr>
        <w:numPr>
          <w:ilvl w:val="0"/>
          <w:numId w:val="10"/>
        </w:numPr>
      </w:pPr>
      <w:r>
        <w:rPr>
          <w:rFonts w:ascii="Calibri" w:hAnsi="Calibri"/>
          <w:color w:val="222222"/>
          <w:sz w:val="21"/>
        </w:rPr>
        <w:t xml:space="preserve">restricts method/path/body/response combinations through the typed registry in </w:t>
      </w:r>
      <w:r>
        <w:rPr>
          <w:rFonts w:ascii="Menlo" w:hAnsi="Menlo"/>
          <w:color w:val="1F4D78"/>
          <w:sz w:val="17"/>
          <w:shd w:fill="F6F8FA"/>
        </w:rPr>
        <w:t>rhie-endpoints.ts</w:t>
      </w:r>
      <w:r>
        <w:rPr>
          <w:rFonts w:ascii="Calibri" w:hAnsi="Calibri"/>
          <w:color w:val="222222"/>
          <w:sz w:val="21"/>
        </w:rPr>
        <w:t>;</w:t>
      </w:r>
    </w:p>
    <w:p>
      <w:pPr>
        <w:numPr>
          <w:ilvl w:val="0"/>
          <w:numId w:val="10"/>
        </w:numPr>
      </w:pPr>
      <w:r>
        <w:rPr>
          <w:rFonts w:ascii="Calibri" w:hAnsi="Calibri"/>
          <w:color w:val="222222"/>
          <w:sz w:val="21"/>
        </w:rPr>
        <w:t>applies Basic authentication and a correlation ID backend-side;</w:t>
      </w:r>
    </w:p>
    <w:p>
      <w:pPr>
        <w:numPr>
          <w:ilvl w:val="0"/>
          <w:numId w:val="10"/>
        </w:numPr>
      </w:pPr>
      <w:r>
        <w:rPr>
          <w:rFonts w:ascii="Calibri" w:hAnsi="Calibri"/>
          <w:color w:val="222222"/>
          <w:sz w:val="21"/>
        </w:rPr>
        <w:t>limits responses to 2 MiB and requests to the configured timeout (8 seconds by default);</w:t>
      </w:r>
    </w:p>
    <w:p>
      <w:pPr>
        <w:numPr>
          <w:ilvl w:val="0"/>
          <w:numId w:val="10"/>
        </w:numPr>
      </w:pPr>
      <w:r>
        <w:rPr>
          <w:rFonts w:ascii="Calibri" w:hAnsi="Calibri"/>
          <w:color w:val="222222"/>
          <w:sz w:val="21"/>
        </w:rPr>
        <w:t>retries only safe GET operations on network, HTTP 429, and 5xx conditions;</w:t>
      </w:r>
    </w:p>
    <w:p>
      <w:pPr>
        <w:numPr>
          <w:ilvl w:val="0"/>
          <w:numId w:val="10"/>
        </w:numPr>
      </w:pPr>
      <w:r>
        <w:rPr>
          <w:rFonts w:ascii="Calibri" w:hAnsi="Calibri"/>
          <w:color w:val="222222"/>
          <w:sz w:val="21"/>
        </w:rPr>
        <w:t>never transport-retries POST requests;</w:t>
      </w:r>
    </w:p>
    <w:p>
      <w:pPr>
        <w:numPr>
          <w:ilvl w:val="0"/>
          <w:numId w:val="10"/>
        </w:numPr>
      </w:pPr>
      <w:r>
        <w:rPr>
          <w:rFonts w:ascii="Calibri" w:hAnsi="Calibri"/>
          <w:color w:val="222222"/>
          <w:sz w:val="21"/>
        </w:rPr>
        <w:t>opens an in-process, per-service circuit for 30 seconds after five retryable failures; and</w:t>
      </w:r>
    </w:p>
    <w:p>
      <w:pPr>
        <w:numPr>
          <w:ilvl w:val="0"/>
          <w:numId w:val="10"/>
        </w:numPr>
      </w:pPr>
      <w:r>
        <w:rPr>
          <w:rFonts w:ascii="Calibri" w:hAnsi="Calibri"/>
          <w:color w:val="222222"/>
          <w:sz w:val="21"/>
        </w:rPr>
        <w:t>logs service, method, resource class, status/code, attempts, duration, and correlation ID—not credentials, patient identifiers, raw FHIR, or OperationOutcome diagnostics.</w:t>
      </w:r>
    </w:p>
    <w:p>
      <w:pPr>
        <w:pStyle w:val="Heading3"/>
      </w:pPr>
      <w:r>
        <w:t>3.3 Durable publication path</w:t>
      </w:r>
    </w:p>
    <w:p>
      <w:r>
        <w:rPr>
          <w:rFonts w:ascii="Calibri" w:hAnsi="Calibri"/>
          <w:color w:val="222222"/>
          <w:sz w:val="21"/>
        </w:rPr>
        <w:t>Clinical writes use a transactional outbox:</w:t>
      </w:r>
    </w:p>
    <w:p>
      <w:pPr>
        <w:numPr>
          <w:ilvl w:val="0"/>
          <w:numId w:val="13"/>
        </w:numPr>
      </w:pPr>
      <w:r>
        <w:rPr>
          <w:rFonts w:ascii="Calibri" w:hAnsi="Calibri"/>
          <w:color w:val="222222"/>
          <w:sz w:val="21"/>
        </w:rPr>
        <w:t>The normal local clinical transaction updates CareLogic data.</w:t>
      </w:r>
    </w:p>
    <w:p>
      <w:pPr>
        <w:numPr>
          <w:ilvl w:val="0"/>
          <w:numId w:val="13"/>
        </w:numPr>
      </w:pPr>
      <w:r>
        <w:rPr>
          <w:rFonts w:ascii="Calibri" w:hAnsi="Calibri"/>
          <w:color w:val="222222"/>
          <w:sz w:val="21"/>
        </w:rPr>
        <w:t xml:space="preserve">If HIE and the relevant write capability are enabled, the same transaction inserts an encrypted </w:t>
      </w:r>
      <w:r>
        <w:rPr>
          <w:rFonts w:ascii="Menlo" w:hAnsi="Menlo"/>
          <w:color w:val="1F4D78"/>
          <w:sz w:val="17"/>
          <w:shd w:fill="F6F8FA"/>
        </w:rPr>
        <w:t>HieOutboxEvent</w:t>
      </w:r>
      <w:r>
        <w:rPr>
          <w:rFonts w:ascii="Calibri" w:hAnsi="Calibri"/>
          <w:color w:val="222222"/>
          <w:sz w:val="21"/>
        </w:rPr>
        <w:t xml:space="preserve"> snapshot.</w:t>
      </w:r>
    </w:p>
    <w:p>
      <w:pPr>
        <w:numPr>
          <w:ilvl w:val="0"/>
          <w:numId w:val="13"/>
        </w:numPr>
      </w:pPr>
      <w:r>
        <w:rPr>
          <w:rFonts w:ascii="Calibri" w:hAnsi="Calibri"/>
          <w:color w:val="222222"/>
          <w:sz w:val="21"/>
        </w:rPr>
        <w:t xml:space="preserve">Missing patient identity, synchronized consent, terminology, facility, practitioner, encounter, coverage, or upstream resource references make the event </w:t>
      </w:r>
      <w:r>
        <w:rPr>
          <w:rFonts w:ascii="Menlo" w:hAnsi="Menlo"/>
          <w:color w:val="1F4D78"/>
          <w:sz w:val="17"/>
          <w:shd w:fill="F6F8FA"/>
        </w:rPr>
        <w:t>BLOCKED</w:t>
      </w:r>
      <w:r>
        <w:rPr>
          <w:rFonts w:ascii="Calibri" w:hAnsi="Calibri"/>
          <w:color w:val="222222"/>
          <w:sz w:val="21"/>
        </w:rPr>
        <w:t>; they do not fail the local care transaction.</w:t>
      </w:r>
    </w:p>
    <w:p>
      <w:pPr>
        <w:numPr>
          <w:ilvl w:val="0"/>
          <w:numId w:val="13"/>
        </w:numPr>
      </w:pPr>
      <w:r>
        <w:rPr>
          <w:rFonts w:ascii="Calibri" w:hAnsi="Calibri"/>
          <w:color w:val="222222"/>
          <w:sz w:val="21"/>
        </w:rPr>
        <w:t>Every minute the worker recovers missing finalized-visit events, retries deferred identities, and processes due outbox events.</w:t>
      </w:r>
    </w:p>
    <w:p>
      <w:pPr>
        <w:numPr>
          <w:ilvl w:val="0"/>
          <w:numId w:val="13"/>
        </w:numPr>
      </w:pPr>
      <w:r>
        <w:rPr>
          <w:rFonts w:ascii="Calibri" w:hAnsi="Calibri"/>
          <w:color w:val="222222"/>
          <w:sz w:val="21"/>
        </w:rPr>
        <w:t xml:space="preserve">The worker claims an event, revalidates dependencies, maps the snapshot to a validated FHIR request, and sends it through </w:t>
      </w:r>
      <w:r>
        <w:rPr>
          <w:rFonts w:ascii="Menlo" w:hAnsi="Menlo"/>
          <w:color w:val="1F4D78"/>
          <w:sz w:val="17"/>
          <w:shd w:fill="F6F8FA"/>
        </w:rPr>
        <w:t>rhieRequest</w:t>
      </w:r>
      <w:r>
        <w:rPr>
          <w:rFonts w:ascii="Calibri" w:hAnsi="Calibri"/>
          <w:color w:val="222222"/>
          <w:sz w:val="21"/>
        </w:rPr>
        <w:t>.</w:t>
      </w:r>
    </w:p>
    <w:p>
      <w:pPr>
        <w:numPr>
          <w:ilvl w:val="0"/>
          <w:numId w:val="13"/>
        </w:numPr>
      </w:pPr>
      <w:r>
        <w:rPr>
          <w:rFonts w:ascii="Calibri" w:hAnsi="Calibri"/>
          <w:color w:val="222222"/>
          <w:sz w:val="21"/>
        </w:rPr>
        <w:t xml:space="preserve">Success creates/updates </w:t>
      </w:r>
      <w:r>
        <w:rPr>
          <w:rFonts w:ascii="Menlo" w:hAnsi="Menlo"/>
          <w:color w:val="1F4D78"/>
          <w:sz w:val="17"/>
          <w:shd w:fill="F6F8FA"/>
        </w:rPr>
        <w:t>HieResourceLink</w:t>
      </w:r>
      <w:r>
        <w:rPr>
          <w:rFonts w:ascii="Calibri" w:hAnsi="Calibri"/>
          <w:color w:val="222222"/>
          <w:sz w:val="21"/>
        </w:rPr>
        <w:t xml:space="preserve">, records </w:t>
      </w:r>
      <w:r>
        <w:rPr>
          <w:rFonts w:ascii="Menlo" w:hAnsi="Menlo"/>
          <w:color w:val="1F4D78"/>
          <w:sz w:val="17"/>
          <w:shd w:fill="F6F8FA"/>
        </w:rPr>
        <w:t>HieSyncAttempt</w:t>
      </w:r>
      <w:r>
        <w:rPr>
          <w:rFonts w:ascii="Calibri" w:hAnsi="Calibri"/>
          <w:color w:val="222222"/>
          <w:sz w:val="21"/>
        </w:rPr>
        <w:t xml:space="preserve">, and marks the event </w:t>
      </w:r>
      <w:r>
        <w:rPr>
          <w:rFonts w:ascii="Menlo" w:hAnsi="Menlo"/>
          <w:color w:val="1F4D78"/>
          <w:sz w:val="17"/>
          <w:shd w:fill="F6F8FA"/>
        </w:rPr>
        <w:t>SUCCEEDED</w:t>
      </w:r>
      <w:r>
        <w:rPr>
          <w:rFonts w:ascii="Calibri" w:hAnsi="Calibri"/>
          <w:color w:val="222222"/>
          <w:sz w:val="21"/>
        </w:rPr>
        <w:t xml:space="preserve">. Retryable failures move it to </w:t>
      </w:r>
      <w:r>
        <w:rPr>
          <w:rFonts w:ascii="Menlo" w:hAnsi="Menlo"/>
          <w:color w:val="1F4D78"/>
          <w:sz w:val="17"/>
          <w:shd w:fill="F6F8FA"/>
        </w:rPr>
        <w:t>RETRY</w:t>
      </w:r>
      <w:r>
        <w:rPr>
          <w:rFonts w:ascii="Calibri" w:hAnsi="Calibri"/>
          <w:color w:val="222222"/>
          <w:sz w:val="21"/>
        </w:rPr>
        <w:t xml:space="preserve">; exhausted failures become </w:t>
      </w:r>
      <w:r>
        <w:rPr>
          <w:rFonts w:ascii="Menlo" w:hAnsi="Menlo"/>
          <w:color w:val="1F4D78"/>
          <w:sz w:val="17"/>
          <w:shd w:fill="F6F8FA"/>
        </w:rPr>
        <w:t>DEAD_LETTER</w:t>
      </w:r>
      <w:r>
        <w:rPr>
          <w:rFonts w:ascii="Calibri" w:hAnsi="Calibri"/>
          <w:color w:val="222222"/>
          <w:sz w:val="21"/>
        </w:rPr>
        <w:t xml:space="preserve">; unresolved dependencies remain </w:t>
      </w:r>
      <w:r>
        <w:rPr>
          <w:rFonts w:ascii="Menlo" w:hAnsi="Menlo"/>
          <w:color w:val="1F4D78"/>
          <w:sz w:val="17"/>
          <w:shd w:fill="F6F8FA"/>
        </w:rPr>
        <w:t>BLOCKED</w:t>
      </w:r>
      <w:r>
        <w:rPr>
          <w:rFonts w:ascii="Calibri" w:hAnsi="Calibri"/>
          <w:color w:val="222222"/>
          <w:sz w:val="21"/>
        </w:rPr>
        <w:t xml:space="preserve"> on a bounded schedule.</w:t>
      </w:r>
    </w:p>
    <w:p>
      <w:r>
        <w:rPr>
          <w:rFonts w:ascii="Calibri" w:hAnsi="Calibri"/>
          <w:color w:val="222222"/>
          <w:sz w:val="21"/>
        </w:rPr>
        <w:t xml:space="preserve">This design keeps local care available during HIE downtime and prevents an already-committed clinical event from being lost merely because the immediate enqueue path was missed: </w:t>
      </w:r>
      <w:r>
        <w:rPr>
          <w:rFonts w:ascii="Menlo" w:hAnsi="Menlo"/>
          <w:color w:val="1F4D78"/>
          <w:sz w:val="17"/>
          <w:shd w:fill="F6F8FA"/>
        </w:rPr>
        <w:t>recoverMissingFinalizedVisitEvents</w:t>
      </w:r>
      <w:r>
        <w:rPr>
          <w:rFonts w:ascii="Calibri" w:hAnsi="Calibri"/>
          <w:color w:val="222222"/>
          <w:sz w:val="21"/>
        </w:rPr>
        <w:t xml:space="preserve"> scans finalized visits older than five minutes with no Encounter event.</w:t>
      </w:r>
    </w:p>
    <w:p>
      <w:pPr>
        <w:pStyle w:val="Heading3"/>
      </w:pPr>
      <w:r>
        <w:t>3.4 Scheduler</w:t>
      </w:r>
    </w:p>
    <w:p>
      <w:r>
        <w:rPr>
          <w:rFonts w:ascii="Menlo" w:hAnsi="Menlo"/>
          <w:color w:val="1F4D78"/>
          <w:sz w:val="17"/>
          <w:shd w:fill="F6F8FA"/>
        </w:rPr>
        <w:t>src/jobs/hie-outbox.cron.ts</w:t>
      </w:r>
      <w:r>
        <w:rPr>
          <w:rFonts w:ascii="Calibri" w:hAnsi="Calibri"/>
          <w:color w:val="222222"/>
          <w:sz w:val="21"/>
        </w:rPr>
        <w:t xml:space="preserve"> registers:</w:t>
      </w:r>
    </w:p>
    <w:p>
      <w:pPr>
        <w:numPr>
          <w:ilvl w:val="0"/>
          <w:numId w:val="10"/>
        </w:numPr>
      </w:pPr>
      <w:r>
        <w:rPr>
          <w:rFonts w:ascii="Menlo" w:hAnsi="Menlo"/>
          <w:color w:val="1F4D78"/>
          <w:sz w:val="17"/>
          <w:shd w:fill="F6F8FA"/>
        </w:rPr>
        <w:t>* * * * *</w:t>
      </w:r>
      <w:r>
        <w:rPr>
          <w:rFonts w:ascii="Calibri" w:hAnsi="Calibri"/>
          <w:color w:val="222222"/>
          <w:sz w:val="21"/>
        </w:rPr>
        <w:t>: finalized-visit recovery, pending-identity retry, and outbox processing;</w:t>
      </w:r>
    </w:p>
    <w:p>
      <w:pPr>
        <w:numPr>
          <w:ilvl w:val="0"/>
          <w:numId w:val="10"/>
        </w:numPr>
      </w:pPr>
      <w:r>
        <w:rPr>
          <w:rFonts w:ascii="Menlo" w:hAnsi="Menlo"/>
          <w:color w:val="1F4D78"/>
          <w:sz w:val="17"/>
          <w:shd w:fill="F6F8FA"/>
        </w:rPr>
        <w:t>*/5 * * * *</w:t>
      </w:r>
      <w:r>
        <w:rPr>
          <w:rFonts w:ascii="Calibri" w:hAnsi="Calibri"/>
          <w:color w:val="222222"/>
          <w:sz w:val="21"/>
        </w:rPr>
        <w:t>: tenant operational monitoring and redacted alert logging.</w:t>
      </w:r>
    </w:p>
    <w:p>
      <w:r>
        <w:rPr>
          <w:rFonts w:ascii="Calibri" w:hAnsi="Calibri"/>
          <w:color w:val="222222"/>
          <w:sz w:val="21"/>
        </w:rPr>
        <w:t xml:space="preserve">Recurring jobs start from </w:t>
      </w:r>
      <w:r>
        <w:rPr>
          <w:rFonts w:ascii="Menlo" w:hAnsi="Menlo"/>
          <w:color w:val="1F4D78"/>
          <w:sz w:val="17"/>
          <w:shd w:fill="F6F8FA"/>
        </w:rPr>
        <w:t>src/index.ts</w:t>
      </w:r>
      <w:r>
        <w:rPr>
          <w:rFonts w:ascii="Calibri" w:hAnsi="Calibri"/>
          <w:color w:val="222222"/>
          <w:sz w:val="21"/>
        </w:rPr>
        <w:t xml:space="preserve"> when it is the main module and </w:t>
      </w:r>
      <w:r>
        <w:rPr>
          <w:rFonts w:ascii="Menlo" w:hAnsi="Menlo"/>
          <w:color w:val="1F4D78"/>
          <w:sz w:val="17"/>
          <w:shd w:fill="F6F8FA"/>
        </w:rPr>
        <w:t>NODE_ENV !== "test"</w:t>
      </w:r>
      <w:r>
        <w:rPr>
          <w:rFonts w:ascii="Calibri" w:hAnsi="Calibri"/>
          <w:color w:val="222222"/>
          <w:sz w:val="21"/>
        </w:rPr>
        <w:t>. The implementation assumes a deployment topology in which duplicate scheduler execution is acceptable because event claiming and idempotency prevent duplicate publication. If multiple application replicas run, confirm database claiming behavior under production load and consider a dedicated worker/leader election as an operational hardening step.</w:t>
      </w:r>
    </w:p>
    <w:p>
      <w:pPr>
        <w:pStyle w:val="Heading2"/>
      </w:pPr>
      <w:r>
        <w:t>4. Safety, privacy, tenancy, and authorization</w:t>
      </w:r>
    </w:p>
    <w:p>
      <w:pPr>
        <w:pStyle w:val="Heading3"/>
      </w:pPr>
      <w:r>
        <w:t>4.1 Layered activation</w:t>
      </w:r>
    </w:p>
    <w:p>
      <w:r>
        <w:rPr>
          <w:rFonts w:ascii="Calibri" w:hAnsi="Calibri"/>
          <w:color w:val="222222"/>
          <w:sz w:val="21"/>
        </w:rPr>
        <w:t>An RHIE feature is callable only when all applicable layers pass:</w:t>
      </w:r>
    </w:p>
    <w:p>
      <w:pPr>
        <w:numPr>
          <w:ilvl w:val="0"/>
          <w:numId w:val="15"/>
        </w:numPr>
      </w:pPr>
      <w:r>
        <w:rPr>
          <w:rFonts w:ascii="Calibri" w:hAnsi="Calibri"/>
          <w:color w:val="222222"/>
          <w:sz w:val="21"/>
        </w:rPr>
        <w:t>authenticated CareLogic session;</w:t>
      </w:r>
    </w:p>
    <w:p>
      <w:pPr>
        <w:numPr>
          <w:ilvl w:val="0"/>
          <w:numId w:val="15"/>
        </w:numPr>
      </w:pPr>
      <w:r>
        <w:rPr>
          <w:rFonts w:ascii="Calibri" w:hAnsi="Calibri"/>
          <w:color w:val="222222"/>
          <w:sz w:val="21"/>
        </w:rPr>
        <w:t>resolved tenant/branch scope;</w:t>
      </w:r>
    </w:p>
    <w:p>
      <w:pPr>
        <w:numPr>
          <w:ilvl w:val="0"/>
          <w:numId w:val="15"/>
        </w:numPr>
      </w:pPr>
      <w:r>
        <w:rPr>
          <w:rFonts w:ascii="Calibri" w:hAnsi="Calibri"/>
          <w:color w:val="222222"/>
          <w:sz w:val="21"/>
        </w:rPr>
        <w:t xml:space="preserve">clinic </w:t>
      </w:r>
      <w:r>
        <w:rPr>
          <w:rFonts w:ascii="Menlo" w:hAnsi="Menlo"/>
          <w:color w:val="1F4D78"/>
          <w:sz w:val="17"/>
          <w:shd w:fill="F6F8FA"/>
        </w:rPr>
        <w:t>hie</w:t>
      </w:r>
      <w:r>
        <w:rPr>
          <w:rFonts w:ascii="Calibri" w:hAnsi="Calibri"/>
          <w:color w:val="222222"/>
          <w:sz w:val="21"/>
        </w:rPr>
        <w:t xml:space="preserve"> entitlement (false for </w:t>
      </w:r>
      <w:r>
        <w:rPr>
          <w:rFonts w:ascii="Menlo" w:hAnsi="Menlo"/>
          <w:color w:val="1F4D78"/>
          <w:sz w:val="17"/>
          <w:shd w:fill="F6F8FA"/>
        </w:rPr>
        <w:t>CLINIC_STARTER</w:t>
      </w:r>
      <w:r>
        <w:rPr>
          <w:rFonts w:ascii="Calibri" w:hAnsi="Calibri"/>
          <w:color w:val="222222"/>
          <w:sz w:val="21"/>
        </w:rPr>
        <w:t xml:space="preserve">, </w:t>
      </w:r>
      <w:r>
        <w:rPr>
          <w:rFonts w:ascii="Menlo" w:hAnsi="Menlo"/>
          <w:color w:val="1F4D78"/>
          <w:sz w:val="17"/>
          <w:shd w:fill="F6F8FA"/>
        </w:rPr>
        <w:t>MEDICAL_PLUS</w:t>
      </w:r>
      <w:r>
        <w:rPr>
          <w:rFonts w:ascii="Calibri" w:hAnsi="Calibri"/>
          <w:color w:val="222222"/>
          <w:sz w:val="21"/>
        </w:rPr>
        <w:t xml:space="preserve">, and </w:t>
      </w:r>
      <w:r>
        <w:rPr>
          <w:rFonts w:ascii="Menlo" w:hAnsi="Menlo"/>
          <w:color w:val="1F4D78"/>
          <w:sz w:val="17"/>
          <w:shd w:fill="F6F8FA"/>
        </w:rPr>
        <w:t>HOSPITAL_SUITE</w:t>
      </w:r>
      <w:r>
        <w:rPr>
          <w:rFonts w:ascii="Calibri" w:hAnsi="Calibri"/>
          <w:color w:val="222222"/>
          <w:sz w:val="21"/>
        </w:rPr>
        <w:t xml:space="preserve"> by default);</w:t>
      </w:r>
    </w:p>
    <w:p>
      <w:pPr>
        <w:numPr>
          <w:ilvl w:val="0"/>
          <w:numId w:val="15"/>
        </w:numPr>
      </w:pPr>
      <w:r>
        <w:rPr>
          <w:rFonts w:ascii="Calibri" w:hAnsi="Calibri"/>
          <w:color w:val="222222"/>
          <w:sz w:val="21"/>
        </w:rPr>
        <w:t>HIE RBAC permission for the route action;</w:t>
      </w:r>
    </w:p>
    <w:p>
      <w:pPr>
        <w:numPr>
          <w:ilvl w:val="0"/>
          <w:numId w:val="15"/>
        </w:numPr>
      </w:pPr>
      <w:r>
        <w:rPr>
          <w:rFonts w:ascii="Calibri" w:hAnsi="Calibri"/>
          <w:color w:val="222222"/>
          <w:sz w:val="21"/>
        </w:rPr>
        <w:t xml:space="preserve">enabled </w:t>
      </w:r>
      <w:r>
        <w:rPr>
          <w:rFonts w:ascii="Menlo" w:hAnsi="Menlo"/>
          <w:color w:val="1F4D78"/>
          <w:sz w:val="17"/>
          <w:shd w:fill="F6F8FA"/>
        </w:rPr>
        <w:t>HieTenantConfig</w:t>
      </w:r>
      <w:r>
        <w:rPr>
          <w:rFonts w:ascii="Calibri" w:hAnsi="Calibri"/>
          <w:color w:val="222222"/>
          <w:sz w:val="21"/>
        </w:rPr>
        <w:t xml:space="preserve"> and matching environment;</w:t>
      </w:r>
    </w:p>
    <w:p>
      <w:pPr>
        <w:numPr>
          <w:ilvl w:val="0"/>
          <w:numId w:val="15"/>
        </w:numPr>
      </w:pPr>
      <w:r>
        <w:rPr>
          <w:rFonts w:ascii="Calibri" w:hAnsi="Calibri"/>
          <w:color w:val="222222"/>
          <w:sz w:val="21"/>
        </w:rPr>
        <w:t>relevant per-capability flag; and</w:t>
      </w:r>
    </w:p>
    <w:p>
      <w:pPr>
        <w:numPr>
          <w:ilvl w:val="0"/>
          <w:numId w:val="15"/>
        </w:numPr>
      </w:pPr>
      <w:r>
        <w:rPr>
          <w:rFonts w:ascii="Calibri" w:hAnsi="Calibri"/>
          <w:color w:val="222222"/>
          <w:sz w:val="21"/>
        </w:rPr>
        <w:t>resource-specific prerequisites, such as verified mappings, linked patient, synchronized consent, finalized local state, or verified terminology.</w:t>
      </w:r>
    </w:p>
    <w:p>
      <w:r>
        <w:rPr>
          <w:rFonts w:ascii="Calibri" w:hAnsi="Calibri"/>
          <w:color w:val="222222"/>
          <w:sz w:val="21"/>
        </w:rPr>
        <w:t xml:space="preserve">The principal capability flags are </w:t>
      </w:r>
      <w:r>
        <w:rPr>
          <w:rFonts w:ascii="Menlo" w:hAnsi="Menlo"/>
          <w:color w:val="1F4D78"/>
          <w:sz w:val="17"/>
          <w:shd w:fill="F6F8FA"/>
        </w:rPr>
        <w:t>clientRegistry</w:t>
      </w:r>
      <w:r>
        <w:rPr>
          <w:rFonts w:ascii="Calibri" w:hAnsi="Calibri"/>
          <w:color w:val="222222"/>
          <w:sz w:val="21"/>
        </w:rPr>
        <w:t xml:space="preserve">, </w:t>
      </w:r>
      <w:r>
        <w:rPr>
          <w:rFonts w:ascii="Menlo" w:hAnsi="Menlo"/>
          <w:color w:val="1F4D78"/>
          <w:sz w:val="17"/>
          <w:shd w:fill="F6F8FA"/>
        </w:rPr>
        <w:t>sharedRecordRead</w:t>
      </w:r>
      <w:r>
        <w:rPr>
          <w:rFonts w:ascii="Calibri" w:hAnsi="Calibri"/>
          <w:color w:val="222222"/>
          <w:sz w:val="21"/>
        </w:rPr>
        <w:t xml:space="preserve">, </w:t>
      </w:r>
      <w:r>
        <w:rPr>
          <w:rFonts w:ascii="Menlo" w:hAnsi="Menlo"/>
          <w:color w:val="1F4D78"/>
          <w:sz w:val="17"/>
          <w:shd w:fill="F6F8FA"/>
        </w:rPr>
        <w:t>sharedRecordWrite</w:t>
      </w:r>
      <w:r>
        <w:rPr>
          <w:rFonts w:ascii="Calibri" w:hAnsi="Calibri"/>
          <w:color w:val="222222"/>
          <w:sz w:val="21"/>
        </w:rPr>
        <w:t xml:space="preserve">, </w:t>
      </w:r>
      <w:r>
        <w:rPr>
          <w:rFonts w:ascii="Menlo" w:hAnsi="Menlo"/>
          <w:color w:val="1F4D78"/>
          <w:sz w:val="17"/>
          <w:shd w:fill="F6F8FA"/>
        </w:rPr>
        <w:t>transfer</w:t>
      </w:r>
      <w:r>
        <w:rPr>
          <w:rFonts w:ascii="Calibri" w:hAnsi="Calibri"/>
          <w:color w:val="222222"/>
          <w:sz w:val="21"/>
        </w:rPr>
        <w:t xml:space="preserve">, </w:t>
      </w:r>
      <w:r>
        <w:rPr>
          <w:rFonts w:ascii="Menlo" w:hAnsi="Menlo"/>
          <w:color w:val="1F4D78"/>
          <w:sz w:val="17"/>
          <w:shd w:fill="F6F8FA"/>
        </w:rPr>
        <w:t>consentSync</w:t>
      </w:r>
      <w:r>
        <w:rPr>
          <w:rFonts w:ascii="Calibri" w:hAnsi="Calibri"/>
          <w:color w:val="222222"/>
          <w:sz w:val="21"/>
        </w:rPr>
        <w:t xml:space="preserve">, </w:t>
      </w:r>
      <w:r>
        <w:rPr>
          <w:rFonts w:ascii="Menlo" w:hAnsi="Menlo"/>
          <w:color w:val="1F4D78"/>
          <w:sz w:val="17"/>
          <w:shd w:fill="F6F8FA"/>
        </w:rPr>
        <w:t>consultationWrite</w:t>
      </w:r>
      <w:r>
        <w:rPr>
          <w:rFonts w:ascii="Calibri" w:hAnsi="Calibri"/>
          <w:color w:val="222222"/>
          <w:sz w:val="21"/>
        </w:rPr>
        <w:t xml:space="preserve">, </w:t>
      </w:r>
      <w:r>
        <w:rPr>
          <w:rFonts w:ascii="Menlo" w:hAnsi="Menlo"/>
          <w:color w:val="1F4D78"/>
          <w:sz w:val="17"/>
          <w:shd w:fill="F6F8FA"/>
        </w:rPr>
        <w:t>nationalListRead</w:t>
      </w:r>
      <w:r>
        <w:rPr>
          <w:rFonts w:ascii="Calibri" w:hAnsi="Calibri"/>
          <w:color w:val="222222"/>
          <w:sz w:val="21"/>
        </w:rPr>
        <w:t xml:space="preserve">, </w:t>
      </w:r>
      <w:r>
        <w:rPr>
          <w:rFonts w:ascii="Menlo" w:hAnsi="Menlo"/>
          <w:color w:val="1F4D78"/>
          <w:sz w:val="17"/>
          <w:shd w:fill="F6F8FA"/>
        </w:rPr>
        <w:t>nationalAuditRead</w:t>
      </w:r>
      <w:r>
        <w:rPr>
          <w:rFonts w:ascii="Calibri" w:hAnsi="Calibri"/>
          <w:color w:val="222222"/>
          <w:sz w:val="21"/>
        </w:rPr>
        <w:t xml:space="preserve">, </w:t>
      </w:r>
      <w:r>
        <w:rPr>
          <w:rFonts w:ascii="Menlo" w:hAnsi="Menlo"/>
          <w:color w:val="1F4D78"/>
          <w:sz w:val="17"/>
          <w:shd w:fill="F6F8FA"/>
        </w:rPr>
        <w:t>emergencyRead</w:t>
      </w:r>
      <w:r>
        <w:rPr>
          <w:rFonts w:ascii="Calibri" w:hAnsi="Calibri"/>
          <w:color w:val="222222"/>
          <w:sz w:val="21"/>
        </w:rPr>
        <w:t xml:space="preserve">, </w:t>
      </w:r>
      <w:r>
        <w:rPr>
          <w:rFonts w:ascii="Menlo" w:hAnsi="Menlo"/>
          <w:color w:val="1F4D78"/>
          <w:sz w:val="17"/>
          <w:shd w:fill="F6F8FA"/>
        </w:rPr>
        <w:t>allergyWrite</w:t>
      </w:r>
      <w:r>
        <w:rPr>
          <w:rFonts w:ascii="Calibri" w:hAnsi="Calibri"/>
          <w:color w:val="222222"/>
          <w:sz w:val="21"/>
        </w:rPr>
        <w:t xml:space="preserve">, </w:t>
      </w:r>
      <w:r>
        <w:rPr>
          <w:rFonts w:ascii="Menlo" w:hAnsi="Menlo"/>
          <w:color w:val="1F4D78"/>
          <w:sz w:val="17"/>
          <w:shd w:fill="F6F8FA"/>
        </w:rPr>
        <w:t>immunizationWrite</w:t>
      </w:r>
      <w:r>
        <w:rPr>
          <w:rFonts w:ascii="Calibri" w:hAnsi="Calibri"/>
          <w:color w:val="222222"/>
          <w:sz w:val="21"/>
        </w:rPr>
        <w:t xml:space="preserve">, and </w:t>
      </w:r>
      <w:r>
        <w:rPr>
          <w:rFonts w:ascii="Menlo" w:hAnsi="Menlo"/>
          <w:color w:val="1F4D78"/>
          <w:sz w:val="17"/>
          <w:shd w:fill="F6F8FA"/>
        </w:rPr>
        <w:t>imagingWrite</w:t>
      </w:r>
      <w:r>
        <w:rPr>
          <w:rFonts w:ascii="Calibri" w:hAnsi="Calibri"/>
          <w:color w:val="222222"/>
          <w:sz w:val="21"/>
        </w:rPr>
        <w:t>.</w:t>
      </w:r>
    </w:p>
    <w:p>
      <w:pPr>
        <w:pStyle w:val="Heading3"/>
      </w:pPr>
      <w:r>
        <w:t>4.2 Roles</w:t>
      </w:r>
    </w:p>
    <w:p>
      <w:pPr>
        <w:numPr>
          <w:ilvl w:val="0"/>
          <w:numId w:val="10"/>
        </w:numPr>
      </w:pPr>
      <w:r>
        <w:rPr>
          <w:rFonts w:ascii="Menlo" w:hAnsi="Menlo"/>
          <w:color w:val="1F4D78"/>
          <w:sz w:val="17"/>
          <w:shd w:fill="F6F8FA"/>
        </w:rPr>
        <w:t>CLINIC_ADMIN</w:t>
      </w:r>
      <w:r>
        <w:rPr>
          <w:rFonts w:ascii="Calibri" w:hAnsi="Calibri"/>
          <w:color w:val="222222"/>
          <w:sz w:val="21"/>
        </w:rPr>
        <w:t>: full clinic HIE configuration, processing, consent, transfer, emergency review, and structured clinical management.</w:t>
      </w:r>
    </w:p>
    <w:p>
      <w:pPr>
        <w:numPr>
          <w:ilvl w:val="0"/>
          <w:numId w:val="10"/>
        </w:numPr>
      </w:pPr>
      <w:r>
        <w:rPr>
          <w:rFonts w:ascii="Menlo" w:hAnsi="Menlo"/>
          <w:color w:val="1F4D78"/>
          <w:sz w:val="17"/>
          <w:shd w:fill="F6F8FA"/>
        </w:rPr>
        <w:t>BRANCH_ADMIN</w:t>
      </w:r>
      <w:r>
        <w:rPr>
          <w:rFonts w:ascii="Calibri" w:hAnsi="Calibri"/>
          <w:color w:val="222222"/>
          <w:sz w:val="21"/>
        </w:rPr>
        <w:t>: branch-scoped read/create/update/identity/consent/transfer functions; not the clinic-wide processing surface.</w:t>
      </w:r>
    </w:p>
    <w:p>
      <w:pPr>
        <w:numPr>
          <w:ilvl w:val="0"/>
          <w:numId w:val="10"/>
        </w:numPr>
      </w:pPr>
      <w:r>
        <w:rPr>
          <w:rFonts w:ascii="Menlo" w:hAnsi="Menlo"/>
          <w:color w:val="1F4D78"/>
          <w:sz w:val="17"/>
          <w:shd w:fill="F6F8FA"/>
        </w:rPr>
        <w:t>DOCTOR</w:t>
      </w:r>
      <w:r>
        <w:rPr>
          <w:rFonts w:ascii="Calibri" w:hAnsi="Calibri"/>
          <w:color w:val="222222"/>
          <w:sz w:val="21"/>
        </w:rPr>
        <w:t xml:space="preserve">: read/create, consent, outbound/inbound transfer, emergency read, allergy, immunization, and imaging functions. Transfer creation is additionally hard-restricted to </w:t>
      </w:r>
      <w:r>
        <w:rPr>
          <w:rFonts w:ascii="Menlo" w:hAnsi="Menlo"/>
          <w:color w:val="1F4D78"/>
          <w:sz w:val="17"/>
          <w:shd w:fill="F6F8FA"/>
        </w:rPr>
        <w:t>DOCTOR</w:t>
      </w:r>
      <w:r>
        <w:rPr>
          <w:rFonts w:ascii="Calibri" w:hAnsi="Calibri"/>
          <w:color w:val="222222"/>
          <w:sz w:val="21"/>
        </w:rPr>
        <w:t xml:space="preserve"> in the controller.</w:t>
      </w:r>
    </w:p>
    <w:p>
      <w:pPr>
        <w:numPr>
          <w:ilvl w:val="0"/>
          <w:numId w:val="10"/>
        </w:numPr>
      </w:pPr>
      <w:r>
        <w:rPr>
          <w:rFonts w:ascii="Menlo" w:hAnsi="Menlo"/>
          <w:color w:val="1F4D78"/>
          <w:sz w:val="17"/>
          <w:shd w:fill="F6F8FA"/>
        </w:rPr>
        <w:t>NURSE</w:t>
      </w:r>
      <w:r>
        <w:rPr>
          <w:rFonts w:ascii="Calibri" w:hAnsi="Calibri"/>
          <w:color w:val="222222"/>
          <w:sz w:val="21"/>
        </w:rPr>
        <w:t>: read/create/identity approval, consent, allergies, and immunizations.</w:t>
      </w:r>
    </w:p>
    <w:p>
      <w:pPr>
        <w:numPr>
          <w:ilvl w:val="0"/>
          <w:numId w:val="10"/>
        </w:numPr>
      </w:pPr>
      <w:r>
        <w:rPr>
          <w:rFonts w:ascii="Menlo" w:hAnsi="Menlo"/>
          <w:color w:val="1F4D78"/>
          <w:sz w:val="17"/>
          <w:shd w:fill="F6F8FA"/>
        </w:rPr>
        <w:t>LAB_TECHNICIAN</w:t>
      </w:r>
      <w:r>
        <w:rPr>
          <w:rFonts w:ascii="Calibri" w:hAnsi="Calibri"/>
          <w:color w:val="222222"/>
          <w:sz w:val="21"/>
        </w:rPr>
        <w:t>: HIE read and imaging management.</w:t>
      </w:r>
    </w:p>
    <w:p>
      <w:pPr>
        <w:numPr>
          <w:ilvl w:val="0"/>
          <w:numId w:val="10"/>
        </w:numPr>
      </w:pPr>
      <w:r>
        <w:rPr>
          <w:rFonts w:ascii="Menlo" w:hAnsi="Menlo"/>
          <w:color w:val="1F4D78"/>
          <w:sz w:val="17"/>
          <w:shd w:fill="F6F8FA"/>
        </w:rPr>
        <w:t>RECEPTIONIST</w:t>
      </w:r>
      <w:r>
        <w:rPr>
          <w:rFonts w:ascii="Calibri" w:hAnsi="Calibri"/>
          <w:color w:val="222222"/>
          <w:sz w:val="21"/>
        </w:rPr>
        <w:t xml:space="preserve"> and </w:t>
      </w:r>
      <w:r>
        <w:rPr>
          <w:rFonts w:ascii="Menlo" w:hAnsi="Menlo"/>
          <w:color w:val="1F4D78"/>
          <w:sz w:val="17"/>
          <w:shd w:fill="F6F8FA"/>
        </w:rPr>
        <w:t>CASHIER</w:t>
      </w:r>
      <w:r>
        <w:rPr>
          <w:rFonts w:ascii="Calibri" w:hAnsi="Calibri"/>
          <w:color w:val="222222"/>
          <w:sz w:val="21"/>
        </w:rPr>
        <w:t>: read/create, identity approval, and consent.</w:t>
      </w:r>
    </w:p>
    <w:p>
      <w:pPr>
        <w:numPr>
          <w:ilvl w:val="0"/>
          <w:numId w:val="10"/>
        </w:numPr>
      </w:pPr>
      <w:r>
        <w:rPr>
          <w:rFonts w:ascii="Menlo" w:hAnsi="Menlo"/>
          <w:color w:val="1F4D78"/>
          <w:sz w:val="17"/>
          <w:shd w:fill="F6F8FA"/>
        </w:rPr>
        <w:t>SUPER_ADMIN</w:t>
      </w:r>
      <w:r>
        <w:rPr>
          <w:rFonts w:ascii="Calibri" w:hAnsi="Calibri"/>
          <w:color w:val="222222"/>
          <w:sz w:val="21"/>
        </w:rPr>
        <w:t>: implicit permission bypass, with global terminology managed under the separate super-admin routes.</w:t>
      </w:r>
    </w:p>
    <w:p>
      <w:pPr>
        <w:numPr>
          <w:ilvl w:val="0"/>
          <w:numId w:val="10"/>
        </w:numPr>
      </w:pPr>
      <w:r>
        <w:rPr>
          <w:rFonts w:ascii="Calibri" w:hAnsi="Calibri"/>
          <w:color w:val="222222"/>
          <w:sz w:val="21"/>
        </w:rPr>
        <w:t>Other roles have no HIE grant unless explicitly present in the matrix.</w:t>
      </w:r>
    </w:p>
    <w:p>
      <w:r>
        <w:rPr>
          <w:rFonts w:ascii="Calibri" w:hAnsi="Calibri"/>
          <w:color w:val="222222"/>
          <w:sz w:val="21"/>
        </w:rPr>
        <w:t xml:space="preserve">Always treat </w:t>
      </w:r>
      <w:r>
        <w:rPr>
          <w:rFonts w:ascii="Menlo" w:hAnsi="Menlo"/>
          <w:color w:val="1F4D78"/>
          <w:sz w:val="17"/>
          <w:shd w:fill="F6F8FA"/>
        </w:rPr>
        <w:t>src/lib/permissions.ts</w:t>
      </w:r>
      <w:r>
        <w:rPr>
          <w:rFonts w:ascii="Calibri" w:hAnsi="Calibri"/>
          <w:color w:val="222222"/>
          <w:sz w:val="21"/>
        </w:rPr>
        <w:t xml:space="preserve"> in both repositories as the current source of truth; the route uses a specific action such as </w:t>
      </w:r>
      <w:r>
        <w:rPr>
          <w:rFonts w:ascii="Menlo" w:hAnsi="Menlo"/>
          <w:color w:val="1F4D78"/>
          <w:sz w:val="17"/>
          <w:shd w:fill="F6F8FA"/>
        </w:rPr>
        <w:t>manageHieConsent</w:t>
      </w:r>
      <w:r>
        <w:rPr>
          <w:rFonts w:ascii="Calibri" w:hAnsi="Calibri"/>
          <w:color w:val="222222"/>
          <w:sz w:val="21"/>
        </w:rPr>
        <w:t xml:space="preserve">, </w:t>
      </w:r>
      <w:r>
        <w:rPr>
          <w:rFonts w:ascii="Menlo" w:hAnsi="Menlo"/>
          <w:color w:val="1F4D78"/>
          <w:sz w:val="17"/>
          <w:shd w:fill="F6F8FA"/>
        </w:rPr>
        <w:t>manageHieTransfers</w:t>
      </w:r>
      <w:r>
        <w:rPr>
          <w:rFonts w:ascii="Calibri" w:hAnsi="Calibri"/>
          <w:color w:val="222222"/>
          <w:sz w:val="21"/>
        </w:rPr>
        <w:t xml:space="preserve">, </w:t>
      </w:r>
      <w:r>
        <w:rPr>
          <w:rFonts w:ascii="Menlo" w:hAnsi="Menlo"/>
          <w:color w:val="1F4D78"/>
          <w:sz w:val="17"/>
          <w:shd w:fill="F6F8FA"/>
        </w:rPr>
        <w:t>emergencyHieRead</w:t>
      </w:r>
      <w:r>
        <w:rPr>
          <w:rFonts w:ascii="Calibri" w:hAnsi="Calibri"/>
          <w:color w:val="222222"/>
          <w:sz w:val="21"/>
        </w:rPr>
        <w:t xml:space="preserve">, or </w:t>
      </w:r>
      <w:r>
        <w:rPr>
          <w:rFonts w:ascii="Menlo" w:hAnsi="Menlo"/>
          <w:color w:val="1F4D78"/>
          <w:sz w:val="17"/>
          <w:shd w:fill="F6F8FA"/>
        </w:rPr>
        <w:t>process</w:t>
      </w:r>
      <w:r>
        <w:rPr>
          <w:rFonts w:ascii="Calibri" w:hAnsi="Calibri"/>
          <w:color w:val="222222"/>
          <w:sz w:val="21"/>
        </w:rPr>
        <w:t>, not just generic read/update.</w:t>
      </w:r>
    </w:p>
    <w:p>
      <w:pPr>
        <w:pStyle w:val="Heading3"/>
      </w:pPr>
      <w:r>
        <w:t>4.3 Sensitive data protection</w:t>
      </w:r>
    </w:p>
    <w:p>
      <w:pPr>
        <w:numPr>
          <w:ilvl w:val="0"/>
          <w:numId w:val="10"/>
        </w:numPr>
      </w:pPr>
      <w:r>
        <w:rPr>
          <w:rFonts w:ascii="Menlo" w:hAnsi="Menlo"/>
          <w:color w:val="1F4D78"/>
          <w:sz w:val="17"/>
          <w:shd w:fill="F6F8FA"/>
        </w:rPr>
        <w:t>HIE_DATA_ENCRYPTION_KEY</w:t>
      </w:r>
      <w:r>
        <w:rPr>
          <w:rFonts w:ascii="Calibri" w:hAnsi="Calibri"/>
          <w:color w:val="222222"/>
          <w:sz w:val="21"/>
        </w:rPr>
        <w:t xml:space="preserve"> is a 32-byte AES-256-GCM key. Values are stored as a randomized, authenticated </w:t>
      </w:r>
      <w:r>
        <w:rPr>
          <w:rFonts w:ascii="Menlo" w:hAnsi="Menlo"/>
          <w:color w:val="1F4D78"/>
          <w:sz w:val="17"/>
          <w:shd w:fill="F6F8FA"/>
        </w:rPr>
        <w:t>v1.&lt;iv&gt;.&lt;tag&gt;.&lt;ciphertext&gt;</w:t>
      </w:r>
      <w:r>
        <w:rPr>
          <w:rFonts w:ascii="Calibri" w:hAnsi="Calibri"/>
          <w:color w:val="222222"/>
          <w:sz w:val="21"/>
        </w:rPr>
        <w:t xml:space="preserve"> envelope.</w:t>
      </w:r>
    </w:p>
    <w:p>
      <w:pPr>
        <w:numPr>
          <w:ilvl w:val="0"/>
          <w:numId w:val="10"/>
        </w:numPr>
      </w:pPr>
      <w:r>
        <w:rPr>
          <w:rFonts w:ascii="Menlo" w:hAnsi="Menlo"/>
          <w:color w:val="1F4D78"/>
          <w:sz w:val="17"/>
          <w:shd w:fill="F6F8FA"/>
        </w:rPr>
        <w:t>HIE_IDENTIFIER_HASH_KEY</w:t>
      </w:r>
      <w:r>
        <w:rPr>
          <w:rFonts w:ascii="Calibri" w:hAnsi="Calibri"/>
          <w:color w:val="222222"/>
          <w:sz w:val="21"/>
        </w:rPr>
        <w:t xml:space="preserve"> is a separate 32-byte HMAC-SHA-256 key. Normalized NIDs, UPIDs, FHIR IDs, coverage references, and other lookup identifiers can be uniquely indexed without storing plaintext.</w:t>
      </w:r>
    </w:p>
    <w:p>
      <w:pPr>
        <w:numPr>
          <w:ilvl w:val="0"/>
          <w:numId w:val="10"/>
        </w:numPr>
      </w:pPr>
      <w:r>
        <w:rPr>
          <w:rFonts w:ascii="Calibri" w:hAnsi="Calibri"/>
          <w:color w:val="222222"/>
          <w:sz w:val="21"/>
        </w:rPr>
        <w:t>The HMAC key must remain stable across data-encryption-key rotations; changing it breaks deterministic equality/uniqueness lookups.</w:t>
      </w:r>
    </w:p>
    <w:p>
      <w:pPr>
        <w:numPr>
          <w:ilvl w:val="0"/>
          <w:numId w:val="10"/>
        </w:numPr>
      </w:pPr>
      <w:r>
        <w:rPr>
          <w:rFonts w:ascii="Calibri" w:hAnsi="Calibri"/>
          <w:color w:val="222222"/>
          <w:sz w:val="21"/>
        </w:rPr>
        <w:t xml:space="preserve">Identifiers and raw payloads are encrypted in </w:t>
      </w:r>
      <w:r>
        <w:rPr>
          <w:rFonts w:ascii="Menlo" w:hAnsi="Menlo"/>
          <w:color w:val="1F4D78"/>
          <w:sz w:val="17"/>
          <w:shd w:fill="F6F8FA"/>
        </w:rPr>
        <w:t>PatientExternalIdentity</w:t>
      </w:r>
      <w:r>
        <w:rPr>
          <w:rFonts w:ascii="Calibri" w:hAnsi="Calibri"/>
          <w:color w:val="222222"/>
          <w:sz w:val="21"/>
        </w:rPr>
        <w:t xml:space="preserve">, </w:t>
      </w:r>
      <w:r>
        <w:rPr>
          <w:rFonts w:ascii="Menlo" w:hAnsi="Menlo"/>
          <w:color w:val="1F4D78"/>
          <w:sz w:val="17"/>
          <w:shd w:fill="F6F8FA"/>
        </w:rPr>
        <w:t>UserExternalIdentity</w:t>
      </w:r>
      <w:r>
        <w:rPr>
          <w:rFonts w:ascii="Calibri" w:hAnsi="Calibri"/>
          <w:color w:val="222222"/>
          <w:sz w:val="21"/>
        </w:rPr>
        <w:t xml:space="preserve">, </w:t>
      </w:r>
      <w:r>
        <w:rPr>
          <w:rFonts w:ascii="Menlo" w:hAnsi="Menlo"/>
          <w:color w:val="1F4D78"/>
          <w:sz w:val="17"/>
          <w:shd w:fill="F6F8FA"/>
        </w:rPr>
        <w:t>HieResourceLink</w:t>
      </w:r>
      <w:r>
        <w:rPr>
          <w:rFonts w:ascii="Calibri" w:hAnsi="Calibri"/>
          <w:color w:val="222222"/>
          <w:sz w:val="21"/>
        </w:rPr>
        <w:t xml:space="preserve">, </w:t>
      </w:r>
      <w:r>
        <w:rPr>
          <w:rFonts w:ascii="Menlo" w:hAnsi="Menlo"/>
          <w:color w:val="1F4D78"/>
          <w:sz w:val="17"/>
          <w:shd w:fill="F6F8FA"/>
        </w:rPr>
        <w:t>HieOutboxEvent</w:t>
      </w:r>
      <w:r>
        <w:rPr>
          <w:rFonts w:ascii="Calibri" w:hAnsi="Calibri"/>
          <w:color w:val="222222"/>
          <w:sz w:val="21"/>
        </w:rPr>
        <w:t xml:space="preserve">, </w:t>
      </w:r>
      <w:r>
        <w:rPr>
          <w:rFonts w:ascii="Menlo" w:hAnsi="Menlo"/>
          <w:color w:val="1F4D78"/>
          <w:sz w:val="17"/>
          <w:shd w:fill="F6F8FA"/>
        </w:rPr>
        <w:t>HieReconciliation</w:t>
      </w:r>
      <w:r>
        <w:rPr>
          <w:rFonts w:ascii="Calibri" w:hAnsi="Calibri"/>
          <w:color w:val="222222"/>
          <w:sz w:val="21"/>
        </w:rPr>
        <w:t>, inbound transfers, and consent fields as appropriate.</w:t>
      </w:r>
    </w:p>
    <w:p>
      <w:pPr>
        <w:numPr>
          <w:ilvl w:val="0"/>
          <w:numId w:val="10"/>
        </w:numPr>
      </w:pPr>
      <w:r>
        <w:rPr>
          <w:rFonts w:ascii="Calibri" w:hAnsi="Calibri"/>
          <w:color w:val="222222"/>
          <w:sz w:val="21"/>
        </w:rPr>
        <w:t>Raw national FHIR bundles are summarized server-side. The browser receives a minimal provenance view, not the national patient identifier or reusable resource ID.</w:t>
      </w:r>
    </w:p>
    <w:p>
      <w:pPr>
        <w:numPr>
          <w:ilvl w:val="0"/>
          <w:numId w:val="10"/>
        </w:numPr>
      </w:pPr>
      <w:r>
        <w:rPr>
          <w:rFonts w:ascii="Calibri" w:hAnsi="Calibri"/>
          <w:color w:val="222222"/>
          <w:sz w:val="21"/>
        </w:rPr>
        <w:t>Reconciliation uses an encrypted, patient-bound, expiring opaque token. The controller rejects malformed, expired, or cross-patient tokens before storing the review.</w:t>
      </w:r>
    </w:p>
    <w:p>
      <w:pPr>
        <w:numPr>
          <w:ilvl w:val="0"/>
          <w:numId w:val="10"/>
        </w:numPr>
      </w:pPr>
      <w:r>
        <w:rPr>
          <w:rFonts w:ascii="Calibri" w:hAnsi="Calibri"/>
          <w:color w:val="222222"/>
          <w:sz w:val="21"/>
        </w:rPr>
        <w:t>Application audit records store action/outcome/correlation and redacted metadata, rather than authorization headers or raw clinical payloads.</w:t>
      </w:r>
    </w:p>
    <w:p>
      <w:pPr>
        <w:pStyle w:val="Heading2"/>
      </w:pPr>
      <w:r>
        <w:t>5. Implemented workflows</w:t>
      </w:r>
    </w:p>
    <w:p>
      <w:pPr>
        <w:pStyle w:val="Heading3"/>
      </w:pPr>
      <w:r>
        <w:t>5.1 Tenant configuration and readiness</w:t>
      </w:r>
    </w:p>
    <w:p>
      <w:r>
        <w:rPr>
          <w:rFonts w:ascii="Calibri" w:hAnsi="Calibri"/>
          <w:color w:val="222222"/>
          <w:sz w:val="21"/>
        </w:rPr>
        <w:t xml:space="preserve">The clinic administrator opens Dashboard </w:t>
      </w:r>
      <w:r>
        <w:rPr>
          <w:rFonts w:ascii="Calibri" w:hAnsi="Calibri"/>
          <w:b/>
          <w:color w:val="222222"/>
          <w:sz w:val="21"/>
        </w:rPr>
        <w:t>Setup → Rwanda HIE</w:t>
      </w:r>
      <w:r>
        <w:rPr>
          <w:rFonts w:ascii="Calibri" w:hAnsi="Calibri"/>
          <w:color w:val="222222"/>
          <w:sz w:val="21"/>
        </w:rPr>
        <w:t>. The status endpoint returns enabled capabilities, environment, non-secret connection readiness, health, verified-facility counts, and whether the actor may manage configuration. No secret is returned.</w:t>
      </w:r>
    </w:p>
    <w:p>
      <w:r>
        <w:rPr>
          <w:rFonts w:ascii="Calibri" w:hAnsi="Calibri"/>
          <w:color w:val="222222"/>
          <w:sz w:val="21"/>
        </w:rPr>
        <w:t>Activation validates:</w:t>
      </w:r>
    </w:p>
    <w:p>
      <w:pPr>
        <w:numPr>
          <w:ilvl w:val="0"/>
          <w:numId w:val="10"/>
        </w:numPr>
      </w:pPr>
      <w:r>
        <w:rPr>
          <w:rFonts w:ascii="Menlo" w:hAnsi="Menlo"/>
          <w:color w:val="1F4D78"/>
          <w:sz w:val="17"/>
          <w:shd w:fill="F6F8FA"/>
        </w:rPr>
        <w:t>HIE_DEPLOYMENT_ENVIRONMENT</w:t>
      </w:r>
      <w:r>
        <w:rPr>
          <w:rFonts w:ascii="Calibri" w:hAnsi="Calibri"/>
          <w:color w:val="222222"/>
          <w:sz w:val="21"/>
        </w:rPr>
        <w:t xml:space="preserve"> exists and equals the requested tenant environment;</w:t>
      </w:r>
    </w:p>
    <w:p>
      <w:pPr>
        <w:numPr>
          <w:ilvl w:val="0"/>
          <w:numId w:val="10"/>
        </w:numPr>
      </w:pPr>
      <w:r>
        <w:rPr>
          <w:rFonts w:ascii="Calibri" w:hAnsi="Calibri"/>
          <w:color w:val="222222"/>
          <w:sz w:val="21"/>
        </w:rPr>
        <w:t>endpoint and credential environment labels match;</w:t>
      </w:r>
    </w:p>
    <w:p>
      <w:pPr>
        <w:numPr>
          <w:ilvl w:val="0"/>
          <w:numId w:val="10"/>
        </w:numPr>
      </w:pPr>
      <w:r>
        <w:rPr>
          <w:rFonts w:ascii="Calibri" w:hAnsi="Calibri"/>
          <w:color w:val="222222"/>
          <w:sz w:val="21"/>
        </w:rPr>
        <w:t>Basic-auth credentials, encryption keys, and both base URLs are configured;</w:t>
      </w:r>
    </w:p>
    <w:p>
      <w:pPr>
        <w:numPr>
          <w:ilvl w:val="0"/>
          <w:numId w:val="10"/>
        </w:numPr>
      </w:pPr>
      <w:r>
        <w:rPr>
          <w:rFonts w:ascii="Calibri" w:hAnsi="Calibri"/>
          <w:color w:val="222222"/>
          <w:sz w:val="21"/>
        </w:rPr>
        <w:t>production URLs use HTTPS; and</w:t>
      </w:r>
    </w:p>
    <w:p>
      <w:pPr>
        <w:numPr>
          <w:ilvl w:val="0"/>
          <w:numId w:val="10"/>
        </w:numPr>
      </w:pPr>
      <w:r>
        <w:rPr>
          <w:rFonts w:ascii="Calibri" w:hAnsi="Calibri"/>
          <w:color w:val="222222"/>
          <w:sz w:val="21"/>
        </w:rPr>
        <w:t>only intentionally enabled capabilities are saved.</w:t>
      </w:r>
    </w:p>
    <w:p>
      <w:r>
        <w:rPr>
          <w:rFonts w:ascii="Calibri" w:hAnsi="Calibri"/>
          <w:color w:val="222222"/>
          <w:sz w:val="21"/>
        </w:rPr>
        <w:t xml:space="preserve">Facility mappings bind a CareLogic branch to a unique national FOSA code and FHIR </w:t>
      </w:r>
      <w:r>
        <w:rPr>
          <w:rFonts w:ascii="Menlo" w:hAnsi="Menlo"/>
          <w:color w:val="1F4D78"/>
          <w:sz w:val="17"/>
          <w:shd w:fill="F6F8FA"/>
        </w:rPr>
        <w:t>Location</w:t>
      </w:r>
      <w:r>
        <w:rPr>
          <w:rFonts w:ascii="Calibri" w:hAnsi="Calibri"/>
          <w:color w:val="222222"/>
          <w:sz w:val="21"/>
        </w:rPr>
        <w:t xml:space="preserve"> reference. Practitioner mappings encrypt and hash the national Practitioner reference. Destination facilities are clinic-scoped verified records used by transfers. Mapping inputs include verification status/source/reference/actor, optional expiry, and audit history. The UI also exposes HIE operations and governance panels to clinic administrators.</w:t>
      </w:r>
    </w:p>
    <w:p>
      <w:pPr>
        <w:pStyle w:val="Heading3"/>
      </w:pPr>
      <w:r>
        <w:t>5.2 Patient identity at reception</w:t>
      </w:r>
    </w:p>
    <w:p>
      <w:r>
        <w:rPr>
          <w:rFonts w:ascii="Calibri" w:hAnsi="Calibri"/>
          <w:color w:val="222222"/>
          <w:sz w:val="21"/>
        </w:rPr>
        <w:t>The reception form exposes national lookup only when the entitlement/configuration and Client Registry capability are enabled. Lookup requires a validated 16-digit NID and date-only birth date.</w:t>
      </w:r>
    </w:p>
    <w:p>
      <w:r>
        <w:rPr>
          <w:rFonts w:ascii="Calibri" w:hAnsi="Calibri"/>
          <w:color w:val="222222"/>
          <w:sz w:val="21"/>
        </w:rPr>
        <w:t>Flow:</w:t>
      </w:r>
    </w:p>
    <w:p>
      <w:pPr>
        <w:numPr>
          <w:ilvl w:val="0"/>
          <w:numId w:val="17"/>
        </w:numPr>
      </w:pPr>
      <w:r>
        <w:rPr>
          <w:rFonts w:ascii="Calibri" w:hAnsi="Calibri"/>
          <w:color w:val="222222"/>
          <w:sz w:val="21"/>
        </w:rPr>
        <w:t xml:space="preserve">The backend calls Client Registry </w:t>
      </w:r>
      <w:r>
        <w:rPr>
          <w:rFonts w:ascii="Menlo" w:hAnsi="Menlo"/>
          <w:color w:val="1F4D78"/>
          <w:sz w:val="17"/>
          <w:shd w:fill="F6F8FA"/>
        </w:rPr>
        <w:t>GET /Patient</w:t>
      </w:r>
      <w:r>
        <w:rPr>
          <w:rFonts w:ascii="Calibri" w:hAnsi="Calibri"/>
          <w:color w:val="222222"/>
          <w:sz w:val="21"/>
        </w:rPr>
        <w:t xml:space="preserve"> with the allowed query.</w:t>
      </w:r>
    </w:p>
    <w:p>
      <w:pPr>
        <w:numPr>
          <w:ilvl w:val="0"/>
          <w:numId w:val="17"/>
        </w:numPr>
      </w:pPr>
      <w:r>
        <w:rPr>
          <w:rFonts w:ascii="Calibri" w:hAnsi="Calibri"/>
          <w:color w:val="222222"/>
          <w:sz w:val="21"/>
        </w:rPr>
        <w:t>Successful data is validated as FHIR and filtered to exact normalized NID and DOB matches.</w:t>
      </w:r>
    </w:p>
    <w:p>
      <w:pPr>
        <w:numPr>
          <w:ilvl w:val="0"/>
          <w:numId w:val="17"/>
        </w:numPr>
      </w:pPr>
      <w:r>
        <w:rPr>
          <w:rFonts w:ascii="Calibri" w:hAnsi="Calibri"/>
          <w:color w:val="222222"/>
          <w:sz w:val="21"/>
        </w:rPr>
        <w:t>CareLogic searches local candidates and prioritizes an already-verified identity match, then demographic candidates.</w:t>
      </w:r>
    </w:p>
    <w:p>
      <w:pPr>
        <w:numPr>
          <w:ilvl w:val="0"/>
          <w:numId w:val="17"/>
        </w:numPr>
      </w:pPr>
      <w:r>
        <w:rPr>
          <w:rFonts w:ascii="Calibri" w:hAnsi="Calibri"/>
          <w:color w:val="222222"/>
          <w:sz w:val="21"/>
        </w:rPr>
        <w:t>The user sees national and local demographic values side-by-side.</w:t>
      </w:r>
    </w:p>
    <w:p>
      <w:pPr>
        <w:numPr>
          <w:ilvl w:val="0"/>
          <w:numId w:val="17"/>
        </w:numPr>
      </w:pPr>
      <w:r>
        <w:rPr>
          <w:rFonts w:ascii="Calibri" w:hAnsi="Calibri"/>
          <w:color w:val="222222"/>
          <w:sz w:val="21"/>
        </w:rPr>
        <w:t xml:space="preserve">Linking requires explicit review and an optimistic </w:t>
      </w:r>
      <w:r>
        <w:rPr>
          <w:rFonts w:ascii="Menlo" w:hAnsi="Menlo"/>
          <w:color w:val="1F4D78"/>
          <w:sz w:val="17"/>
          <w:shd w:fill="F6F8FA"/>
        </w:rPr>
        <w:t>expectedUpdatedAt</w:t>
      </w:r>
      <w:r>
        <w:rPr>
          <w:rFonts w:ascii="Calibri" w:hAnsi="Calibri"/>
          <w:color w:val="222222"/>
          <w:sz w:val="21"/>
        </w:rPr>
        <w:t xml:space="preserve"> value so a concurrently edited local patient is not silently linked.</w:t>
      </w:r>
    </w:p>
    <w:p>
      <w:pPr>
        <w:numPr>
          <w:ilvl w:val="0"/>
          <w:numId w:val="17"/>
        </w:numPr>
      </w:pPr>
      <w:r>
        <w:rPr>
          <w:rFonts w:ascii="Calibri" w:hAnsi="Calibri"/>
          <w:color w:val="222222"/>
          <w:sz w:val="21"/>
        </w:rPr>
        <w:t>The backend stores encrypted NID/UPID/resource IDs, HMAC lookup hashes, a protected demographic snapshot, verification state, and an audit event.</w:t>
      </w:r>
    </w:p>
    <w:p>
      <w:pPr>
        <w:numPr>
          <w:ilvl w:val="0"/>
          <w:numId w:val="17"/>
        </w:numPr>
      </w:pPr>
      <w:r>
        <w:rPr>
          <w:rFonts w:ascii="Calibri" w:hAnsi="Calibri"/>
          <w:color w:val="222222"/>
          <w:sz w:val="21"/>
        </w:rPr>
        <w:t xml:space="preserve">National demographics are </w:t>
      </w:r>
      <w:r>
        <w:rPr>
          <w:rFonts w:ascii="Calibri" w:hAnsi="Calibri"/>
          <w:b/>
          <w:color w:val="222222"/>
          <w:sz w:val="21"/>
        </w:rPr>
        <w:t>not</w:t>
      </w:r>
      <w:r>
        <w:rPr>
          <w:rFonts w:ascii="Calibri" w:hAnsi="Calibri"/>
          <w:color w:val="222222"/>
          <w:sz w:val="21"/>
        </w:rPr>
        <w:t xml:space="preserve"> copied over the local patient record. Differences remain visible for human handling; DOB differences enter a dedicated remediation queue.</w:t>
      </w:r>
    </w:p>
    <w:p>
      <w:r>
        <w:rPr>
          <w:rFonts w:ascii="Calibri" w:hAnsi="Calibri"/>
          <w:color w:val="222222"/>
          <w:sz w:val="21"/>
        </w:rPr>
        <w:t>If Client Registry is unavailable, the user can follow an alternate path and record a stable defer reason (</w:t>
      </w:r>
      <w:r>
        <w:rPr>
          <w:rFonts w:ascii="Menlo" w:hAnsi="Menlo"/>
          <w:color w:val="1F4D78"/>
          <w:sz w:val="17"/>
          <w:shd w:fill="F6F8FA"/>
        </w:rPr>
        <w:t>SERVICE_UNAVAILABLE</w:t>
      </w:r>
      <w:r>
        <w:rPr>
          <w:rFonts w:ascii="Calibri" w:hAnsi="Calibri"/>
          <w:color w:val="222222"/>
          <w:sz w:val="21"/>
        </w:rPr>
        <w:t xml:space="preserve">, </w:t>
      </w:r>
      <w:r>
        <w:rPr>
          <w:rFonts w:ascii="Menlo" w:hAnsi="Menlo"/>
          <w:color w:val="1F4D78"/>
          <w:sz w:val="17"/>
          <w:shd w:fill="F6F8FA"/>
        </w:rPr>
        <w:t>PATIENT_UNABLE_TO_CONFIRM</w:t>
      </w:r>
      <w:r>
        <w:rPr>
          <w:rFonts w:ascii="Calibri" w:hAnsi="Calibri"/>
          <w:color w:val="222222"/>
          <w:sz w:val="21"/>
        </w:rPr>
        <w:t xml:space="preserve">, or </w:t>
      </w:r>
      <w:r>
        <w:rPr>
          <w:rFonts w:ascii="Menlo" w:hAnsi="Menlo"/>
          <w:color w:val="1F4D78"/>
          <w:sz w:val="17"/>
          <w:shd w:fill="F6F8FA"/>
        </w:rPr>
        <w:t>OTHER</w:t>
      </w:r>
      <w:r>
        <w:rPr>
          <w:rFonts w:ascii="Calibri" w:hAnsi="Calibri"/>
          <w:color w:val="222222"/>
          <w:sz w:val="21"/>
        </w:rPr>
        <w:t xml:space="preserve">). Pending identities are retried by the minute worker with a stored encrypted DOB snapshot. A unique NID/UPID already linked to another local patient produces an </w:t>
      </w:r>
      <w:r>
        <w:rPr>
          <w:rFonts w:ascii="Menlo" w:hAnsi="Menlo"/>
          <w:color w:val="1F4D78"/>
          <w:sz w:val="17"/>
          <w:shd w:fill="F6F8FA"/>
        </w:rPr>
        <w:t>HieIdentityReconciliation</w:t>
      </w:r>
      <w:r>
        <w:rPr>
          <w:rFonts w:ascii="Calibri" w:hAnsi="Calibri"/>
          <w:color w:val="222222"/>
          <w:sz w:val="21"/>
        </w:rPr>
        <w:t xml:space="preserve"> case rather than a silent merge.</w:t>
      </w:r>
    </w:p>
    <w:p>
      <w:r>
        <w:rPr>
          <w:rFonts w:ascii="Calibri" w:hAnsi="Calibri"/>
          <w:color w:val="222222"/>
          <w:sz w:val="21"/>
        </w:rPr>
        <w:t>No-match, deceased-patient, malformed-response, conflict, and stale-local-record states are explicitly handled. CareLogic patient registration/check-in remains usable when HIE is unavailable.</w:t>
      </w:r>
    </w:p>
    <w:p>
      <w:pPr>
        <w:pStyle w:val="Heading3"/>
      </w:pPr>
      <w:r>
        <w:t>5.3 Consent lifecycle</w:t>
      </w:r>
    </w:p>
    <w:p>
      <w:r>
        <w:rPr>
          <w:rFonts w:ascii="Calibri" w:hAnsi="Calibri"/>
          <w:color w:val="222222"/>
          <w:sz w:val="21"/>
        </w:rPr>
        <w:t>Authorized staff record scope, purpose, effective dates, and evidence method (</w:t>
      </w:r>
      <w:r>
        <w:rPr>
          <w:rFonts w:ascii="Menlo" w:hAnsi="Menlo"/>
          <w:color w:val="1F4D78"/>
          <w:sz w:val="17"/>
          <w:shd w:fill="F6F8FA"/>
        </w:rPr>
        <w:t>WRITTEN</w:t>
      </w:r>
      <w:r>
        <w:rPr>
          <w:rFonts w:ascii="Calibri" w:hAnsi="Calibri"/>
          <w:color w:val="222222"/>
          <w:sz w:val="21"/>
        </w:rPr>
        <w:t xml:space="preserve">, </w:t>
      </w:r>
      <w:r>
        <w:rPr>
          <w:rFonts w:ascii="Menlo" w:hAnsi="Menlo"/>
          <w:color w:val="1F4D78"/>
          <w:sz w:val="17"/>
          <w:shd w:fill="F6F8FA"/>
        </w:rPr>
        <w:t>VERBAL</w:t>
      </w:r>
      <w:r>
        <w:rPr>
          <w:rFonts w:ascii="Calibri" w:hAnsi="Calibri"/>
          <w:color w:val="222222"/>
          <w:sz w:val="21"/>
        </w:rPr>
        <w:t xml:space="preserve">, or </w:t>
      </w:r>
      <w:r>
        <w:rPr>
          <w:rFonts w:ascii="Menlo" w:hAnsi="Menlo"/>
          <w:color w:val="1F4D78"/>
          <w:sz w:val="17"/>
          <w:shd w:fill="F6F8FA"/>
        </w:rPr>
        <w:t>ELECTRONIC</w:t>
      </w:r>
      <w:r>
        <w:rPr>
          <w:rFonts w:ascii="Calibri" w:hAnsi="Calibri"/>
          <w:color w:val="222222"/>
          <w:sz w:val="21"/>
        </w:rPr>
        <w:t>) with affirmative patient confirmation and optional witness/document/note evidence.</w:t>
      </w:r>
    </w:p>
    <w:p>
      <w:pPr>
        <w:numPr>
          <w:ilvl w:val="0"/>
          <w:numId w:val="10"/>
        </w:numPr>
      </w:pPr>
      <w:r>
        <w:rPr>
          <w:rFonts w:ascii="Calibri" w:hAnsi="Calibri"/>
          <w:color w:val="222222"/>
          <w:sz w:val="21"/>
        </w:rPr>
        <w:t>Local consent becomes active immediately under local policy.</w:t>
      </w:r>
    </w:p>
    <w:p>
      <w:pPr>
        <w:numPr>
          <w:ilvl w:val="0"/>
          <w:numId w:val="10"/>
        </w:numPr>
      </w:pPr>
      <w:r>
        <w:rPr>
          <w:rFonts w:ascii="Calibri" w:hAnsi="Calibri"/>
          <w:color w:val="222222"/>
          <w:sz w:val="21"/>
        </w:rPr>
        <w:t xml:space="preserve">If consent synchronization is enabled, a deterministic, encrypted </w:t>
      </w:r>
      <w:r>
        <w:rPr>
          <w:rFonts w:ascii="Menlo" w:hAnsi="Menlo"/>
          <w:color w:val="1F4D78"/>
          <w:sz w:val="17"/>
          <w:shd w:fill="F6F8FA"/>
        </w:rPr>
        <w:t>Consent</w:t>
      </w:r>
      <w:r>
        <w:rPr>
          <w:rFonts w:ascii="Calibri" w:hAnsi="Calibri"/>
          <w:color w:val="222222"/>
          <w:sz w:val="21"/>
        </w:rPr>
        <w:t xml:space="preserve"> outbox event is queued.</w:t>
      </w:r>
    </w:p>
    <w:p>
      <w:pPr>
        <w:numPr>
          <w:ilvl w:val="0"/>
          <w:numId w:val="10"/>
        </w:numPr>
      </w:pPr>
      <w:r>
        <w:rPr>
          <w:rFonts w:ascii="Calibri" w:hAnsi="Calibri"/>
          <w:color w:val="222222"/>
          <w:sz w:val="21"/>
        </w:rPr>
        <w:t xml:space="preserve">Clinical publication requires an active </w:t>
      </w:r>
      <w:r>
        <w:rPr>
          <w:rFonts w:ascii="Calibri" w:hAnsi="Calibri"/>
          <w:b/>
          <w:color w:val="222222"/>
          <w:sz w:val="21"/>
        </w:rPr>
        <w:t>and synchronized</w:t>
      </w:r>
      <w:r>
        <w:rPr>
          <w:rFonts w:ascii="Calibri" w:hAnsi="Calibri"/>
          <w:color w:val="222222"/>
          <w:sz w:val="21"/>
        </w:rPr>
        <w:t xml:space="preserve"> consent within its effective interval.</w:t>
      </w:r>
    </w:p>
    <w:p>
      <w:pPr>
        <w:numPr>
          <w:ilvl w:val="0"/>
          <w:numId w:val="10"/>
        </w:numPr>
      </w:pPr>
      <w:r>
        <w:rPr>
          <w:rFonts w:ascii="Calibri" w:hAnsi="Calibri"/>
          <w:color w:val="222222"/>
          <w:sz w:val="21"/>
        </w:rPr>
        <w:t>Withdrawal is immediately effective locally and sets withdrawal metadata before the remote delete completes.</w:t>
      </w:r>
    </w:p>
    <w:p>
      <w:pPr>
        <w:numPr>
          <w:ilvl w:val="0"/>
          <w:numId w:val="10"/>
        </w:numPr>
      </w:pPr>
      <w:r>
        <w:rPr>
          <w:rFonts w:ascii="Calibri" w:hAnsi="Calibri"/>
          <w:color w:val="222222"/>
          <w:sz w:val="21"/>
        </w:rPr>
        <w:t xml:space="preserve">Remote </w:t>
      </w:r>
      <w:r>
        <w:rPr>
          <w:rFonts w:ascii="Menlo" w:hAnsi="Menlo"/>
          <w:color w:val="1F4D78"/>
          <w:sz w:val="17"/>
          <w:shd w:fill="F6F8FA"/>
        </w:rPr>
        <w:t>DELETE /Consent/{id}</w:t>
      </w:r>
      <w:r>
        <w:rPr>
          <w:rFonts w:ascii="Calibri" w:hAnsi="Calibri"/>
          <w:color w:val="222222"/>
          <w:sz w:val="21"/>
        </w:rPr>
        <w:t xml:space="preserve"> is durable and idempotent; RHIE 404 is treated as success.</w:t>
      </w:r>
    </w:p>
    <w:p>
      <w:pPr>
        <w:numPr>
          <w:ilvl w:val="0"/>
          <w:numId w:val="10"/>
        </w:numPr>
      </w:pPr>
      <w:r>
        <w:rPr>
          <w:rFonts w:ascii="Calibri" w:hAnsi="Calibri"/>
          <w:color w:val="222222"/>
          <w:sz w:val="21"/>
        </w:rPr>
        <w:t>A reconciliation action can compare/repair local sync state against national consent state.</w:t>
      </w:r>
    </w:p>
    <w:p>
      <w:pPr>
        <w:numPr>
          <w:ilvl w:val="0"/>
          <w:numId w:val="10"/>
        </w:numPr>
      </w:pPr>
      <w:r>
        <w:rPr>
          <w:rFonts w:ascii="Calibri" w:hAnsi="Calibri"/>
          <w:color w:val="222222"/>
          <w:sz w:val="21"/>
        </w:rPr>
        <w:t>When a verified identity and qualifying consent become available, previously patient-dependency-blocked events are resumed.</w:t>
      </w:r>
    </w:p>
    <w:p>
      <w:pPr>
        <w:pStyle w:val="Heading3"/>
      </w:pPr>
      <w:r>
        <w:t>5.4 Read-only national record and reconciliation</w:t>
      </w:r>
    </w:p>
    <w:p>
      <w:r>
        <w:rPr>
          <w:rFonts w:ascii="Calibri" w:hAnsi="Calibri"/>
          <w:color w:val="222222"/>
          <w:sz w:val="21"/>
        </w:rPr>
        <w:t>The patient chart can retrieve:</w:t>
      </w:r>
    </w:p>
    <w:p>
      <w:pPr>
        <w:numPr>
          <w:ilvl w:val="0"/>
          <w:numId w:val="10"/>
        </w:numPr>
      </w:pPr>
      <w:r>
        <w:rPr>
          <w:rFonts w:ascii="Calibri" w:hAnsi="Calibri"/>
          <w:color w:val="222222"/>
          <w:sz w:val="21"/>
        </w:rPr>
        <w:t>an IPS view; or</w:t>
      </w:r>
    </w:p>
    <w:p>
      <w:pPr>
        <w:numPr>
          <w:ilvl w:val="0"/>
          <w:numId w:val="10"/>
        </w:numPr>
      </w:pPr>
      <w:r>
        <w:rPr>
          <w:rFonts w:ascii="Calibri" w:hAnsi="Calibri"/>
          <w:color w:val="222222"/>
          <w:sz w:val="21"/>
        </w:rPr>
        <w:t>independently requested sections: encounters, observations, conditions, allergies, immunizations, service requests, medications (request/dispense/administration), procedures, imaging, transfers, and consents.</w:t>
      </w:r>
    </w:p>
    <w:p>
      <w:r>
        <w:rPr>
          <w:rFonts w:ascii="Calibri" w:hAnsi="Calibri"/>
          <w:color w:val="222222"/>
          <w:sz w:val="21"/>
        </w:rPr>
        <w:t xml:space="preserve">The sectioned service runs at most four section workers concurrently. A section failure is represented as safe code/retryability metadata; other sections still return and the overall response is marked </w:t>
      </w:r>
      <w:r>
        <w:rPr>
          <w:rFonts w:ascii="Menlo" w:hAnsi="Menlo"/>
          <w:color w:val="1F4D78"/>
          <w:sz w:val="17"/>
          <w:shd w:fill="F6F8FA"/>
        </w:rPr>
        <w:t>partial</w:t>
      </w:r>
      <w:r>
        <w:rPr>
          <w:rFonts w:ascii="Calibri" w:hAnsi="Calibri"/>
          <w:color w:val="222222"/>
          <w:sz w:val="21"/>
        </w:rPr>
        <w:t>. Results are deduplicated by resource type and ID, summarized to browser-safe provenance records, and not persisted as local clinical truth.</w:t>
      </w:r>
    </w:p>
    <w:p>
      <w:r>
        <w:rPr>
          <w:rFonts w:ascii="Calibri" w:hAnsi="Calibri"/>
          <w:color w:val="222222"/>
          <w:sz w:val="21"/>
        </w:rPr>
        <w:t xml:space="preserve">A clinician may mark an external item </w:t>
      </w:r>
      <w:r>
        <w:rPr>
          <w:rFonts w:ascii="Menlo" w:hAnsi="Menlo"/>
          <w:color w:val="1F4D78"/>
          <w:sz w:val="17"/>
          <w:shd w:fill="F6F8FA"/>
        </w:rPr>
        <w:t>ACCEPTED</w:t>
      </w:r>
      <w:r>
        <w:rPr>
          <w:rFonts w:ascii="Calibri" w:hAnsi="Calibri"/>
          <w:color w:val="222222"/>
          <w:sz w:val="21"/>
        </w:rPr>
        <w:t xml:space="preserve"> as history or </w:t>
      </w:r>
      <w:r>
        <w:rPr>
          <w:rFonts w:ascii="Menlo" w:hAnsi="Menlo"/>
          <w:color w:val="1F4D78"/>
          <w:sz w:val="17"/>
          <w:shd w:fill="F6F8FA"/>
        </w:rPr>
        <w:t>DISMISSED</w:t>
      </w:r>
      <w:r>
        <w:rPr>
          <w:rFonts w:ascii="Calibri" w:hAnsi="Calibri"/>
          <w:color w:val="222222"/>
          <w:sz w:val="21"/>
        </w:rPr>
        <w:t xml:space="preserve">, with notes and optional local-resource reference. This creates/updates a </w:t>
      </w:r>
      <w:r>
        <w:rPr>
          <w:rFonts w:ascii="Menlo" w:hAnsi="Menlo"/>
          <w:color w:val="1F4D78"/>
          <w:sz w:val="17"/>
          <w:shd w:fill="F6F8FA"/>
        </w:rPr>
        <w:t>HieReconciliation</w:t>
      </w:r>
      <w:r>
        <w:rPr>
          <w:rFonts w:ascii="Calibri" w:hAnsi="Calibri"/>
          <w:color w:val="222222"/>
          <w:sz w:val="21"/>
        </w:rPr>
        <w:t xml:space="preserve"> record. It does not automatically create a diagnosis, medication, order, invoice, or treatment.</w:t>
      </w:r>
    </w:p>
    <w:p>
      <w:pPr>
        <w:pStyle w:val="Heading3"/>
      </w:pPr>
      <w:r>
        <w:t>5.5 Emergency access</w:t>
      </w:r>
    </w:p>
    <w:p>
      <w:r>
        <w:rPr>
          <w:rFonts w:ascii="Calibri" w:hAnsi="Calibri"/>
          <w:color w:val="222222"/>
          <w:sz w:val="21"/>
        </w:rPr>
        <w:t>When ordinary read consent is unavailable but emergency access is enabled, an authorized doctor can create a time-bounded read-only access record with a reason code and justification. The controller records actor, branch, patient, effective interval, outcome, and audit trail. The resulting national record is still summarized/read-only.</w:t>
      </w:r>
    </w:p>
    <w:p>
      <w:r>
        <w:rPr>
          <w:rFonts w:ascii="Calibri" w:hAnsi="Calibri"/>
          <w:color w:val="222222"/>
          <w:sz w:val="21"/>
        </w:rPr>
        <w:t xml:space="preserve">Clinic administrators review each break-glass event as </w:t>
      </w:r>
      <w:r>
        <w:rPr>
          <w:rFonts w:ascii="Menlo" w:hAnsi="Menlo"/>
          <w:color w:val="1F4D78"/>
          <w:sz w:val="17"/>
          <w:shd w:fill="F6F8FA"/>
        </w:rPr>
        <w:t>APPROVED</w:t>
      </w:r>
      <w:r>
        <w:rPr>
          <w:rFonts w:ascii="Calibri" w:hAnsi="Calibri"/>
          <w:color w:val="222222"/>
          <w:sz w:val="21"/>
        </w:rPr>
        <w:t xml:space="preserve"> or </w:t>
      </w:r>
      <w:r>
        <w:rPr>
          <w:rFonts w:ascii="Menlo" w:hAnsi="Menlo"/>
          <w:color w:val="1F4D78"/>
          <w:sz w:val="17"/>
          <w:shd w:fill="F6F8FA"/>
        </w:rPr>
        <w:t>CONCERN</w:t>
      </w:r>
      <w:r>
        <w:rPr>
          <w:rFonts w:ascii="Calibri" w:hAnsi="Calibri"/>
          <w:color w:val="222222"/>
          <w:sz w:val="21"/>
        </w:rPr>
        <w:t xml:space="preserve"> with a note. Pending reviews and expirations appear in operations/compliance readiness. Emergency access does not authorize national writes.</w:t>
      </w:r>
    </w:p>
    <w:p>
      <w:pPr>
        <w:pStyle w:val="Heading3"/>
      </w:pPr>
      <w:r>
        <w:t>5.6 Finalized encounter and clinical publication</w:t>
      </w:r>
    </w:p>
    <w:p>
      <w:r>
        <w:rPr>
          <w:rFonts w:ascii="Calibri" w:hAnsi="Calibri"/>
          <w:color w:val="222222"/>
          <w:sz w:val="21"/>
        </w:rPr>
        <w:t xml:space="preserve">Finalizing a visit calls </w:t>
      </w:r>
      <w:r>
        <w:rPr>
          <w:rFonts w:ascii="Menlo" w:hAnsi="Menlo"/>
          <w:color w:val="1F4D78"/>
          <w:sz w:val="17"/>
          <w:shd w:fill="F6F8FA"/>
        </w:rPr>
        <w:t>enqueueFinalizedVisitInTransaction</w:t>
      </w:r>
      <w:r>
        <w:rPr>
          <w:rFonts w:ascii="Calibri" w:hAnsi="Calibri"/>
          <w:color w:val="222222"/>
          <w:sz w:val="21"/>
        </w:rPr>
        <w:t xml:space="preserve"> inside the local finalization transaction. When shared-record write is enabled, it creates:</w:t>
      </w:r>
    </w:p>
    <w:p>
      <w:pPr>
        <w:numPr>
          <w:ilvl w:val="0"/>
          <w:numId w:val="10"/>
        </w:numPr>
      </w:pPr>
      <w:r>
        <w:rPr>
          <w:rFonts w:ascii="Calibri" w:hAnsi="Calibri"/>
          <w:color w:val="222222"/>
          <w:sz w:val="21"/>
        </w:rPr>
        <w:t>Encounter (</w:t>
      </w:r>
      <w:r>
        <w:rPr>
          <w:rFonts w:ascii="Menlo" w:hAnsi="Menlo"/>
          <w:color w:val="1F4D78"/>
          <w:sz w:val="17"/>
          <w:shd w:fill="F6F8FA"/>
        </w:rPr>
        <w:t>dependencyOrder</w:t>
      </w:r>
      <w:r>
        <w:rPr>
          <w:rFonts w:ascii="Calibri" w:hAnsi="Calibri"/>
          <w:color w:val="222222"/>
          <w:sz w:val="21"/>
        </w:rPr>
        <w:t xml:space="preserve"> 10);</w:t>
      </w:r>
    </w:p>
    <w:p>
      <w:pPr>
        <w:numPr>
          <w:ilvl w:val="0"/>
          <w:numId w:val="10"/>
        </w:numPr>
      </w:pPr>
      <w:r>
        <w:rPr>
          <w:rFonts w:ascii="Calibri" w:hAnsi="Calibri"/>
          <w:color w:val="222222"/>
          <w:sz w:val="21"/>
        </w:rPr>
        <w:t>optional consultation Encounter (</w:t>
      </w:r>
      <w:r>
        <w:rPr>
          <w:rFonts w:ascii="Menlo" w:hAnsi="Menlo"/>
          <w:color w:val="1F4D78"/>
          <w:sz w:val="17"/>
          <w:shd w:fill="F6F8FA"/>
        </w:rPr>
        <w:t>20</w:t>
      </w:r>
      <w:r>
        <w:rPr>
          <w:rFonts w:ascii="Calibri" w:hAnsi="Calibri"/>
          <w:color w:val="222222"/>
          <w:sz w:val="21"/>
        </w:rPr>
        <w:t>);</w:t>
      </w:r>
    </w:p>
    <w:p>
      <w:pPr>
        <w:numPr>
          <w:ilvl w:val="0"/>
          <w:numId w:val="10"/>
        </w:numPr>
      </w:pPr>
      <w:r>
        <w:rPr>
          <w:rFonts w:ascii="Calibri" w:hAnsi="Calibri"/>
          <w:color w:val="222222"/>
          <w:sz w:val="21"/>
        </w:rPr>
        <w:t>confirmed ICD-11 Condition records;</w:t>
      </w:r>
    </w:p>
    <w:p>
      <w:pPr>
        <w:numPr>
          <w:ilvl w:val="0"/>
          <w:numId w:val="10"/>
        </w:numPr>
      </w:pPr>
      <w:r>
        <w:rPr>
          <w:rFonts w:ascii="Calibri" w:hAnsi="Calibri"/>
          <w:color w:val="222222"/>
          <w:sz w:val="21"/>
        </w:rPr>
        <w:t>numeric LOINC/UCUM vital-sign Observations;</w:t>
      </w:r>
    </w:p>
    <w:p>
      <w:pPr>
        <w:numPr>
          <w:ilvl w:val="0"/>
          <w:numId w:val="10"/>
        </w:numPr>
      </w:pPr>
      <w:r>
        <w:rPr>
          <w:rFonts w:ascii="Calibri" w:hAnsi="Calibri"/>
          <w:color w:val="222222"/>
          <w:sz w:val="21"/>
        </w:rPr>
        <w:t>coded lab ServiceRequests and completed lab-result Observations;</w:t>
      </w:r>
    </w:p>
    <w:p>
      <w:pPr>
        <w:numPr>
          <w:ilvl w:val="0"/>
          <w:numId w:val="10"/>
        </w:numPr>
      </w:pPr>
      <w:r>
        <w:rPr>
          <w:rFonts w:ascii="Calibri" w:hAnsi="Calibri"/>
          <w:color w:val="222222"/>
          <w:sz w:val="21"/>
        </w:rPr>
        <w:t>structured MedicationRequests, MedicationDispenses, and MedicationAdministrations;</w:t>
      </w:r>
    </w:p>
    <w:p>
      <w:pPr>
        <w:numPr>
          <w:ilvl w:val="0"/>
          <w:numId w:val="10"/>
        </w:numPr>
      </w:pPr>
      <w:r>
        <w:rPr>
          <w:rFonts w:ascii="Calibri" w:hAnsi="Calibri"/>
          <w:color w:val="222222"/>
          <w:sz w:val="21"/>
        </w:rPr>
        <w:t>verified ICHI Procedures;</w:t>
      </w:r>
    </w:p>
    <w:p>
      <w:pPr>
        <w:numPr>
          <w:ilvl w:val="0"/>
          <w:numId w:val="10"/>
        </w:numPr>
      </w:pPr>
      <w:r>
        <w:rPr>
          <w:rFonts w:ascii="Calibri" w:hAnsi="Calibri"/>
          <w:color w:val="222222"/>
          <w:sz w:val="21"/>
        </w:rPr>
        <w:t>inpatient/ward vital Observations; and</w:t>
      </w:r>
    </w:p>
    <w:p>
      <w:pPr>
        <w:numPr>
          <w:ilvl w:val="0"/>
          <w:numId w:val="10"/>
        </w:numPr>
      </w:pPr>
      <w:r>
        <w:rPr>
          <w:rFonts w:ascii="Calibri" w:hAnsi="Calibri"/>
          <w:color w:val="222222"/>
          <w:sz w:val="21"/>
        </w:rPr>
        <w:t>other finalized structured records supported by the capability map.</w:t>
      </w:r>
    </w:p>
    <w:p>
      <w:r>
        <w:rPr>
          <w:rFonts w:ascii="Calibri" w:hAnsi="Calibri"/>
          <w:color w:val="222222"/>
          <w:sz w:val="21"/>
        </w:rPr>
        <w:t>The extended clinical enqueue is also called when relevant labs, prescriptions, dispenses, and hospitalization data change. Existing aggregate/resource keys and unique idempotency keys prevent duplicate outbox rows.</w:t>
      </w:r>
    </w:p>
    <w:p>
      <w:r>
        <w:rPr>
          <w:rFonts w:ascii="Calibri" w:hAnsi="Calibri"/>
          <w:color w:val="222222"/>
          <w:sz w:val="21"/>
        </w:rPr>
        <w:t>Publication prerequisites are deliberately strict:</w:t>
      </w:r>
    </w:p>
    <w:p>
      <w:pPr>
        <w:numPr>
          <w:ilvl w:val="0"/>
          <w:numId w:val="10"/>
        </w:numPr>
      </w:pPr>
      <w:r>
        <w:rPr>
          <w:rFonts w:ascii="Calibri" w:hAnsi="Calibri"/>
          <w:color w:val="222222"/>
          <w:sz w:val="21"/>
        </w:rPr>
        <w:t>verified patient Client Registry resource reference;</w:t>
      </w:r>
    </w:p>
    <w:p>
      <w:pPr>
        <w:numPr>
          <w:ilvl w:val="0"/>
          <w:numId w:val="10"/>
        </w:numPr>
      </w:pPr>
      <w:r>
        <w:rPr>
          <w:rFonts w:ascii="Calibri" w:hAnsi="Calibri"/>
          <w:color w:val="222222"/>
          <w:sz w:val="21"/>
        </w:rPr>
        <w:t>active synchronized consent;</w:t>
      </w:r>
    </w:p>
    <w:p>
      <w:pPr>
        <w:numPr>
          <w:ilvl w:val="0"/>
          <w:numId w:val="10"/>
        </w:numPr>
      </w:pPr>
      <w:r>
        <w:rPr>
          <w:rFonts w:ascii="Calibri" w:hAnsi="Calibri"/>
          <w:color w:val="222222"/>
          <w:sz w:val="21"/>
        </w:rPr>
        <w:t>verified branch/Location and practitioner mappings;</w:t>
      </w:r>
    </w:p>
    <w:p>
      <w:pPr>
        <w:numPr>
          <w:ilvl w:val="0"/>
          <w:numId w:val="10"/>
        </w:numPr>
      </w:pPr>
      <w:r>
        <w:rPr>
          <w:rFonts w:ascii="Calibri" w:hAnsi="Calibri"/>
          <w:color w:val="222222"/>
          <w:sz w:val="21"/>
        </w:rPr>
        <w:t>existing national Encounter link for dependent resources;</w:t>
      </w:r>
    </w:p>
    <w:p>
      <w:pPr>
        <w:numPr>
          <w:ilvl w:val="0"/>
          <w:numId w:val="10"/>
        </w:numPr>
      </w:pPr>
      <w:r>
        <w:rPr>
          <w:rFonts w:ascii="Calibri" w:hAnsi="Calibri"/>
          <w:color w:val="222222"/>
          <w:sz w:val="21"/>
        </w:rPr>
        <w:t>verified standardized terminology (ICD-11, LOINC, SNOMED CT, ICHI, NPC/approved concept system as applicable);</w:t>
      </w:r>
    </w:p>
    <w:p>
      <w:pPr>
        <w:numPr>
          <w:ilvl w:val="0"/>
          <w:numId w:val="10"/>
        </w:numPr>
      </w:pPr>
      <w:r>
        <w:rPr>
          <w:rFonts w:ascii="Calibri" w:hAnsi="Calibri"/>
          <w:color w:val="222222"/>
          <w:sz w:val="21"/>
        </w:rPr>
        <w:t>structured medication dose, frequency, route, duration, and administration method when required;</w:t>
      </w:r>
    </w:p>
    <w:p>
      <w:pPr>
        <w:numPr>
          <w:ilvl w:val="0"/>
          <w:numId w:val="10"/>
        </w:numPr>
      </w:pPr>
      <w:r>
        <w:rPr>
          <w:rFonts w:ascii="Calibri" w:hAnsi="Calibri"/>
          <w:color w:val="222222"/>
          <w:sz w:val="21"/>
        </w:rPr>
        <w:t>verified Coverage for medication requests when the mapped workflow requires it; and</w:t>
      </w:r>
    </w:p>
    <w:p>
      <w:pPr>
        <w:numPr>
          <w:ilvl w:val="0"/>
          <w:numId w:val="10"/>
        </w:numPr>
      </w:pPr>
      <w:r>
        <w:rPr>
          <w:rFonts w:ascii="Calibri" w:hAnsi="Calibri"/>
          <w:color w:val="222222"/>
          <w:sz w:val="21"/>
        </w:rPr>
        <w:t>upstream MedicationRequest/ServiceRequest links before dispense, administration, or result resources.</w:t>
      </w:r>
    </w:p>
    <w:p>
      <w:r>
        <w:rPr>
          <w:rFonts w:ascii="Calibri" w:hAnsi="Calibri"/>
          <w:color w:val="222222"/>
          <w:sz w:val="21"/>
        </w:rPr>
        <w:t xml:space="preserve">Free-text diagnoses and placeholder lab values are never substituted for standardized values. Events remain </w:t>
      </w:r>
      <w:r>
        <w:rPr>
          <w:rFonts w:ascii="Menlo" w:hAnsi="Menlo"/>
          <w:color w:val="1F4D78"/>
          <w:sz w:val="17"/>
          <w:shd w:fill="F6F8FA"/>
        </w:rPr>
        <w:t>BLOCKED</w:t>
      </w:r>
      <w:r>
        <w:rPr>
          <w:rFonts w:ascii="Calibri" w:hAnsi="Calibri"/>
          <w:color w:val="222222"/>
          <w:sz w:val="21"/>
        </w:rPr>
        <w:t xml:space="preserve"> with actionable dependency reasons.</w:t>
      </w:r>
    </w:p>
    <w:p>
      <w:pPr>
        <w:pStyle w:val="Heading3"/>
      </w:pPr>
      <w:r>
        <w:t>5.7 Explicit structured clinical records</w:t>
      </w:r>
    </w:p>
    <w:p>
      <w:r>
        <w:rPr>
          <w:rFonts w:ascii="Calibri" w:hAnsi="Calibri"/>
          <w:color w:val="222222"/>
          <w:sz w:val="21"/>
        </w:rPr>
        <w:t>The patient chart has dedicated local models and CRUD/finalization workflows for:</w:t>
      </w:r>
    </w:p>
    <w:p>
      <w:pPr>
        <w:numPr>
          <w:ilvl w:val="0"/>
          <w:numId w:val="10"/>
        </w:numPr>
      </w:pPr>
      <w:r>
        <w:rPr>
          <w:rFonts w:ascii="Calibri" w:hAnsi="Calibri"/>
          <w:color w:val="222222"/>
          <w:sz w:val="21"/>
        </w:rPr>
        <w:t>consultation observations;</w:t>
      </w:r>
    </w:p>
    <w:p>
      <w:pPr>
        <w:numPr>
          <w:ilvl w:val="0"/>
          <w:numId w:val="10"/>
        </w:numPr>
      </w:pPr>
      <w:r>
        <w:rPr>
          <w:rFonts w:ascii="Calibri" w:hAnsi="Calibri"/>
          <w:color w:val="222222"/>
          <w:sz w:val="21"/>
        </w:rPr>
        <w:t>clinician-reviewed structured allergies;</w:t>
      </w:r>
    </w:p>
    <w:p>
      <w:pPr>
        <w:numPr>
          <w:ilvl w:val="0"/>
          <w:numId w:val="10"/>
        </w:numPr>
      </w:pPr>
      <w:r>
        <w:rPr>
          <w:rFonts w:ascii="Calibri" w:hAnsi="Calibri"/>
          <w:color w:val="222222"/>
          <w:sz w:val="21"/>
        </w:rPr>
        <w:t>structured immunizations;</w:t>
      </w:r>
    </w:p>
    <w:p>
      <w:pPr>
        <w:numPr>
          <w:ilvl w:val="0"/>
          <w:numId w:val="10"/>
        </w:numPr>
      </w:pPr>
      <w:r>
        <w:rPr>
          <w:rFonts w:ascii="Calibri" w:hAnsi="Calibri"/>
          <w:color w:val="222222"/>
          <w:sz w:val="21"/>
        </w:rPr>
        <w:t>imaging ServiceRequest metadata; and</w:t>
      </w:r>
    </w:p>
    <w:p>
      <w:pPr>
        <w:numPr>
          <w:ilvl w:val="0"/>
          <w:numId w:val="10"/>
        </w:numPr>
      </w:pPr>
      <w:r>
        <w:rPr>
          <w:rFonts w:ascii="Calibri" w:hAnsi="Calibri"/>
          <w:color w:val="222222"/>
          <w:sz w:val="21"/>
        </w:rPr>
        <w:t>ImagingStudy/series/instance metadata.</w:t>
      </w:r>
    </w:p>
    <w:p>
      <w:r>
        <w:rPr>
          <w:rFonts w:ascii="Calibri" w:hAnsi="Calibri"/>
          <w:color w:val="222222"/>
          <w:sz w:val="21"/>
        </w:rPr>
        <w:t xml:space="preserve">Only active, </w:t>
      </w:r>
      <w:r>
        <w:rPr>
          <w:rFonts w:ascii="Menlo" w:hAnsi="Menlo"/>
          <w:color w:val="1F4D78"/>
          <w:sz w:val="17"/>
          <w:shd w:fill="F6F8FA"/>
        </w:rPr>
        <w:t>VERIFIED</w:t>
      </w:r>
      <w:r>
        <w:rPr>
          <w:rFonts w:ascii="Calibri" w:hAnsi="Calibri"/>
          <w:color w:val="222222"/>
          <w:sz w:val="21"/>
        </w:rPr>
        <w:t xml:space="preserve"> </w:t>
      </w:r>
      <w:r>
        <w:rPr>
          <w:rFonts w:ascii="Menlo" w:hAnsi="Menlo"/>
          <w:color w:val="1F4D78"/>
          <w:sz w:val="17"/>
          <w:shd w:fill="F6F8FA"/>
        </w:rPr>
        <w:t>HieClinicalConcept</w:t>
      </w:r>
      <w:r>
        <w:rPr>
          <w:rFonts w:ascii="Calibri" w:hAnsi="Calibri"/>
          <w:color w:val="222222"/>
          <w:sz w:val="21"/>
        </w:rPr>
        <w:t xml:space="preserve"> records can be selected. Draft records remain local. Finalization changes the local status and creates an idempotent outbox event only when the matching capability is enabled. Allergy/immunization corrections use replacement semantics: the original is marked </w:t>
      </w:r>
      <w:r>
        <w:rPr>
          <w:rFonts w:ascii="Menlo" w:hAnsi="Menlo"/>
          <w:color w:val="1F4D78"/>
          <w:sz w:val="17"/>
          <w:shd w:fill="F6F8FA"/>
        </w:rPr>
        <w:t>CORRECTED</w:t>
      </w:r>
      <w:r>
        <w:rPr>
          <w:rFonts w:ascii="Calibri" w:hAnsi="Calibri"/>
          <w:color w:val="222222"/>
          <w:sz w:val="21"/>
        </w:rPr>
        <w:t xml:space="preserve"> and the replacement is a new record; delete/correction publication is explicit and auditable.</w:t>
      </w:r>
    </w:p>
    <w:p>
      <w:r>
        <w:rPr>
          <w:rFonts w:ascii="Calibri" w:hAnsi="Calibri"/>
          <w:color w:val="222222"/>
          <w:sz w:val="21"/>
        </w:rPr>
        <w:t>Imaging stores DICOM identifiers and descriptive metadata—not image pixels or a PACS archive. Study, series, SOP UIDs, modality, dates, concepts, and conclusion metadata are validated before finalization.</w:t>
      </w:r>
    </w:p>
    <w:p>
      <w:pPr>
        <w:pStyle w:val="Heading3"/>
      </w:pPr>
      <w:r>
        <w:t>5.8 Inpatient discharge</w:t>
      </w:r>
    </w:p>
    <w:p>
      <w:r>
        <w:rPr>
          <w:rFonts w:ascii="Calibri" w:hAnsi="Calibri"/>
          <w:color w:val="222222"/>
          <w:sz w:val="21"/>
        </w:rPr>
        <w:t xml:space="preserve">Discharge runs in the hospitalization transaction after CareLogic has a discharge summary and </w:t>
      </w:r>
      <w:r>
        <w:rPr>
          <w:rFonts w:ascii="Menlo" w:hAnsi="Menlo"/>
          <w:color w:val="1F4D78"/>
          <w:sz w:val="17"/>
          <w:shd w:fill="F6F8FA"/>
        </w:rPr>
        <w:t>DISCHARGED</w:t>
      </w:r>
      <w:r>
        <w:rPr>
          <w:rFonts w:ascii="Calibri" w:hAnsi="Calibri"/>
          <w:color w:val="222222"/>
          <w:sz w:val="21"/>
        </w:rPr>
        <w:t xml:space="preserve"> visit. </w:t>
      </w:r>
      <w:r>
        <w:rPr>
          <w:rFonts w:ascii="Menlo" w:hAnsi="Menlo"/>
          <w:color w:val="1F4D78"/>
          <w:sz w:val="17"/>
          <w:shd w:fill="F6F8FA"/>
        </w:rPr>
        <w:t>enqueueDischargeInTransaction</w:t>
      </w:r>
      <w:r>
        <w:rPr>
          <w:rFonts w:ascii="Calibri" w:hAnsi="Calibri"/>
          <w:color w:val="222222"/>
          <w:sz w:val="21"/>
        </w:rPr>
        <w:t xml:space="preserve"> ensures an Encounter is available/queued and adds a </w:t>
      </w:r>
      <w:r>
        <w:rPr>
          <w:rFonts w:ascii="Menlo" w:hAnsi="Menlo"/>
          <w:color w:val="1F4D78"/>
          <w:sz w:val="17"/>
          <w:shd w:fill="F6F8FA"/>
        </w:rPr>
        <w:t>DischargeIPS</w:t>
      </w:r>
      <w:r>
        <w:rPr>
          <w:rFonts w:ascii="Calibri" w:hAnsi="Calibri"/>
          <w:color w:val="222222"/>
          <w:sz w:val="21"/>
        </w:rPr>
        <w:t xml:space="preserve"> bundle snapshot containing the escaped, locally authored summary, final diagnosis, instructions, follow-up, destination, and references. HIE failure cannot undo the completed local discharge.</w:t>
      </w:r>
    </w:p>
    <w:p>
      <w:pPr>
        <w:pStyle w:val="Heading3"/>
      </w:pPr>
      <w:r>
        <w:t>5.9 Inter-facility transfer</w:t>
      </w:r>
    </w:p>
    <w:p>
      <w:r>
        <w:rPr>
          <w:rFonts w:ascii="Calibri" w:hAnsi="Calibri"/>
          <w:color w:val="222222"/>
          <w:sz w:val="21"/>
        </w:rPr>
        <w:t>Inter-facility HIE transfers are distinct from internal bed transfers and clinician handoffs.</w:t>
      </w:r>
    </w:p>
    <w:p>
      <w:r>
        <w:rPr>
          <w:rFonts w:ascii="Calibri" w:hAnsi="Calibri"/>
          <w:color w:val="222222"/>
          <w:sz w:val="21"/>
        </w:rPr>
        <w:t>Outbound flow:</w:t>
      </w:r>
    </w:p>
    <w:p>
      <w:pPr>
        <w:numPr>
          <w:ilvl w:val="0"/>
          <w:numId w:val="19"/>
        </w:numPr>
      </w:pPr>
      <w:r>
        <w:rPr>
          <w:rFonts w:ascii="Calibri" w:hAnsi="Calibri"/>
          <w:color w:val="222222"/>
          <w:sz w:val="21"/>
        </w:rPr>
        <w:t>A doctor selects a finalized visit and a verified destination.</w:t>
      </w:r>
    </w:p>
    <w:p>
      <w:pPr>
        <w:numPr>
          <w:ilvl w:val="0"/>
          <w:numId w:val="19"/>
        </w:numPr>
      </w:pPr>
      <w:r>
        <w:rPr>
          <w:rFonts w:ascii="Calibri" w:hAnsi="Calibri"/>
          <w:color w:val="222222"/>
          <w:sz w:val="21"/>
        </w:rPr>
        <w:t>The controller requires a branch-scoped, verified source facility and rejects a destination equal to the source.</w:t>
      </w:r>
    </w:p>
    <w:p>
      <w:pPr>
        <w:numPr>
          <w:ilvl w:val="0"/>
          <w:numId w:val="19"/>
        </w:numPr>
      </w:pPr>
      <w:r>
        <w:rPr>
          <w:rFonts w:ascii="Calibri" w:hAnsi="Calibri"/>
          <w:color w:val="222222"/>
          <w:sz w:val="21"/>
        </w:rPr>
        <w:t xml:space="preserve">A local </w:t>
      </w:r>
      <w:r>
        <w:rPr>
          <w:rFonts w:ascii="Menlo" w:hAnsi="Menlo"/>
          <w:color w:val="1F4D78"/>
          <w:sz w:val="17"/>
          <w:shd w:fill="F6F8FA"/>
        </w:rPr>
        <w:t>DRAFT</w:t>
      </w:r>
      <w:r>
        <w:rPr>
          <w:rFonts w:ascii="Calibri" w:hAnsi="Calibri"/>
          <w:color w:val="222222"/>
          <w:sz w:val="21"/>
        </w:rPr>
        <w:t xml:space="preserve"> </w:t>
      </w:r>
      <w:r>
        <w:rPr>
          <w:rFonts w:ascii="Menlo" w:hAnsi="Menlo"/>
          <w:color w:val="1F4D78"/>
          <w:sz w:val="17"/>
          <w:shd w:fill="F6F8FA"/>
        </w:rPr>
        <w:t>HieExternalTransfer</w:t>
      </w:r>
      <w:r>
        <w:rPr>
          <w:rFonts w:ascii="Calibri" w:hAnsi="Calibri"/>
          <w:color w:val="222222"/>
          <w:sz w:val="21"/>
        </w:rPr>
        <w:t xml:space="preserve"> records the clinical summary, reason, urgency, source, destination, patient, visit, and practitioner.</w:t>
      </w:r>
    </w:p>
    <w:p>
      <w:pPr>
        <w:numPr>
          <w:ilvl w:val="0"/>
          <w:numId w:val="19"/>
        </w:numPr>
      </w:pPr>
      <w:r>
        <w:rPr>
          <w:rFonts w:ascii="Calibri" w:hAnsi="Calibri"/>
          <w:color w:val="222222"/>
          <w:sz w:val="21"/>
        </w:rPr>
        <w:t xml:space="preserve">Queueing atomically claims </w:t>
      </w:r>
      <w:r>
        <w:rPr>
          <w:rFonts w:ascii="Menlo" w:hAnsi="Menlo"/>
          <w:color w:val="1F4D78"/>
          <w:sz w:val="17"/>
          <w:shd w:fill="F6F8FA"/>
        </w:rPr>
        <w:t>DRAFT</w:t>
      </w:r>
      <w:r>
        <w:rPr>
          <w:rFonts w:ascii="Calibri" w:hAnsi="Calibri"/>
          <w:color w:val="222222"/>
          <w:sz w:val="21"/>
        </w:rPr>
        <w:t>/</w:t>
      </w:r>
      <w:r>
        <w:rPr>
          <w:rFonts w:ascii="Menlo" w:hAnsi="Menlo"/>
          <w:color w:val="1F4D78"/>
          <w:sz w:val="17"/>
          <w:shd w:fill="F6F8FA"/>
        </w:rPr>
        <w:t>FAILED</w:t>
      </w:r>
      <w:r>
        <w:rPr>
          <w:rFonts w:ascii="Calibri" w:hAnsi="Calibri"/>
          <w:color w:val="222222"/>
          <w:sz w:val="21"/>
        </w:rPr>
        <w:t xml:space="preserve"> and creates two independent idempotent events: </w:t>
      </w:r>
      <w:r>
        <w:rPr>
          <w:rFonts w:ascii="Menlo" w:hAnsi="Menlo"/>
          <w:color w:val="1F4D78"/>
          <w:sz w:val="17"/>
          <w:shd w:fill="F6F8FA"/>
        </w:rPr>
        <w:t>TransferEncounter</w:t>
      </w:r>
      <w:r>
        <w:rPr>
          <w:rFonts w:ascii="Calibri" w:hAnsi="Calibri"/>
          <w:color w:val="222222"/>
          <w:sz w:val="21"/>
        </w:rPr>
        <w:t xml:space="preserve"> (order 20) and </w:t>
      </w:r>
      <w:r>
        <w:rPr>
          <w:rFonts w:ascii="Menlo" w:hAnsi="Menlo"/>
          <w:color w:val="1F4D78"/>
          <w:sz w:val="17"/>
          <w:shd w:fill="F6F8FA"/>
        </w:rPr>
        <w:t>TransferIPS</w:t>
      </w:r>
      <w:r>
        <w:rPr>
          <w:rFonts w:ascii="Calibri" w:hAnsi="Calibri"/>
          <w:color w:val="222222"/>
          <w:sz w:val="21"/>
        </w:rPr>
        <w:t xml:space="preserve"> (21).</w:t>
      </w:r>
    </w:p>
    <w:p>
      <w:pPr>
        <w:numPr>
          <w:ilvl w:val="0"/>
          <w:numId w:val="19"/>
        </w:numPr>
      </w:pPr>
      <w:r>
        <w:rPr>
          <w:rFonts w:ascii="Calibri" w:hAnsi="Calibri"/>
          <w:color w:val="222222"/>
          <w:sz w:val="21"/>
        </w:rPr>
        <w:t xml:space="preserve">Worker success changes the transfer toward </w:t>
      </w:r>
      <w:r>
        <w:rPr>
          <w:rFonts w:ascii="Menlo" w:hAnsi="Menlo"/>
          <w:color w:val="1F4D78"/>
          <w:sz w:val="17"/>
          <w:shd w:fill="F6F8FA"/>
        </w:rPr>
        <w:t>SENT</w:t>
      </w:r>
      <w:r>
        <w:rPr>
          <w:rFonts w:ascii="Calibri" w:hAnsi="Calibri"/>
          <w:color w:val="222222"/>
          <w:sz w:val="21"/>
        </w:rPr>
        <w:t>; failures are visible/retryable. The API protects against concurrent double-queueing.</w:t>
      </w:r>
    </w:p>
    <w:p>
      <w:pPr>
        <w:numPr>
          <w:ilvl w:val="0"/>
          <w:numId w:val="19"/>
        </w:numPr>
      </w:pPr>
      <w:r>
        <w:rPr>
          <w:rFonts w:ascii="Calibri" w:hAnsi="Calibri"/>
          <w:color w:val="222222"/>
          <w:sz w:val="21"/>
        </w:rPr>
        <w:t xml:space="preserve">Cancellation is allowed only for draft/queued/failed work. It is rejected while an event is </w:t>
      </w:r>
      <w:r>
        <w:rPr>
          <w:rFonts w:ascii="Menlo" w:hAnsi="Menlo"/>
          <w:color w:val="1F4D78"/>
          <w:sz w:val="17"/>
          <w:shd w:fill="F6F8FA"/>
        </w:rPr>
        <w:t>PROCESSING</w:t>
      </w:r>
      <w:r>
        <w:rPr>
          <w:rFonts w:ascii="Calibri" w:hAnsi="Calibri"/>
          <w:color w:val="222222"/>
          <w:sz w:val="21"/>
        </w:rPr>
        <w:t>; pending retryable events are blocked as cancelled.</w:t>
      </w:r>
    </w:p>
    <w:p>
      <w:r>
        <w:rPr>
          <w:rFonts w:ascii="Calibri" w:hAnsi="Calibri"/>
          <w:color w:val="222222"/>
          <w:sz w:val="21"/>
        </w:rPr>
        <w:t>Inbound flow:</w:t>
      </w:r>
    </w:p>
    <w:p>
      <w:pPr>
        <w:numPr>
          <w:ilvl w:val="0"/>
          <w:numId w:val="21"/>
        </w:numPr>
      </w:pPr>
      <w:r>
        <w:rPr>
          <w:rFonts w:ascii="Calibri" w:hAnsi="Calibri"/>
          <w:color w:val="222222"/>
          <w:sz w:val="21"/>
        </w:rPr>
        <w:t xml:space="preserve">Authorized staff refresh </w:t>
      </w:r>
      <w:r>
        <w:rPr>
          <w:rFonts w:ascii="Menlo" w:hAnsi="Menlo"/>
          <w:color w:val="1F4D78"/>
          <w:sz w:val="17"/>
          <w:shd w:fill="F6F8FA"/>
        </w:rPr>
        <w:t>Encounter/$list-transfers</w:t>
      </w:r>
      <w:r>
        <w:rPr>
          <w:rFonts w:ascii="Calibri" w:hAnsi="Calibri"/>
          <w:color w:val="222222"/>
          <w:sz w:val="21"/>
        </w:rPr>
        <w:t xml:space="preserve"> for a linked patient.</w:t>
      </w:r>
    </w:p>
    <w:p>
      <w:pPr>
        <w:numPr>
          <w:ilvl w:val="0"/>
          <w:numId w:val="21"/>
        </w:numPr>
      </w:pPr>
      <w:r>
        <w:rPr>
          <w:rFonts w:ascii="Calibri" w:hAnsi="Calibri"/>
          <w:color w:val="222222"/>
          <w:sz w:val="21"/>
        </w:rPr>
        <w:t xml:space="preserve">Only encounters explicitly coded/text-marked </w:t>
      </w:r>
      <w:r>
        <w:rPr>
          <w:rFonts w:ascii="Menlo" w:hAnsi="Menlo"/>
          <w:color w:val="1F4D78"/>
          <w:sz w:val="17"/>
          <w:shd w:fill="F6F8FA"/>
        </w:rPr>
        <w:t>TRANSFER_ENCOUNTER</w:t>
      </w:r>
      <w:r>
        <w:rPr>
          <w:rFonts w:ascii="Calibri" w:hAnsi="Calibri"/>
          <w:color w:val="222222"/>
          <w:sz w:val="21"/>
        </w:rPr>
        <w:t xml:space="preserve"> are imported.</w:t>
      </w:r>
    </w:p>
    <w:p>
      <w:pPr>
        <w:numPr>
          <w:ilvl w:val="0"/>
          <w:numId w:val="21"/>
        </w:numPr>
      </w:pPr>
      <w:r>
        <w:rPr>
          <w:rFonts w:ascii="Calibri" w:hAnsi="Calibri"/>
          <w:color w:val="222222"/>
          <w:sz w:val="21"/>
        </w:rPr>
        <w:t>External IDs and raw payloads are hashed/encrypted; the browser sees a safe summary.</w:t>
      </w:r>
    </w:p>
    <w:p>
      <w:pPr>
        <w:numPr>
          <w:ilvl w:val="0"/>
          <w:numId w:val="21"/>
        </w:numPr>
      </w:pPr>
      <w:r>
        <w:rPr>
          <w:rFonts w:ascii="Calibri" w:hAnsi="Calibri"/>
          <w:color w:val="222222"/>
          <w:sz w:val="21"/>
        </w:rPr>
        <w:t>Local status moves through received/reviewed/acknowledged/completed/dismissed with local reviewer and notes.</w:t>
      </w:r>
    </w:p>
    <w:p>
      <w:r>
        <w:rPr>
          <w:rFonts w:ascii="Calibri" w:hAnsi="Calibri"/>
          <w:color w:val="222222"/>
          <w:sz w:val="21"/>
        </w:rPr>
        <w:t>The pinned Swagger has no remote mutation for transfer acknowledgement, so acknowledgement/completion remains a local operational state.</w:t>
      </w:r>
    </w:p>
    <w:p>
      <w:pPr>
        <w:pStyle w:val="Heading3"/>
      </w:pPr>
      <w:r>
        <w:t>5.10 Operations, audit, and governance</w:t>
      </w:r>
    </w:p>
    <w:p>
      <w:r>
        <w:rPr>
          <w:rFonts w:ascii="Calibri" w:hAnsi="Calibri"/>
          <w:color w:val="222222"/>
          <w:sz w:val="21"/>
        </w:rPr>
        <w:t xml:space="preserve">The operations summary is clinic-scoped and reports outbox status counts, resource volumes, success/failure rates, average latency, retry age, blocked reasons, terminology/mapping readiness, emergency review backlog, contract metadata, and external prerequisites. Alerts include dead letters, stale work, degraded health, unverified/expired mappings, pending emergency reviews, and elevated failure rate. </w:t>
      </w:r>
      <w:r>
        <w:rPr>
          <w:rFonts w:ascii="Menlo" w:hAnsi="Menlo"/>
          <w:color w:val="1F4D78"/>
          <w:sz w:val="17"/>
          <w:shd w:fill="F6F8FA"/>
        </w:rPr>
        <w:t>HIE_ALERT_STALE_MINUTES</w:t>
      </w:r>
      <w:r>
        <w:rPr>
          <w:rFonts w:ascii="Calibri" w:hAnsi="Calibri"/>
          <w:color w:val="222222"/>
          <w:sz w:val="21"/>
        </w:rPr>
        <w:t xml:space="preserve"> controls stale age (30 minutes by default).</w:t>
      </w:r>
    </w:p>
    <w:p>
      <w:r>
        <w:rPr>
          <w:rFonts w:ascii="Calibri" w:hAnsi="Calibri"/>
          <w:color w:val="222222"/>
          <w:sz w:val="21"/>
        </w:rPr>
        <w:t>The governance UI covers:</w:t>
      </w:r>
    </w:p>
    <w:p>
      <w:pPr>
        <w:numPr>
          <w:ilvl w:val="0"/>
          <w:numId w:val="10"/>
        </w:numPr>
      </w:pPr>
      <w:r>
        <w:rPr>
          <w:rFonts w:ascii="Calibri" w:hAnsi="Calibri"/>
          <w:color w:val="222222"/>
          <w:sz w:val="21"/>
        </w:rPr>
        <w:t>pending/deferred identities and manual retry;</w:t>
      </w:r>
    </w:p>
    <w:p>
      <w:pPr>
        <w:numPr>
          <w:ilvl w:val="0"/>
          <w:numId w:val="10"/>
        </w:numPr>
      </w:pPr>
      <w:r>
        <w:rPr>
          <w:rFonts w:ascii="Calibri" w:hAnsi="Calibri"/>
          <w:color w:val="222222"/>
          <w:sz w:val="21"/>
        </w:rPr>
        <w:t>identity conflict cases and audited resolution/dismissal;</w:t>
      </w:r>
    </w:p>
    <w:p>
      <w:pPr>
        <w:numPr>
          <w:ilvl w:val="0"/>
          <w:numId w:val="10"/>
        </w:numPr>
      </w:pPr>
      <w:r>
        <w:rPr>
          <w:rFonts w:ascii="Calibri" w:hAnsi="Calibri"/>
          <w:color w:val="222222"/>
          <w:sz w:val="21"/>
        </w:rPr>
        <w:t>outbox inspection and authorized retry;</w:t>
      </w:r>
    </w:p>
    <w:p>
      <w:pPr>
        <w:numPr>
          <w:ilvl w:val="0"/>
          <w:numId w:val="10"/>
        </w:numPr>
      </w:pPr>
      <w:r>
        <w:rPr>
          <w:rFonts w:ascii="Calibri" w:hAnsi="Calibri"/>
          <w:color w:val="222222"/>
          <w:sz w:val="21"/>
        </w:rPr>
        <w:t>facility, practitioner, destination, and Coverage mappings;</w:t>
      </w:r>
    </w:p>
    <w:p>
      <w:pPr>
        <w:numPr>
          <w:ilvl w:val="0"/>
          <w:numId w:val="10"/>
        </w:numPr>
      </w:pPr>
      <w:r>
        <w:rPr>
          <w:rFonts w:ascii="Calibri" w:hAnsi="Calibri"/>
          <w:color w:val="222222"/>
          <w:sz w:val="21"/>
        </w:rPr>
        <w:t>DOB discrepancy refresh/correct/dismiss with optimistic concurrency;</w:t>
      </w:r>
    </w:p>
    <w:p>
      <w:pPr>
        <w:numPr>
          <w:ilvl w:val="0"/>
          <w:numId w:val="10"/>
        </w:numPr>
      </w:pPr>
      <w:r>
        <w:rPr>
          <w:rFonts w:ascii="Calibri" w:hAnsi="Calibri"/>
          <w:color w:val="222222"/>
          <w:sz w:val="21"/>
        </w:rPr>
        <w:t>emergency access review;</w:t>
      </w:r>
    </w:p>
    <w:p>
      <w:pPr>
        <w:numPr>
          <w:ilvl w:val="0"/>
          <w:numId w:val="10"/>
        </w:numPr>
      </w:pPr>
      <w:r>
        <w:rPr>
          <w:rFonts w:ascii="Calibri" w:hAnsi="Calibri"/>
          <w:color w:val="222222"/>
          <w:sz w:val="21"/>
        </w:rPr>
        <w:t>local HIE audit and national AuditEvent read; and</w:t>
      </w:r>
    </w:p>
    <w:p>
      <w:pPr>
        <w:numPr>
          <w:ilvl w:val="0"/>
          <w:numId w:val="10"/>
        </w:numPr>
      </w:pPr>
      <w:r>
        <w:rPr>
          <w:rFonts w:ascii="Calibri" w:hAnsi="Calibri"/>
          <w:color w:val="222222"/>
          <w:sz w:val="21"/>
        </w:rPr>
        <w:t>global HIE clinical-concept/product-terminology verification by platform administrators.</w:t>
      </w:r>
    </w:p>
    <w:p>
      <w:pPr>
        <w:pStyle w:val="Heading2"/>
      </w:pPr>
      <w:r>
        <w:t>6. Data model</w:t>
      </w:r>
    </w:p>
    <w:p>
      <w:r>
        <w:rPr>
          <w:rFonts w:ascii="Menlo" w:hAnsi="Menlo"/>
          <w:color w:val="1F4D78"/>
          <w:sz w:val="17"/>
          <w:shd w:fill="F6F8FA"/>
        </w:rPr>
        <w:t>prisma/schema/hie.prisma</w:t>
      </w:r>
      <w:r>
        <w:rPr>
          <w:rFonts w:ascii="Calibri" w:hAnsi="Calibri"/>
          <w:color w:val="222222"/>
          <w:sz w:val="21"/>
        </w:rPr>
        <w:t xml:space="preserve"> is the center of persistence. Important models are grouped below.</w:t>
      </w:r>
    </w:p>
    <w:p>
      <w:pPr>
        <w:pStyle w:val="Heading3"/>
      </w:pPr>
      <w:r>
        <w:t>6.1 Configuration and mappings</w:t>
      </w:r>
    </w:p>
    <w:p>
      <w:pPr>
        <w:numPr>
          <w:ilvl w:val="0"/>
          <w:numId w:val="10"/>
        </w:numPr>
      </w:pPr>
      <w:r>
        <w:rPr>
          <w:rFonts w:ascii="Menlo" w:hAnsi="Menlo"/>
          <w:color w:val="1F4D78"/>
          <w:sz w:val="17"/>
          <w:shd w:fill="F6F8FA"/>
        </w:rPr>
        <w:t>HieTenantConfig</w:t>
      </w:r>
      <w:r>
        <w:rPr>
          <w:rFonts w:ascii="Calibri" w:hAnsi="Calibri"/>
          <w:color w:val="222222"/>
          <w:sz w:val="21"/>
        </w:rPr>
        <w:t>: environment, global enablement, individual capabilities, and last health result.</w:t>
      </w:r>
    </w:p>
    <w:p>
      <w:pPr>
        <w:numPr>
          <w:ilvl w:val="0"/>
          <w:numId w:val="10"/>
        </w:numPr>
      </w:pPr>
      <w:r>
        <w:rPr>
          <w:rFonts w:ascii="Menlo" w:hAnsi="Menlo"/>
          <w:color w:val="1F4D78"/>
          <w:sz w:val="17"/>
          <w:shd w:fill="F6F8FA"/>
        </w:rPr>
        <w:t>HieFacilityLink</w:t>
      </w:r>
      <w:r>
        <w:rPr>
          <w:rFonts w:ascii="Calibri" w:hAnsi="Calibri"/>
          <w:color w:val="222222"/>
          <w:sz w:val="21"/>
        </w:rPr>
        <w:t>: CareLogic branch → FOSA/Location with verification evidence and expiry.</w:t>
      </w:r>
    </w:p>
    <w:p>
      <w:pPr>
        <w:numPr>
          <w:ilvl w:val="0"/>
          <w:numId w:val="10"/>
        </w:numPr>
      </w:pPr>
      <w:r>
        <w:rPr>
          <w:rFonts w:ascii="Menlo" w:hAnsi="Menlo"/>
          <w:color w:val="1F4D78"/>
          <w:sz w:val="17"/>
          <w:shd w:fill="F6F8FA"/>
        </w:rPr>
        <w:t>HieDestinationFacility</w:t>
      </w:r>
      <w:r>
        <w:rPr>
          <w:rFonts w:ascii="Calibri" w:hAnsi="Calibri"/>
          <w:color w:val="222222"/>
          <w:sz w:val="21"/>
        </w:rPr>
        <w:t>: clinic-approved transfer destinations.</w:t>
      </w:r>
    </w:p>
    <w:p>
      <w:pPr>
        <w:numPr>
          <w:ilvl w:val="0"/>
          <w:numId w:val="10"/>
        </w:numPr>
      </w:pPr>
      <w:r>
        <w:rPr>
          <w:rFonts w:ascii="Menlo" w:hAnsi="Menlo"/>
          <w:color w:val="1F4D78"/>
          <w:sz w:val="17"/>
          <w:shd w:fill="F6F8FA"/>
        </w:rPr>
        <w:t>UserExternalIdentity</w:t>
      </w:r>
      <w:r>
        <w:rPr>
          <w:rFonts w:ascii="Calibri" w:hAnsi="Calibri"/>
          <w:color w:val="222222"/>
          <w:sz w:val="21"/>
        </w:rPr>
        <w:t>: staff → encrypted/hashed national Practitioner reference.</w:t>
      </w:r>
    </w:p>
    <w:p>
      <w:pPr>
        <w:numPr>
          <w:ilvl w:val="0"/>
          <w:numId w:val="10"/>
        </w:numPr>
      </w:pPr>
      <w:r>
        <w:rPr>
          <w:rFonts w:ascii="Menlo" w:hAnsi="Menlo"/>
          <w:color w:val="1F4D78"/>
          <w:sz w:val="17"/>
          <w:shd w:fill="F6F8FA"/>
        </w:rPr>
        <w:t>PatientInsuranceExternalIdentity</w:t>
      </w:r>
      <w:r>
        <w:rPr>
          <w:rFonts w:ascii="Calibri" w:hAnsi="Calibri"/>
          <w:color w:val="222222"/>
          <w:sz w:val="21"/>
        </w:rPr>
        <w:t>: CareLogic policy → national Coverage reference.</w:t>
      </w:r>
    </w:p>
    <w:p>
      <w:pPr>
        <w:pStyle w:val="Heading3"/>
      </w:pPr>
      <w:r>
        <w:t>6.2 Identity and consent</w:t>
      </w:r>
    </w:p>
    <w:p>
      <w:pPr>
        <w:numPr>
          <w:ilvl w:val="0"/>
          <w:numId w:val="10"/>
        </w:numPr>
      </w:pPr>
      <w:r>
        <w:rPr>
          <w:rFonts w:ascii="Menlo" w:hAnsi="Menlo"/>
          <w:color w:val="1F4D78"/>
          <w:sz w:val="17"/>
          <w:shd w:fill="F6F8FA"/>
        </w:rPr>
        <w:t>PatientExternalIdentity</w:t>
      </w:r>
      <w:r>
        <w:rPr>
          <w:rFonts w:ascii="Calibri" w:hAnsi="Calibri"/>
          <w:color w:val="222222"/>
          <w:sz w:val="21"/>
        </w:rPr>
        <w:t>: NID/UPID/resource reference, protected demographic snapshot, verification/retry state.</w:t>
      </w:r>
    </w:p>
    <w:p>
      <w:pPr>
        <w:numPr>
          <w:ilvl w:val="0"/>
          <w:numId w:val="10"/>
        </w:numPr>
      </w:pPr>
      <w:r>
        <w:rPr>
          <w:rFonts w:ascii="Menlo" w:hAnsi="Menlo"/>
          <w:color w:val="1F4D78"/>
          <w:sz w:val="17"/>
          <w:shd w:fill="F6F8FA"/>
        </w:rPr>
        <w:t>HieIdentityReconciliation</w:t>
      </w:r>
      <w:r>
        <w:rPr>
          <w:rFonts w:ascii="Calibri" w:hAnsi="Calibri"/>
          <w:color w:val="222222"/>
          <w:sz w:val="21"/>
        </w:rPr>
        <w:t>: uniqueness/concurrency conflict case; never an automatic merge.</w:t>
      </w:r>
    </w:p>
    <w:p>
      <w:pPr>
        <w:numPr>
          <w:ilvl w:val="0"/>
          <w:numId w:val="10"/>
        </w:numPr>
      </w:pPr>
      <w:r>
        <w:rPr>
          <w:rFonts w:ascii="Menlo" w:hAnsi="Menlo"/>
          <w:color w:val="1F4D78"/>
          <w:sz w:val="17"/>
          <w:shd w:fill="F6F8FA"/>
        </w:rPr>
        <w:t>HieDobDiscrepancy</w:t>
      </w:r>
      <w:r>
        <w:rPr>
          <w:rFonts w:ascii="Calibri" w:hAnsi="Calibri"/>
          <w:color w:val="222222"/>
          <w:sz w:val="21"/>
        </w:rPr>
        <w:t>: local/national date-only discrepancy and review state.</w:t>
      </w:r>
    </w:p>
    <w:p>
      <w:pPr>
        <w:numPr>
          <w:ilvl w:val="0"/>
          <w:numId w:val="10"/>
        </w:numPr>
      </w:pPr>
      <w:r>
        <w:rPr>
          <w:rFonts w:ascii="Menlo" w:hAnsi="Menlo"/>
          <w:color w:val="1F4D78"/>
          <w:sz w:val="17"/>
          <w:shd w:fill="F6F8FA"/>
        </w:rPr>
        <w:t>HieConsent</w:t>
      </w:r>
      <w:r>
        <w:rPr>
          <w:rFonts w:ascii="Calibri" w:hAnsi="Calibri"/>
          <w:color w:val="222222"/>
          <w:sz w:val="21"/>
        </w:rPr>
        <w:t>: local consent evidence, effective window, remote identifiers/version, and sync state.</w:t>
      </w:r>
    </w:p>
    <w:p>
      <w:pPr>
        <w:pStyle w:val="Heading3"/>
      </w:pPr>
      <w:r>
        <w:t>6.3 Publication and provenance</w:t>
      </w:r>
    </w:p>
    <w:p>
      <w:pPr>
        <w:numPr>
          <w:ilvl w:val="0"/>
          <w:numId w:val="10"/>
        </w:numPr>
      </w:pPr>
      <w:r>
        <w:rPr>
          <w:rFonts w:ascii="Menlo" w:hAnsi="Menlo"/>
          <w:color w:val="1F4D78"/>
          <w:sz w:val="17"/>
          <w:shd w:fill="F6F8FA"/>
        </w:rPr>
        <w:t>HieOutboxEvent</w:t>
      </w:r>
      <w:r>
        <w:rPr>
          <w:rFonts w:ascii="Calibri" w:hAnsi="Calibri"/>
          <w:color w:val="222222"/>
          <w:sz w:val="21"/>
        </w:rPr>
        <w:t>: encrypted immutable publication snapshot, dependency order/reason, attempts, correlation/idempotency keys, lock and terminal state.</w:t>
      </w:r>
    </w:p>
    <w:p>
      <w:pPr>
        <w:numPr>
          <w:ilvl w:val="0"/>
          <w:numId w:val="10"/>
        </w:numPr>
      </w:pPr>
      <w:r>
        <w:rPr>
          <w:rFonts w:ascii="Menlo" w:hAnsi="Menlo"/>
          <w:color w:val="1F4D78"/>
          <w:sz w:val="17"/>
          <w:shd w:fill="F6F8FA"/>
        </w:rPr>
        <w:t>HieSyncAttempt</w:t>
      </w:r>
      <w:r>
        <w:rPr>
          <w:rFonts w:ascii="Calibri" w:hAnsi="Calibri"/>
          <w:color w:val="222222"/>
          <w:sz w:val="21"/>
        </w:rPr>
        <w:t>: per-attempt outcome, safe error details, latency, and HTTP status.</w:t>
      </w:r>
    </w:p>
    <w:p>
      <w:pPr>
        <w:numPr>
          <w:ilvl w:val="0"/>
          <w:numId w:val="10"/>
        </w:numPr>
      </w:pPr>
      <w:r>
        <w:rPr>
          <w:rFonts w:ascii="Menlo" w:hAnsi="Menlo"/>
          <w:color w:val="1F4D78"/>
          <w:sz w:val="17"/>
          <w:shd w:fill="F6F8FA"/>
        </w:rPr>
        <w:t>HieResourceLink</w:t>
      </w:r>
      <w:r>
        <w:rPr>
          <w:rFonts w:ascii="Calibri" w:hAnsi="Calibri"/>
          <w:color w:val="222222"/>
          <w:sz w:val="21"/>
        </w:rPr>
        <w:t>: local aggregate → encrypted remote FHIR ID/version.</w:t>
      </w:r>
    </w:p>
    <w:p>
      <w:pPr>
        <w:numPr>
          <w:ilvl w:val="0"/>
          <w:numId w:val="10"/>
        </w:numPr>
      </w:pPr>
      <w:r>
        <w:rPr>
          <w:rFonts w:ascii="Menlo" w:hAnsi="Menlo"/>
          <w:color w:val="1F4D78"/>
          <w:sz w:val="17"/>
          <w:shd w:fill="F6F8FA"/>
        </w:rPr>
        <w:t>HieAuditEvent</w:t>
      </w:r>
      <w:r>
        <w:rPr>
          <w:rFonts w:ascii="Calibri" w:hAnsi="Calibri"/>
          <w:color w:val="222222"/>
          <w:sz w:val="21"/>
        </w:rPr>
        <w:t>: tenant/actor/patient action, capability, purpose, outcome, correlation, redacted metadata.</w:t>
      </w:r>
    </w:p>
    <w:p>
      <w:pPr>
        <w:numPr>
          <w:ilvl w:val="0"/>
          <w:numId w:val="10"/>
        </w:numPr>
      </w:pPr>
      <w:r>
        <w:rPr>
          <w:rFonts w:ascii="Menlo" w:hAnsi="Menlo"/>
          <w:color w:val="1F4D78"/>
          <w:sz w:val="17"/>
          <w:shd w:fill="F6F8FA"/>
        </w:rPr>
        <w:t>HieReconciliation</w:t>
      </w:r>
      <w:r>
        <w:rPr>
          <w:rFonts w:ascii="Calibri" w:hAnsi="Calibri"/>
          <w:color w:val="222222"/>
          <w:sz w:val="21"/>
        </w:rPr>
        <w:t>: clinician decision about a retrieved external resource.</w:t>
      </w:r>
    </w:p>
    <w:p>
      <w:pPr>
        <w:pStyle w:val="Heading3"/>
      </w:pPr>
      <w:r>
        <w:t>6.4 Structured clinical and transfer data</w:t>
      </w:r>
    </w:p>
    <w:p>
      <w:pPr>
        <w:numPr>
          <w:ilvl w:val="0"/>
          <w:numId w:val="10"/>
        </w:numPr>
      </w:pPr>
      <w:r>
        <w:rPr>
          <w:rFonts w:ascii="Menlo" w:hAnsi="Menlo"/>
          <w:color w:val="1F4D78"/>
          <w:sz w:val="17"/>
          <w:shd w:fill="F6F8FA"/>
        </w:rPr>
        <w:t>HieClinicalConcept</w:t>
      </w:r>
      <w:r>
        <w:rPr>
          <w:rFonts w:ascii="Calibri" w:hAnsi="Calibri"/>
          <w:color w:val="222222"/>
          <w:sz w:val="21"/>
        </w:rPr>
        <w:t xml:space="preserve">, </w:t>
      </w:r>
      <w:r>
        <w:rPr>
          <w:rFonts w:ascii="Menlo" w:hAnsi="Menlo"/>
          <w:color w:val="1F4D78"/>
          <w:sz w:val="17"/>
          <w:shd w:fill="F6F8FA"/>
        </w:rPr>
        <w:t>HieConsultationObservation</w:t>
      </w:r>
      <w:r>
        <w:rPr>
          <w:rFonts w:ascii="Calibri" w:hAnsi="Calibri"/>
          <w:color w:val="222222"/>
          <w:sz w:val="21"/>
        </w:rPr>
        <w:t xml:space="preserve">, </w:t>
      </w:r>
      <w:r>
        <w:rPr>
          <w:rFonts w:ascii="Menlo" w:hAnsi="Menlo"/>
          <w:color w:val="1F4D78"/>
          <w:sz w:val="17"/>
          <w:shd w:fill="F6F8FA"/>
        </w:rPr>
        <w:t>HieStructuredAllergy</w:t>
      </w:r>
      <w:r>
        <w:rPr>
          <w:rFonts w:ascii="Calibri" w:hAnsi="Calibri"/>
          <w:color w:val="222222"/>
          <w:sz w:val="21"/>
        </w:rPr>
        <w:t xml:space="preserve">, </w:t>
      </w:r>
      <w:r>
        <w:rPr>
          <w:rFonts w:ascii="Menlo" w:hAnsi="Menlo"/>
          <w:color w:val="1F4D78"/>
          <w:sz w:val="17"/>
          <w:shd w:fill="F6F8FA"/>
        </w:rPr>
        <w:t>HieImmunization</w:t>
      </w:r>
      <w:r>
        <w:rPr>
          <w:rFonts w:ascii="Calibri" w:hAnsi="Calibri"/>
          <w:color w:val="222222"/>
          <w:sz w:val="21"/>
        </w:rPr>
        <w:t>;</w:t>
      </w:r>
    </w:p>
    <w:p>
      <w:pPr>
        <w:numPr>
          <w:ilvl w:val="0"/>
          <w:numId w:val="10"/>
        </w:numPr>
      </w:pPr>
      <w:r>
        <w:rPr>
          <w:rFonts w:ascii="Menlo" w:hAnsi="Menlo"/>
          <w:color w:val="1F4D78"/>
          <w:sz w:val="17"/>
          <w:shd w:fill="F6F8FA"/>
        </w:rPr>
        <w:t>HieImagingOrder</w:t>
      </w:r>
      <w:r>
        <w:rPr>
          <w:rFonts w:ascii="Calibri" w:hAnsi="Calibri"/>
          <w:color w:val="222222"/>
          <w:sz w:val="21"/>
        </w:rPr>
        <w:t xml:space="preserve">, </w:t>
      </w:r>
      <w:r>
        <w:rPr>
          <w:rFonts w:ascii="Menlo" w:hAnsi="Menlo"/>
          <w:color w:val="1F4D78"/>
          <w:sz w:val="17"/>
          <w:shd w:fill="F6F8FA"/>
        </w:rPr>
        <w:t>HieImagingStudy</w:t>
      </w:r>
      <w:r>
        <w:rPr>
          <w:rFonts w:ascii="Calibri" w:hAnsi="Calibri"/>
          <w:color w:val="222222"/>
          <w:sz w:val="21"/>
        </w:rPr>
        <w:t xml:space="preserve">, </w:t>
      </w:r>
      <w:r>
        <w:rPr>
          <w:rFonts w:ascii="Menlo" w:hAnsi="Menlo"/>
          <w:color w:val="1F4D78"/>
          <w:sz w:val="17"/>
          <w:shd w:fill="F6F8FA"/>
        </w:rPr>
        <w:t>HieImagingSeries</w:t>
      </w:r>
      <w:r>
        <w:rPr>
          <w:rFonts w:ascii="Calibri" w:hAnsi="Calibri"/>
          <w:color w:val="222222"/>
          <w:sz w:val="21"/>
        </w:rPr>
        <w:t xml:space="preserve">, </w:t>
      </w:r>
      <w:r>
        <w:rPr>
          <w:rFonts w:ascii="Menlo" w:hAnsi="Menlo"/>
          <w:color w:val="1F4D78"/>
          <w:sz w:val="17"/>
          <w:shd w:fill="F6F8FA"/>
        </w:rPr>
        <w:t>HieImagingInstance</w:t>
      </w:r>
      <w:r>
        <w:rPr>
          <w:rFonts w:ascii="Calibri" w:hAnsi="Calibri"/>
          <w:color w:val="222222"/>
          <w:sz w:val="21"/>
        </w:rPr>
        <w:t>;</w:t>
      </w:r>
    </w:p>
    <w:p>
      <w:pPr>
        <w:numPr>
          <w:ilvl w:val="0"/>
          <w:numId w:val="10"/>
        </w:numPr>
      </w:pPr>
      <w:r>
        <w:rPr>
          <w:rFonts w:ascii="Menlo" w:hAnsi="Menlo"/>
          <w:color w:val="1F4D78"/>
          <w:sz w:val="17"/>
          <w:shd w:fill="F6F8FA"/>
        </w:rPr>
        <w:t>HieEmergencyAccess</w:t>
      </w:r>
      <w:r>
        <w:rPr>
          <w:rFonts w:ascii="Calibri" w:hAnsi="Calibri"/>
          <w:color w:val="222222"/>
          <w:sz w:val="21"/>
        </w:rPr>
        <w:t>;</w:t>
      </w:r>
    </w:p>
    <w:p>
      <w:pPr>
        <w:numPr>
          <w:ilvl w:val="0"/>
          <w:numId w:val="10"/>
        </w:numPr>
      </w:pPr>
      <w:r>
        <w:rPr>
          <w:rFonts w:ascii="Menlo" w:hAnsi="Menlo"/>
          <w:color w:val="1F4D78"/>
          <w:sz w:val="17"/>
          <w:shd w:fill="F6F8FA"/>
        </w:rPr>
        <w:t>HieExternalTransfer</w:t>
      </w:r>
      <w:r>
        <w:rPr>
          <w:rFonts w:ascii="Calibri" w:hAnsi="Calibri"/>
          <w:color w:val="222222"/>
          <w:sz w:val="21"/>
        </w:rPr>
        <w:t xml:space="preserve"> and </w:t>
      </w:r>
      <w:r>
        <w:rPr>
          <w:rFonts w:ascii="Menlo" w:hAnsi="Menlo"/>
          <w:color w:val="1F4D78"/>
          <w:sz w:val="17"/>
          <w:shd w:fill="F6F8FA"/>
        </w:rPr>
        <w:t>HieInboundTransfer</w:t>
      </w:r>
      <w:r>
        <w:rPr>
          <w:rFonts w:ascii="Calibri" w:hAnsi="Calibri"/>
          <w:color w:val="222222"/>
          <w:sz w:val="21"/>
        </w:rPr>
        <w:t>.</w:t>
      </w:r>
    </w:p>
    <w:p>
      <w:r>
        <w:rPr>
          <w:rFonts w:ascii="Calibri" w:hAnsi="Calibri"/>
          <w:color w:val="222222"/>
          <w:sz w:val="21"/>
        </w:rPr>
        <w:t xml:space="preserve">The schema is introduced/evolved by migrations from </w:t>
      </w:r>
      <w:r>
        <w:rPr>
          <w:rFonts w:ascii="Menlo" w:hAnsi="Menlo"/>
          <w:color w:val="1F4D78"/>
          <w:sz w:val="17"/>
          <w:shd w:fill="F6F8FA"/>
        </w:rPr>
        <w:t>20260807110000_rwanda_hie_foundation</w:t>
      </w:r>
      <w:r>
        <w:rPr>
          <w:rFonts w:ascii="Calibri" w:hAnsi="Calibri"/>
          <w:color w:val="222222"/>
          <w:sz w:val="21"/>
        </w:rPr>
        <w:t xml:space="preserve"> through </w:t>
      </w:r>
      <w:r>
        <w:rPr>
          <w:rFonts w:ascii="Menlo" w:hAnsi="Menlo"/>
          <w:color w:val="1F4D78"/>
          <w:sz w:val="17"/>
          <w:shd w:fill="F6F8FA"/>
        </w:rPr>
        <w:t>20260812163000_hie_clinical_relations</w:t>
      </w:r>
      <w:r>
        <w:rPr>
          <w:rFonts w:ascii="Calibri" w:hAnsi="Calibri"/>
          <w:color w:val="222222"/>
          <w:sz w:val="21"/>
        </w:rPr>
        <w:t>. Never edit an applied migration; add a new migration for future changes.</w:t>
      </w:r>
    </w:p>
    <w:p>
      <w:pPr>
        <w:pStyle w:val="Heading2"/>
      </w:pPr>
      <w:r>
        <w:t>7. API inventory</w:t>
      </w:r>
    </w:p>
    <w:p>
      <w:r>
        <w:rPr>
          <w:rFonts w:ascii="Calibri" w:hAnsi="Calibri"/>
          <w:color w:val="222222"/>
          <w:sz w:val="21"/>
        </w:rPr>
        <w:t xml:space="preserve">All routes below are entitlement-, tenant-, RBAC-, and Zod-gated under </w:t>
      </w:r>
      <w:r>
        <w:rPr>
          <w:rFonts w:ascii="Menlo" w:hAnsi="Menlo"/>
          <w:color w:val="1F4D78"/>
          <w:sz w:val="17"/>
          <w:shd w:fill="F6F8FA"/>
        </w:rPr>
        <w:t>/api/v1/hie</w:t>
      </w:r>
      <w:r>
        <w:rPr>
          <w:rFonts w:ascii="Calibri" w:hAnsi="Calibri"/>
          <w:color w:val="222222"/>
          <w:sz w:val="21"/>
        </w:rPr>
        <w:t>.</w:t>
      </w:r>
    </w:p>
    <w:p>
      <w:pPr>
        <w:pStyle w:val="Heading3"/>
      </w:pPr>
      <w:r>
        <w:t>7.1 Status, configuration, mappings, and governance</w:t>
      </w:r>
    </w:p>
    <w:p>
      <w:pPr>
        <w:numPr>
          <w:ilvl w:val="0"/>
          <w:numId w:val="10"/>
        </w:numPr>
      </w:pPr>
      <w:r>
        <w:rPr>
          <w:rFonts w:ascii="Menlo" w:hAnsi="Menlo"/>
          <w:color w:val="1F4D78"/>
          <w:sz w:val="17"/>
          <w:shd w:fill="F6F8FA"/>
        </w:rPr>
        <w:t>GET /status</w:t>
      </w:r>
      <w:r>
        <w:rPr>
          <w:rFonts w:ascii="Calibri" w:hAnsi="Calibri"/>
          <w:color w:val="222222"/>
          <w:sz w:val="21"/>
        </w:rPr>
        <w:t xml:space="preserve">; </w:t>
      </w:r>
      <w:r>
        <w:rPr>
          <w:rFonts w:ascii="Menlo" w:hAnsi="Menlo"/>
          <w:color w:val="1F4D78"/>
          <w:sz w:val="17"/>
          <w:shd w:fill="F6F8FA"/>
        </w:rPr>
        <w:t>PUT /config</w:t>
      </w:r>
    </w:p>
    <w:p>
      <w:pPr>
        <w:numPr>
          <w:ilvl w:val="0"/>
          <w:numId w:val="10"/>
        </w:numPr>
      </w:pPr>
      <w:r>
        <w:rPr>
          <w:rFonts w:ascii="Menlo" w:hAnsi="Menlo"/>
          <w:color w:val="1F4D78"/>
          <w:sz w:val="17"/>
          <w:shd w:fill="F6F8FA"/>
        </w:rPr>
        <w:t>GET /mappings</w:t>
      </w:r>
      <w:r>
        <w:rPr>
          <w:rFonts w:ascii="Calibri" w:hAnsi="Calibri"/>
          <w:color w:val="222222"/>
          <w:sz w:val="21"/>
        </w:rPr>
        <w:t xml:space="preserve">; </w:t>
      </w:r>
      <w:r>
        <w:rPr>
          <w:rFonts w:ascii="Menlo" w:hAnsi="Menlo"/>
          <w:color w:val="1F4D78"/>
          <w:sz w:val="17"/>
          <w:shd w:fill="F6F8FA"/>
        </w:rPr>
        <w:t>PUT /facilities</w:t>
      </w:r>
      <w:r>
        <w:rPr>
          <w:rFonts w:ascii="Calibri" w:hAnsi="Calibri"/>
          <w:color w:val="222222"/>
          <w:sz w:val="21"/>
        </w:rPr>
        <w:t xml:space="preserve">; </w:t>
      </w:r>
      <w:r>
        <w:rPr>
          <w:rFonts w:ascii="Menlo" w:hAnsi="Menlo"/>
          <w:color w:val="1F4D78"/>
          <w:sz w:val="17"/>
          <w:shd w:fill="F6F8FA"/>
        </w:rPr>
        <w:t>PUT /practitioners</w:t>
      </w:r>
      <w:r>
        <w:rPr>
          <w:rFonts w:ascii="Calibri" w:hAnsi="Calibri"/>
          <w:color w:val="222222"/>
          <w:sz w:val="21"/>
        </w:rPr>
        <w:t xml:space="preserve">; </w:t>
      </w:r>
      <w:r>
        <w:rPr>
          <w:rFonts w:ascii="Menlo" w:hAnsi="Menlo"/>
          <w:color w:val="1F4D78"/>
          <w:sz w:val="17"/>
          <w:shd w:fill="F6F8FA"/>
        </w:rPr>
        <w:t>PUT /destinations</w:t>
      </w:r>
    </w:p>
    <w:p>
      <w:pPr>
        <w:numPr>
          <w:ilvl w:val="0"/>
          <w:numId w:val="10"/>
        </w:numPr>
      </w:pPr>
      <w:r>
        <w:rPr>
          <w:rFonts w:ascii="Menlo" w:hAnsi="Menlo"/>
          <w:color w:val="1F4D78"/>
          <w:sz w:val="17"/>
          <w:shd w:fill="F6F8FA"/>
        </w:rPr>
        <w:t>GET /concepts</w:t>
      </w:r>
    </w:p>
    <w:p>
      <w:pPr>
        <w:numPr>
          <w:ilvl w:val="0"/>
          <w:numId w:val="10"/>
        </w:numPr>
      </w:pPr>
      <w:r>
        <w:rPr>
          <w:rFonts w:ascii="Menlo" w:hAnsi="Menlo"/>
          <w:color w:val="1F4D78"/>
          <w:sz w:val="17"/>
          <w:shd w:fill="F6F8FA"/>
        </w:rPr>
        <w:t>GET|PUT /coverage-mappings</w:t>
      </w:r>
    </w:p>
    <w:p>
      <w:pPr>
        <w:numPr>
          <w:ilvl w:val="0"/>
          <w:numId w:val="10"/>
        </w:numPr>
      </w:pPr>
      <w:r>
        <w:rPr>
          <w:rFonts w:ascii="Menlo" w:hAnsi="Menlo"/>
          <w:color w:val="1F4D78"/>
          <w:sz w:val="17"/>
          <w:shd w:fill="F6F8FA"/>
        </w:rPr>
        <w:t>GET /national-audit</w:t>
      </w:r>
    </w:p>
    <w:p>
      <w:pPr>
        <w:numPr>
          <w:ilvl w:val="0"/>
          <w:numId w:val="10"/>
        </w:numPr>
      </w:pPr>
      <w:r>
        <w:rPr>
          <w:rFonts w:ascii="Menlo" w:hAnsi="Menlo"/>
          <w:color w:val="1F4D78"/>
          <w:sz w:val="17"/>
          <w:shd w:fill="F6F8FA"/>
        </w:rPr>
        <w:t>GET /dob-discrepancies</w:t>
      </w:r>
      <w:r>
        <w:rPr>
          <w:rFonts w:ascii="Calibri" w:hAnsi="Calibri"/>
          <w:color w:val="222222"/>
          <w:sz w:val="21"/>
        </w:rPr>
        <w:t xml:space="preserve">; </w:t>
      </w:r>
      <w:r>
        <w:rPr>
          <w:rFonts w:ascii="Menlo" w:hAnsi="Menlo"/>
          <w:color w:val="1F4D78"/>
          <w:sz w:val="17"/>
          <w:shd w:fill="F6F8FA"/>
        </w:rPr>
        <w:t>POST /dob-discrepancies/refresh</w:t>
      </w:r>
      <w:r>
        <w:rPr>
          <w:rFonts w:ascii="Calibri" w:hAnsi="Calibri"/>
          <w:color w:val="222222"/>
          <w:sz w:val="21"/>
        </w:rPr>
        <w:t xml:space="preserve">; </w:t>
      </w:r>
      <w:r>
        <w:rPr>
          <w:rFonts w:ascii="Menlo" w:hAnsi="Menlo"/>
          <w:color w:val="1F4D78"/>
          <w:sz w:val="17"/>
          <w:shd w:fill="F6F8FA"/>
        </w:rPr>
        <w:t>POST /dob-discrepancies/:id/resolve</w:t>
      </w:r>
    </w:p>
    <w:p>
      <w:pPr>
        <w:numPr>
          <w:ilvl w:val="0"/>
          <w:numId w:val="10"/>
        </w:numPr>
      </w:pPr>
      <w:r>
        <w:rPr>
          <w:rFonts w:ascii="Menlo" w:hAnsi="Menlo"/>
          <w:color w:val="1F4D78"/>
          <w:sz w:val="17"/>
          <w:shd w:fill="F6F8FA"/>
        </w:rPr>
        <w:t>GET /audit</w:t>
      </w:r>
    </w:p>
    <w:p>
      <w:pPr>
        <w:numPr>
          <w:ilvl w:val="0"/>
          <w:numId w:val="10"/>
        </w:numPr>
      </w:pPr>
      <w:r>
        <w:rPr>
          <w:rFonts w:ascii="Menlo" w:hAnsi="Menlo"/>
          <w:color w:val="1F4D78"/>
          <w:sz w:val="17"/>
          <w:shd w:fill="F6F8FA"/>
        </w:rPr>
        <w:t>GET /operations/summary</w:t>
      </w:r>
    </w:p>
    <w:p>
      <w:pPr>
        <w:pStyle w:val="Heading3"/>
      </w:pPr>
      <w:r>
        <w:t>7.2 Identity</w:t>
      </w:r>
    </w:p>
    <w:p>
      <w:pPr>
        <w:numPr>
          <w:ilvl w:val="0"/>
          <w:numId w:val="10"/>
        </w:numPr>
      </w:pPr>
      <w:r>
        <w:rPr>
          <w:rFonts w:ascii="Menlo" w:hAnsi="Menlo"/>
          <w:color w:val="1F4D78"/>
          <w:sz w:val="17"/>
          <w:shd w:fill="F6F8FA"/>
        </w:rPr>
        <w:t>POST /patients/lookup</w:t>
      </w:r>
      <w:r>
        <w:rPr>
          <w:rFonts w:ascii="Calibri" w:hAnsi="Calibri"/>
          <w:color w:val="222222"/>
          <w:sz w:val="21"/>
        </w:rPr>
        <w:t xml:space="preserve">; </w:t>
      </w:r>
      <w:r>
        <w:rPr>
          <w:rFonts w:ascii="Menlo" w:hAnsi="Menlo"/>
          <w:color w:val="1F4D78"/>
          <w:sz w:val="17"/>
          <w:shd w:fill="F6F8FA"/>
        </w:rPr>
        <w:t>POST /patients/link</w:t>
      </w:r>
      <w:r>
        <w:rPr>
          <w:rFonts w:ascii="Calibri" w:hAnsi="Calibri"/>
          <w:color w:val="222222"/>
          <w:sz w:val="21"/>
        </w:rPr>
        <w:t xml:space="preserve">; </w:t>
      </w:r>
      <w:r>
        <w:rPr>
          <w:rFonts w:ascii="Menlo" w:hAnsi="Menlo"/>
          <w:color w:val="1F4D78"/>
          <w:sz w:val="17"/>
          <w:shd w:fill="F6F8FA"/>
        </w:rPr>
        <w:t>POST /patients/defer-verification</w:t>
      </w:r>
    </w:p>
    <w:p>
      <w:pPr>
        <w:numPr>
          <w:ilvl w:val="0"/>
          <w:numId w:val="10"/>
        </w:numPr>
      </w:pPr>
      <w:r>
        <w:rPr>
          <w:rFonts w:ascii="Menlo" w:hAnsi="Menlo"/>
          <w:color w:val="1F4D78"/>
          <w:sz w:val="17"/>
          <w:shd w:fill="F6F8FA"/>
        </w:rPr>
        <w:t>GET /patients/:patientId/identity</w:t>
      </w:r>
    </w:p>
    <w:p>
      <w:pPr>
        <w:numPr>
          <w:ilvl w:val="0"/>
          <w:numId w:val="10"/>
        </w:numPr>
      </w:pPr>
      <w:r>
        <w:rPr>
          <w:rFonts w:ascii="Menlo" w:hAnsi="Menlo"/>
          <w:color w:val="1F4D78"/>
          <w:sz w:val="17"/>
          <w:shd w:fill="F6F8FA"/>
        </w:rPr>
        <w:t>GET /identities/pending</w:t>
      </w:r>
      <w:r>
        <w:rPr>
          <w:rFonts w:ascii="Calibri" w:hAnsi="Calibri"/>
          <w:color w:val="222222"/>
          <w:sz w:val="21"/>
        </w:rPr>
        <w:t xml:space="preserve">; </w:t>
      </w:r>
      <w:r>
        <w:rPr>
          <w:rFonts w:ascii="Menlo" w:hAnsi="Menlo"/>
          <w:color w:val="1F4D78"/>
          <w:sz w:val="17"/>
          <w:shd w:fill="F6F8FA"/>
        </w:rPr>
        <w:t>POST /identities/:identityId/retry</w:t>
      </w:r>
    </w:p>
    <w:p>
      <w:pPr>
        <w:numPr>
          <w:ilvl w:val="0"/>
          <w:numId w:val="10"/>
        </w:numPr>
      </w:pPr>
      <w:r>
        <w:rPr>
          <w:rFonts w:ascii="Menlo" w:hAnsi="Menlo"/>
          <w:color w:val="1F4D78"/>
          <w:sz w:val="17"/>
          <w:shd w:fill="F6F8FA"/>
        </w:rPr>
        <w:t>GET /identity-cases</w:t>
      </w:r>
      <w:r>
        <w:rPr>
          <w:rFonts w:ascii="Calibri" w:hAnsi="Calibri"/>
          <w:color w:val="222222"/>
          <w:sz w:val="21"/>
        </w:rPr>
        <w:t xml:space="preserve">; </w:t>
      </w:r>
      <w:r>
        <w:rPr>
          <w:rFonts w:ascii="Menlo" w:hAnsi="Menlo"/>
          <w:color w:val="1F4D78"/>
          <w:sz w:val="17"/>
          <w:shd w:fill="F6F8FA"/>
        </w:rPr>
        <w:t>PUT /identity-cases/:caseId</w:t>
      </w:r>
    </w:p>
    <w:p>
      <w:pPr>
        <w:pStyle w:val="Heading3"/>
      </w:pPr>
      <w:r>
        <w:t>7.3 National read, emergency access, consent, and reconciliation</w:t>
      </w:r>
    </w:p>
    <w:p>
      <w:pPr>
        <w:numPr>
          <w:ilvl w:val="0"/>
          <w:numId w:val="10"/>
        </w:numPr>
      </w:pPr>
      <w:r>
        <w:rPr>
          <w:rFonts w:ascii="Menlo" w:hAnsi="Menlo"/>
          <w:color w:val="1F4D78"/>
          <w:sz w:val="17"/>
          <w:shd w:fill="F6F8FA"/>
        </w:rPr>
        <w:t>GET /patients/:patientId/ips</w:t>
      </w:r>
    </w:p>
    <w:p>
      <w:pPr>
        <w:numPr>
          <w:ilvl w:val="0"/>
          <w:numId w:val="10"/>
        </w:numPr>
      </w:pPr>
      <w:r>
        <w:rPr>
          <w:rFonts w:ascii="Menlo" w:hAnsi="Menlo"/>
          <w:color w:val="1F4D78"/>
          <w:sz w:val="17"/>
          <w:shd w:fill="F6F8FA"/>
        </w:rPr>
        <w:t>GET /patients/:patientId/national-record</w:t>
      </w:r>
    </w:p>
    <w:p>
      <w:pPr>
        <w:numPr>
          <w:ilvl w:val="0"/>
          <w:numId w:val="10"/>
        </w:numPr>
      </w:pPr>
      <w:r>
        <w:rPr>
          <w:rFonts w:ascii="Menlo" w:hAnsi="Menlo"/>
          <w:color w:val="1F4D78"/>
          <w:sz w:val="17"/>
          <w:shd w:fill="F6F8FA"/>
        </w:rPr>
        <w:t>POST /patients/:patientId/emergency-access</w:t>
      </w:r>
    </w:p>
    <w:p>
      <w:pPr>
        <w:numPr>
          <w:ilvl w:val="0"/>
          <w:numId w:val="10"/>
        </w:numPr>
      </w:pPr>
      <w:r>
        <w:rPr>
          <w:rFonts w:ascii="Menlo" w:hAnsi="Menlo"/>
          <w:color w:val="1F4D78"/>
          <w:sz w:val="17"/>
          <w:shd w:fill="F6F8FA"/>
        </w:rPr>
        <w:t>GET /emergency-access</w:t>
      </w:r>
      <w:r>
        <w:rPr>
          <w:rFonts w:ascii="Calibri" w:hAnsi="Calibri"/>
          <w:color w:val="222222"/>
          <w:sz w:val="21"/>
        </w:rPr>
        <w:t xml:space="preserve">; </w:t>
      </w:r>
      <w:r>
        <w:rPr>
          <w:rFonts w:ascii="Menlo" w:hAnsi="Menlo"/>
          <w:color w:val="1F4D78"/>
          <w:sz w:val="17"/>
          <w:shd w:fill="F6F8FA"/>
        </w:rPr>
        <w:t>POST /emergency-access/:id/review</w:t>
      </w:r>
    </w:p>
    <w:p>
      <w:pPr>
        <w:numPr>
          <w:ilvl w:val="0"/>
          <w:numId w:val="10"/>
        </w:numPr>
      </w:pPr>
      <w:r>
        <w:rPr>
          <w:rFonts w:ascii="Menlo" w:hAnsi="Menlo"/>
          <w:color w:val="1F4D78"/>
          <w:sz w:val="17"/>
          <w:shd w:fill="F6F8FA"/>
        </w:rPr>
        <w:t>GET /patients/:patientId/consent</w:t>
      </w:r>
      <w:r>
        <w:rPr>
          <w:rFonts w:ascii="Calibri" w:hAnsi="Calibri"/>
          <w:color w:val="222222"/>
          <w:sz w:val="21"/>
        </w:rPr>
        <w:t xml:space="preserve">; </w:t>
      </w:r>
      <w:r>
        <w:rPr>
          <w:rFonts w:ascii="Menlo" w:hAnsi="Menlo"/>
          <w:color w:val="1F4D78"/>
          <w:sz w:val="17"/>
          <w:shd w:fill="F6F8FA"/>
        </w:rPr>
        <w:t>POST /patients/:patientId/consent/reconcile</w:t>
      </w:r>
    </w:p>
    <w:p>
      <w:pPr>
        <w:numPr>
          <w:ilvl w:val="0"/>
          <w:numId w:val="10"/>
        </w:numPr>
      </w:pPr>
      <w:r>
        <w:rPr>
          <w:rFonts w:ascii="Menlo" w:hAnsi="Menlo"/>
          <w:color w:val="1F4D78"/>
          <w:sz w:val="17"/>
          <w:shd w:fill="F6F8FA"/>
        </w:rPr>
        <w:t>POST /consents</w:t>
      </w:r>
      <w:r>
        <w:rPr>
          <w:rFonts w:ascii="Calibri" w:hAnsi="Calibri"/>
          <w:color w:val="222222"/>
          <w:sz w:val="21"/>
        </w:rPr>
        <w:t xml:space="preserve">; </w:t>
      </w:r>
      <w:r>
        <w:rPr>
          <w:rFonts w:ascii="Menlo" w:hAnsi="Menlo"/>
          <w:color w:val="1F4D78"/>
          <w:sz w:val="17"/>
          <w:shd w:fill="F6F8FA"/>
        </w:rPr>
        <w:t>POST /consents/:consentId/withdraw</w:t>
      </w:r>
    </w:p>
    <w:p>
      <w:pPr>
        <w:numPr>
          <w:ilvl w:val="0"/>
          <w:numId w:val="10"/>
        </w:numPr>
      </w:pPr>
      <w:r>
        <w:rPr>
          <w:rFonts w:ascii="Menlo" w:hAnsi="Menlo"/>
          <w:color w:val="1F4D78"/>
          <w:sz w:val="17"/>
          <w:shd w:fill="F6F8FA"/>
        </w:rPr>
        <w:t>POST /reconciliations</w:t>
      </w:r>
    </w:p>
    <w:p>
      <w:pPr>
        <w:pStyle w:val="Heading3"/>
      </w:pPr>
      <w:r>
        <w:t>7.4 Structured clinical records</w:t>
      </w:r>
    </w:p>
    <w:p>
      <w:pPr>
        <w:numPr>
          <w:ilvl w:val="0"/>
          <w:numId w:val="10"/>
        </w:numPr>
      </w:pPr>
      <w:r>
        <w:rPr>
          <w:rFonts w:ascii="Calibri" w:hAnsi="Calibri"/>
          <w:color w:val="222222"/>
          <w:sz w:val="21"/>
        </w:rPr>
        <w:t xml:space="preserve">consultation observations: patient list/create and </w:t>
      </w:r>
      <w:r>
        <w:rPr>
          <w:rFonts w:ascii="Menlo" w:hAnsi="Menlo"/>
          <w:color w:val="1F4D78"/>
          <w:sz w:val="17"/>
          <w:shd w:fill="F6F8FA"/>
        </w:rPr>
        <w:t>POST /consultation-observations/:id/finalize</w:t>
      </w:r>
      <w:r>
        <w:rPr>
          <w:rFonts w:ascii="Calibri" w:hAnsi="Calibri"/>
          <w:color w:val="222222"/>
          <w:sz w:val="21"/>
        </w:rPr>
        <w:t>;</w:t>
      </w:r>
    </w:p>
    <w:p>
      <w:pPr>
        <w:numPr>
          <w:ilvl w:val="0"/>
          <w:numId w:val="10"/>
        </w:numPr>
      </w:pPr>
      <w:r>
        <w:rPr>
          <w:rFonts w:ascii="Calibri" w:hAnsi="Calibri"/>
          <w:color w:val="222222"/>
          <w:sz w:val="21"/>
        </w:rPr>
        <w:t>allergies: patient list/create plus update, delete, finalize, and correct;</w:t>
      </w:r>
    </w:p>
    <w:p>
      <w:pPr>
        <w:numPr>
          <w:ilvl w:val="0"/>
          <w:numId w:val="10"/>
        </w:numPr>
      </w:pPr>
      <w:r>
        <w:rPr>
          <w:rFonts w:ascii="Calibri" w:hAnsi="Calibri"/>
          <w:color w:val="222222"/>
          <w:sz w:val="21"/>
        </w:rPr>
        <w:t>immunizations: patient list/create plus update, delete, finalize, and correct;</w:t>
      </w:r>
    </w:p>
    <w:p>
      <w:pPr>
        <w:numPr>
          <w:ilvl w:val="0"/>
          <w:numId w:val="10"/>
        </w:numPr>
      </w:pPr>
      <w:r>
        <w:rPr>
          <w:rFonts w:ascii="Calibri" w:hAnsi="Calibri"/>
          <w:color w:val="222222"/>
          <w:sz w:val="21"/>
        </w:rPr>
        <w:t>imaging: patient list, order/study create, and order/study finalize.</w:t>
      </w:r>
    </w:p>
    <w:p>
      <w:r>
        <w:rPr>
          <w:rFonts w:ascii="Calibri" w:hAnsi="Calibri"/>
          <w:color w:val="222222"/>
          <w:sz w:val="21"/>
        </w:rPr>
        <w:t xml:space="preserve">Exact paths and required actions are centralized in </w:t>
      </w:r>
      <w:r>
        <w:rPr>
          <w:rFonts w:ascii="Menlo" w:hAnsi="Menlo"/>
          <w:color w:val="1F4D78"/>
          <w:sz w:val="17"/>
          <w:shd w:fill="F6F8FA"/>
        </w:rPr>
        <w:t>src/api/v1/hie/hie.routes.ts</w:t>
      </w:r>
      <w:r>
        <w:rPr>
          <w:rFonts w:ascii="Calibri" w:hAnsi="Calibri"/>
          <w:color w:val="222222"/>
          <w:sz w:val="21"/>
        </w:rPr>
        <w:t>.</w:t>
      </w:r>
    </w:p>
    <w:p>
      <w:pPr>
        <w:pStyle w:val="Heading3"/>
      </w:pPr>
      <w:r>
        <w:t>7.5 Operations and transfer</w:t>
      </w:r>
    </w:p>
    <w:p>
      <w:pPr>
        <w:numPr>
          <w:ilvl w:val="0"/>
          <w:numId w:val="10"/>
        </w:numPr>
      </w:pPr>
      <w:r>
        <w:rPr>
          <w:rFonts w:ascii="Menlo" w:hAnsi="Menlo"/>
          <w:color w:val="1F4D78"/>
          <w:sz w:val="17"/>
          <w:shd w:fill="F6F8FA"/>
        </w:rPr>
        <w:t>GET /outbox</w:t>
      </w:r>
      <w:r>
        <w:rPr>
          <w:rFonts w:ascii="Calibri" w:hAnsi="Calibri"/>
          <w:color w:val="222222"/>
          <w:sz w:val="21"/>
        </w:rPr>
        <w:t xml:space="preserve">; </w:t>
      </w:r>
      <w:r>
        <w:rPr>
          <w:rFonts w:ascii="Menlo" w:hAnsi="Menlo"/>
          <w:color w:val="1F4D78"/>
          <w:sz w:val="17"/>
          <w:shd w:fill="F6F8FA"/>
        </w:rPr>
        <w:t>POST /outbox/:eventId/retry</w:t>
      </w:r>
    </w:p>
    <w:p>
      <w:pPr>
        <w:numPr>
          <w:ilvl w:val="0"/>
          <w:numId w:val="10"/>
        </w:numPr>
      </w:pPr>
      <w:r>
        <w:rPr>
          <w:rFonts w:ascii="Menlo" w:hAnsi="Menlo"/>
          <w:color w:val="1F4D78"/>
          <w:sz w:val="17"/>
          <w:shd w:fill="F6F8FA"/>
        </w:rPr>
        <w:t>GET|POST /transfers</w:t>
      </w:r>
      <w:r>
        <w:rPr>
          <w:rFonts w:ascii="Calibri" w:hAnsi="Calibri"/>
          <w:color w:val="222222"/>
          <w:sz w:val="21"/>
        </w:rPr>
        <w:t xml:space="preserve">; </w:t>
      </w:r>
      <w:r>
        <w:rPr>
          <w:rFonts w:ascii="Menlo" w:hAnsi="Menlo"/>
          <w:color w:val="1F4D78"/>
          <w:sz w:val="17"/>
          <w:shd w:fill="F6F8FA"/>
        </w:rPr>
        <w:t>GET /transfers/:transferId</w:t>
      </w:r>
    </w:p>
    <w:p>
      <w:pPr>
        <w:numPr>
          <w:ilvl w:val="0"/>
          <w:numId w:val="10"/>
        </w:numPr>
      </w:pPr>
      <w:r>
        <w:rPr>
          <w:rFonts w:ascii="Menlo" w:hAnsi="Menlo"/>
          <w:color w:val="1F4D78"/>
          <w:sz w:val="17"/>
          <w:shd w:fill="F6F8FA"/>
        </w:rPr>
        <w:t>POST /transfers/:transferId/queue</w:t>
      </w:r>
      <w:r>
        <w:rPr>
          <w:rFonts w:ascii="Calibri" w:hAnsi="Calibri"/>
          <w:color w:val="222222"/>
          <w:sz w:val="21"/>
        </w:rPr>
        <w:t xml:space="preserve">; </w:t>
      </w:r>
      <w:r>
        <w:rPr>
          <w:rFonts w:ascii="Menlo" w:hAnsi="Menlo"/>
          <w:color w:val="1F4D78"/>
          <w:sz w:val="17"/>
          <w:shd w:fill="F6F8FA"/>
        </w:rPr>
        <w:t>POST /transfers/:transferId/cancel</w:t>
      </w:r>
    </w:p>
    <w:p>
      <w:pPr>
        <w:numPr>
          <w:ilvl w:val="0"/>
          <w:numId w:val="10"/>
        </w:numPr>
      </w:pPr>
      <w:r>
        <w:rPr>
          <w:rFonts w:ascii="Menlo" w:hAnsi="Menlo"/>
          <w:color w:val="1F4D78"/>
          <w:sz w:val="17"/>
          <w:shd w:fill="F6F8FA"/>
        </w:rPr>
        <w:t>POST /patients/:patientId/inbound-transfers/refresh</w:t>
      </w:r>
    </w:p>
    <w:p>
      <w:pPr>
        <w:numPr>
          <w:ilvl w:val="0"/>
          <w:numId w:val="10"/>
        </w:numPr>
      </w:pPr>
      <w:r>
        <w:rPr>
          <w:rFonts w:ascii="Menlo" w:hAnsi="Menlo"/>
          <w:color w:val="1F4D78"/>
          <w:sz w:val="17"/>
          <w:shd w:fill="F6F8FA"/>
        </w:rPr>
        <w:t>GET /inbound-transfers</w:t>
      </w:r>
      <w:r>
        <w:rPr>
          <w:rFonts w:ascii="Calibri" w:hAnsi="Calibri"/>
          <w:color w:val="222222"/>
          <w:sz w:val="21"/>
        </w:rPr>
        <w:t xml:space="preserve">; </w:t>
      </w:r>
      <w:r>
        <w:rPr>
          <w:rFonts w:ascii="Menlo" w:hAnsi="Menlo"/>
          <w:color w:val="1F4D78"/>
          <w:sz w:val="17"/>
          <w:shd w:fill="F6F8FA"/>
        </w:rPr>
        <w:t>PUT /inbound-transfers/:inboundTransferId</w:t>
      </w:r>
    </w:p>
    <w:p>
      <w:r>
        <w:rPr>
          <w:rFonts w:ascii="Calibri" w:hAnsi="Calibri"/>
          <w:color w:val="222222"/>
          <w:sz w:val="21"/>
        </w:rPr>
        <w:t xml:space="preserve">Global product and HIE clinical-concept governance is under the super-admin </w:t>
      </w:r>
      <w:r>
        <w:rPr>
          <w:rFonts w:ascii="Menlo" w:hAnsi="Menlo"/>
          <w:color w:val="1F4D78"/>
          <w:sz w:val="17"/>
          <w:shd w:fill="F6F8FA"/>
        </w:rPr>
        <w:t>/api/v1/admin</w:t>
      </w:r>
      <w:r>
        <w:rPr>
          <w:rFonts w:ascii="Calibri" w:hAnsi="Calibri"/>
          <w:color w:val="222222"/>
          <w:sz w:val="21"/>
        </w:rPr>
        <w:t xml:space="preserve"> route surface, not the tenant HIE router.</w:t>
      </w:r>
    </w:p>
    <w:p>
      <w:pPr>
        <w:pStyle w:val="Heading2"/>
      </w:pPr>
      <w:r>
        <w:t>8. Key files and components</w:t>
      </w:r>
    </w:p>
    <w:p>
      <w:pPr>
        <w:pStyle w:val="Heading3"/>
      </w:pPr>
      <w:r>
        <w:t>8.1 Backend core</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val="true"/>
        </w:trPr>
        <w:tc>
          <w:tcPr>
            <w:tcW w:type="dxa" w:w="2500"/>
            <w:tcMar>
              <w:top w:w="80" w:type="dxa"/>
              <w:start w:w="120" w:type="dxa"/>
              <w:bottom w:w="80" w:type="dxa"/>
              <w:end w:w="120" w:type="dxa"/>
            </w:tcMar>
            <w:vAlign w:val="center"/>
            <w:shd w:fill="E8EEF5"/>
          </w:tcPr>
          <w:p>
            <w:pPr>
              <w:spacing w:after="0"/>
            </w:pPr>
            <w:r>
              <w:rPr>
                <w:b/>
                <w:color w:val="0B2545"/>
              </w:rPr>
            </w:r>
            <w:r>
              <w:rPr>
                <w:rFonts w:ascii="Calibri" w:hAnsi="Calibri"/>
                <w:b/>
                <w:color w:val="0B2545"/>
                <w:sz w:val="17"/>
              </w:rPr>
              <w:t>File or area</w:t>
            </w:r>
          </w:p>
        </w:tc>
        <w:tc>
          <w:tcPr>
            <w:tcW w:type="dxa" w:w="6860"/>
            <w:tcMar>
              <w:top w:w="80" w:type="dxa"/>
              <w:start w:w="120" w:type="dxa"/>
              <w:bottom w:w="80" w:type="dxa"/>
              <w:end w:w="120" w:type="dxa"/>
            </w:tcMar>
            <w:vAlign w:val="center"/>
            <w:shd w:fill="E8EEF5"/>
          </w:tcPr>
          <w:p>
            <w:pPr>
              <w:spacing w:after="0"/>
            </w:pPr>
            <w:r>
              <w:rPr>
                <w:b/>
                <w:color w:val="0B2545"/>
              </w:rPr>
            </w:r>
            <w:r>
              <w:rPr>
                <w:rFonts w:ascii="Calibri" w:hAnsi="Calibri"/>
                <w:b/>
                <w:color w:val="0B2545"/>
                <w:sz w:val="17"/>
              </w:rPr>
              <w:t>Responsibility</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src/api/v1/hie/hie.routes.ts</w:t>
            </w:r>
          </w:p>
        </w:tc>
        <w:tc>
          <w:tcPr>
            <w:tcW w:type="dxa" w:w="6860"/>
            <w:tcMar>
              <w:top w:w="80" w:type="dxa"/>
              <w:start w:w="120" w:type="dxa"/>
              <w:bottom w:w="80" w:type="dxa"/>
              <w:end w:w="120" w:type="dxa"/>
            </w:tcMar>
            <w:vAlign w:val="center"/>
          </w:tcPr>
          <w:p>
            <w:pPr>
              <w:spacing w:after="0"/>
            </w:pPr>
            <w:r/>
            <w:r>
              <w:rPr>
                <w:rFonts w:ascii="Calibri" w:hAnsi="Calibri"/>
                <w:color w:val="222222"/>
                <w:sz w:val="16"/>
              </w:rPr>
              <w:t>Complete tenant HIE route, permission, and validation map</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src/api/v1/hie/hie.controller.ts</w:t>
            </w:r>
          </w:p>
        </w:tc>
        <w:tc>
          <w:tcPr>
            <w:tcW w:type="dxa" w:w="6860"/>
            <w:tcMar>
              <w:top w:w="80" w:type="dxa"/>
              <w:start w:w="120" w:type="dxa"/>
              <w:bottom w:w="80" w:type="dxa"/>
              <w:end w:w="120" w:type="dxa"/>
            </w:tcMar>
            <w:vAlign w:val="center"/>
          </w:tcPr>
          <w:p>
            <w:pPr>
              <w:spacing w:after="0"/>
            </w:pPr>
            <w:r/>
            <w:r>
              <w:rPr>
                <w:rFonts w:ascii="Calibri" w:hAnsi="Calibri"/>
                <w:color w:val="222222"/>
                <w:sz w:val="16"/>
              </w:rPr>
              <w:t>Configuration, identity, consent, national read/reconciliation, audit/outbox, and transfer workflows</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src/api/v1/hie/clinical.controller.ts</w:t>
            </w:r>
          </w:p>
        </w:tc>
        <w:tc>
          <w:tcPr>
            <w:tcW w:type="dxa" w:w="6860"/>
            <w:tcMar>
              <w:top w:w="80" w:type="dxa"/>
              <w:start w:w="120" w:type="dxa"/>
              <w:bottom w:w="80" w:type="dxa"/>
              <w:end w:w="120" w:type="dxa"/>
            </w:tcMar>
            <w:vAlign w:val="center"/>
          </w:tcPr>
          <w:p>
            <w:pPr>
              <w:spacing w:after="0"/>
            </w:pPr>
            <w:r/>
            <w:r>
              <w:rPr>
                <w:rFonts w:ascii="Calibri" w:hAnsi="Calibri"/>
                <w:color w:val="222222"/>
                <w:sz w:val="16"/>
              </w:rPr>
              <w:t>Structured consultation/allergy/immunization/imaging CRUD, finalization, correction, and enqueue</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src/api/v1/hie/governance.controller.ts</w:t>
            </w:r>
          </w:p>
        </w:tc>
        <w:tc>
          <w:tcPr>
            <w:tcW w:type="dxa" w:w="6860"/>
            <w:tcMar>
              <w:top w:w="80" w:type="dxa"/>
              <w:start w:w="120" w:type="dxa"/>
              <w:bottom w:w="80" w:type="dxa"/>
              <w:end w:w="120" w:type="dxa"/>
            </w:tcMar>
            <w:vAlign w:val="center"/>
          </w:tcPr>
          <w:p>
            <w:pPr>
              <w:spacing w:after="0"/>
            </w:pPr>
            <w:r/>
            <w:r>
              <w:rPr>
                <w:rFonts w:ascii="Calibri" w:hAnsi="Calibri"/>
                <w:color w:val="222222"/>
                <w:sz w:val="16"/>
              </w:rPr>
              <w:t>Coverage mapping, DOB remediation, and national audit</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src/api/v1/hie/*.validation.ts</w:t>
            </w:r>
          </w:p>
        </w:tc>
        <w:tc>
          <w:tcPr>
            <w:tcW w:type="dxa" w:w="6860"/>
            <w:tcMar>
              <w:top w:w="80" w:type="dxa"/>
              <w:start w:w="120" w:type="dxa"/>
              <w:bottom w:w="80" w:type="dxa"/>
              <w:end w:w="120" w:type="dxa"/>
            </w:tcMar>
            <w:vAlign w:val="center"/>
          </w:tcPr>
          <w:p>
            <w:pPr>
              <w:spacing w:after="0"/>
            </w:pPr>
            <w:r/>
            <w:r>
              <w:rPr>
                <w:rFonts w:ascii="Calibri" w:hAnsi="Calibri"/>
                <w:color w:val="222222"/>
                <w:sz w:val="17"/>
              </w:rPr>
              <w:t>Zod v4 request boundary contracts</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src/services/hie/rhie-client.ts</w:t>
            </w:r>
          </w:p>
        </w:tc>
        <w:tc>
          <w:tcPr>
            <w:tcW w:type="dxa" w:w="6860"/>
            <w:tcMar>
              <w:top w:w="80" w:type="dxa"/>
              <w:start w:w="120" w:type="dxa"/>
              <w:bottom w:w="80" w:type="dxa"/>
              <w:end w:w="120" w:type="dxa"/>
            </w:tcMar>
            <w:vAlign w:val="center"/>
          </w:tcPr>
          <w:p>
            <w:pPr>
              <w:spacing w:after="0"/>
            </w:pPr>
            <w:r/>
            <w:r>
              <w:rPr>
                <w:rFonts w:ascii="Calibri" w:hAnsi="Calibri"/>
                <w:color w:val="222222"/>
                <w:sz w:val="16"/>
              </w:rPr>
              <w:t>Environment/transport/auth/retry/size/circuit/logging boundary</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src/services/hie/rhie-endpoints.ts</w:t>
            </w:r>
          </w:p>
        </w:tc>
        <w:tc>
          <w:tcPr>
            <w:tcW w:type="dxa" w:w="6860"/>
            <w:tcMar>
              <w:top w:w="80" w:type="dxa"/>
              <w:start w:w="120" w:type="dxa"/>
              <w:bottom w:w="80" w:type="dxa"/>
              <w:end w:w="120" w:type="dxa"/>
            </w:tcMar>
            <w:vAlign w:val="center"/>
          </w:tcPr>
          <w:p>
            <w:pPr>
              <w:spacing w:after="0"/>
            </w:pPr>
            <w:r/>
            <w:r>
              <w:rPr>
                <w:rFonts w:ascii="Calibri" w:hAnsi="Calibri"/>
                <w:color w:val="222222"/>
                <w:sz w:val="16"/>
              </w:rPr>
              <w:t>Allowlisted pinned method/path/request/response registry</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src/services/hie/fhir.schemas.ts</w:t>
            </w:r>
          </w:p>
        </w:tc>
        <w:tc>
          <w:tcPr>
            <w:tcW w:type="dxa" w:w="6860"/>
            <w:tcMar>
              <w:top w:w="80" w:type="dxa"/>
              <w:start w:w="120" w:type="dxa"/>
              <w:bottom w:w="80" w:type="dxa"/>
              <w:end w:w="120" w:type="dxa"/>
            </w:tcMar>
            <w:vAlign w:val="center"/>
          </w:tcPr>
          <w:p>
            <w:pPr>
              <w:spacing w:after="0"/>
            </w:pPr>
            <w:r/>
            <w:r>
              <w:rPr>
                <w:rFonts w:ascii="Calibri" w:hAnsi="Calibri"/>
                <w:color w:val="222222"/>
                <w:sz w:val="17"/>
              </w:rPr>
              <w:t>Runtime FHIR resource/bundle validation</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src/services/hie/outbox.service.ts</w:t>
            </w:r>
          </w:p>
        </w:tc>
        <w:tc>
          <w:tcPr>
            <w:tcW w:type="dxa" w:w="6860"/>
            <w:tcMar>
              <w:top w:w="80" w:type="dxa"/>
              <w:start w:w="120" w:type="dxa"/>
              <w:bottom w:w="80" w:type="dxa"/>
              <w:end w:w="120" w:type="dxa"/>
            </w:tcMar>
            <w:vAlign w:val="center"/>
          </w:tcPr>
          <w:p>
            <w:pPr>
              <w:spacing w:after="0"/>
            </w:pPr>
            <w:r/>
            <w:r>
              <w:rPr>
                <w:rFonts w:ascii="Calibri" w:hAnsi="Calibri"/>
                <w:color w:val="222222"/>
                <w:sz w:val="16"/>
              </w:rPr>
              <w:t>Event discovery, encrypted snapshots, dependency resolution, FHIR publication, retry/recovery/idempotency</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src/services/hie/client-registry.service.ts</w:t>
            </w:r>
          </w:p>
        </w:tc>
        <w:tc>
          <w:tcPr>
            <w:tcW w:type="dxa" w:w="6860"/>
            <w:tcMar>
              <w:top w:w="80" w:type="dxa"/>
              <w:start w:w="120" w:type="dxa"/>
              <w:bottom w:w="80" w:type="dxa"/>
              <w:end w:w="120" w:type="dxa"/>
            </w:tcMar>
            <w:vAlign w:val="center"/>
          </w:tcPr>
          <w:p>
            <w:pPr>
              <w:spacing w:after="0"/>
            </w:pPr>
            <w:r/>
            <w:r>
              <w:rPr>
                <w:rFonts w:ascii="Calibri" w:hAnsi="Calibri"/>
                <w:color w:val="222222"/>
                <w:sz w:val="16"/>
              </w:rPr>
              <w:t>Exact NID+DOB Client Registry lookup and FHIR match normalization</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src/services/hie/pending-identity.service.ts</w:t>
            </w:r>
          </w:p>
        </w:tc>
        <w:tc>
          <w:tcPr>
            <w:tcW w:type="dxa" w:w="6860"/>
            <w:tcMar>
              <w:top w:w="80" w:type="dxa"/>
              <w:start w:w="120" w:type="dxa"/>
              <w:bottom w:w="80" w:type="dxa"/>
              <w:end w:w="120" w:type="dxa"/>
            </w:tcMar>
            <w:vAlign w:val="center"/>
          </w:tcPr>
          <w:p>
            <w:pPr>
              <w:spacing w:after="0"/>
            </w:pPr>
            <w:r/>
            <w:r>
              <w:rPr>
                <w:rFonts w:ascii="Calibri" w:hAnsi="Calibri"/>
                <w:color w:val="222222"/>
                <w:sz w:val="16"/>
              </w:rPr>
              <w:t>Deferred/offline identity retry and conflict creation</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src/services/hie/national-record.service.ts</w:t>
            </w:r>
          </w:p>
        </w:tc>
        <w:tc>
          <w:tcPr>
            <w:tcW w:type="dxa" w:w="6860"/>
            <w:tcMar>
              <w:top w:w="80" w:type="dxa"/>
              <w:start w:w="120" w:type="dxa"/>
              <w:bottom w:w="80" w:type="dxa"/>
              <w:end w:w="120" w:type="dxa"/>
            </w:tcMar>
            <w:vAlign w:val="center"/>
          </w:tcPr>
          <w:p>
            <w:pPr>
              <w:spacing w:after="0"/>
            </w:pPr>
            <w:r/>
            <w:r>
              <w:rPr>
                <w:rFonts w:ascii="Calibri" w:hAnsi="Calibri"/>
                <w:color w:val="222222"/>
                <w:sz w:val="16"/>
              </w:rPr>
              <w:t>Sectioned, partially resilient, bounded-concurrency national read</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src/services/hie/shared-record.service.ts</w:t>
            </w:r>
          </w:p>
        </w:tc>
        <w:tc>
          <w:tcPr>
            <w:tcW w:type="dxa" w:w="6860"/>
            <w:tcMar>
              <w:top w:w="80" w:type="dxa"/>
              <w:start w:w="120" w:type="dxa"/>
              <w:bottom w:w="80" w:type="dxa"/>
              <w:end w:w="120" w:type="dxa"/>
            </w:tcMar>
            <w:vAlign w:val="center"/>
          </w:tcPr>
          <w:p>
            <w:pPr>
              <w:spacing w:after="0"/>
            </w:pPr>
            <w:r/>
            <w:r>
              <w:rPr>
                <w:rFonts w:ascii="Calibri" w:hAnsi="Calibri"/>
                <w:color w:val="222222"/>
                <w:sz w:val="16"/>
              </w:rPr>
              <w:t>IPS fetch and browser-safe provenance summaries</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src/services/hie/hie-crypto.service.ts</w:t>
            </w:r>
          </w:p>
        </w:tc>
        <w:tc>
          <w:tcPr>
            <w:tcW w:type="dxa" w:w="6860"/>
            <w:tcMar>
              <w:top w:w="80" w:type="dxa"/>
              <w:start w:w="120" w:type="dxa"/>
              <w:bottom w:w="80" w:type="dxa"/>
              <w:end w:w="120" w:type="dxa"/>
            </w:tcMar>
            <w:vAlign w:val="center"/>
          </w:tcPr>
          <w:p>
            <w:pPr>
              <w:spacing w:after="0"/>
            </w:pPr>
            <w:r/>
            <w:r>
              <w:rPr>
                <w:rFonts w:ascii="Calibri" w:hAnsi="Calibri"/>
                <w:color w:val="222222"/>
                <w:sz w:val="17"/>
              </w:rPr>
              <w:t>AES-GCM encryption and HMAC identifiers</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src/services/hie/hie-resource-id.ts</w:t>
            </w:r>
          </w:p>
        </w:tc>
        <w:tc>
          <w:tcPr>
            <w:tcW w:type="dxa" w:w="6860"/>
            <w:tcMar>
              <w:top w:w="80" w:type="dxa"/>
              <w:start w:w="120" w:type="dxa"/>
              <w:bottom w:w="80" w:type="dxa"/>
              <w:end w:w="120" w:type="dxa"/>
            </w:tcMar>
            <w:vAlign w:val="center"/>
          </w:tcPr>
          <w:p>
            <w:pPr>
              <w:spacing w:after="0"/>
            </w:pPr>
            <w:r/>
            <w:r>
              <w:rPr>
                <w:rFonts w:ascii="Calibri" w:hAnsi="Calibri"/>
                <w:color w:val="222222"/>
                <w:sz w:val="16"/>
              </w:rPr>
              <w:t>Environment/tenant/resource-scoped UUIDv5 and idempotency keys</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src/services/hie/*mapper.ts</w:t>
            </w:r>
          </w:p>
        </w:tc>
        <w:tc>
          <w:tcPr>
            <w:tcW w:type="dxa" w:w="6860"/>
            <w:tcMar>
              <w:top w:w="80" w:type="dxa"/>
              <w:start w:w="120" w:type="dxa"/>
              <w:bottom w:w="80" w:type="dxa"/>
              <w:end w:w="120" w:type="dxa"/>
            </w:tcMar>
            <w:vAlign w:val="center"/>
          </w:tcPr>
          <w:p>
            <w:pPr>
              <w:spacing w:after="0"/>
            </w:pPr>
            <w:r/>
            <w:r>
              <w:rPr>
                <w:rFonts w:ascii="Calibri" w:hAnsi="Calibri"/>
                <w:color w:val="222222"/>
                <w:sz w:val="16"/>
              </w:rPr>
              <w:t>Deterministic FHIR mapping for encounters, conditions, vitals, consent, consultation, clinical resources, discharge, and deferred structured data</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src/services/hie/operations-metrics.service.ts</w:t>
            </w:r>
          </w:p>
        </w:tc>
        <w:tc>
          <w:tcPr>
            <w:tcW w:type="dxa" w:w="6860"/>
            <w:tcMar>
              <w:top w:w="80" w:type="dxa"/>
              <w:start w:w="120" w:type="dxa"/>
              <w:bottom w:w="80" w:type="dxa"/>
              <w:end w:w="120" w:type="dxa"/>
            </w:tcMar>
            <w:vAlign w:val="center"/>
          </w:tcPr>
          <w:p>
            <w:pPr>
              <w:spacing w:after="0"/>
            </w:pPr>
            <w:r/>
            <w:r>
              <w:rPr>
                <w:rFonts w:ascii="Calibri" w:hAnsi="Calibri"/>
                <w:color w:val="222222"/>
                <w:sz w:val="16"/>
              </w:rPr>
              <w:t>Tenant metrics, readiness, and alert construction/monitoring</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src/jobs/hie-outbox.cron.ts</w:t>
            </w:r>
          </w:p>
        </w:tc>
        <w:tc>
          <w:tcPr>
            <w:tcW w:type="dxa" w:w="6860"/>
            <w:tcMar>
              <w:top w:w="80" w:type="dxa"/>
              <w:start w:w="120" w:type="dxa"/>
              <w:bottom w:w="80" w:type="dxa"/>
              <w:end w:w="120" w:type="dxa"/>
            </w:tcMar>
            <w:vAlign w:val="center"/>
          </w:tcPr>
          <w:p>
            <w:pPr>
              <w:spacing w:after="0"/>
            </w:pPr>
            <w:r/>
            <w:r>
              <w:rPr>
                <w:rFonts w:ascii="Calibri" w:hAnsi="Calibri"/>
                <w:color w:val="222222"/>
                <w:sz w:val="16"/>
              </w:rPr>
              <w:t>Minute processing/recovery and five-minute monitoring</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prisma/schema/hie.prisma</w:t>
            </w:r>
          </w:p>
        </w:tc>
        <w:tc>
          <w:tcPr>
            <w:tcW w:type="dxa" w:w="6860"/>
            <w:tcMar>
              <w:top w:w="80" w:type="dxa"/>
              <w:start w:w="120" w:type="dxa"/>
              <w:bottom w:w="80" w:type="dxa"/>
              <w:end w:w="120" w:type="dxa"/>
            </w:tcMar>
            <w:vAlign w:val="center"/>
          </w:tcPr>
          <w:p>
            <w:pPr>
              <w:spacing w:after="0"/>
            </w:pPr>
            <w:r/>
            <w:r>
              <w:rPr>
                <w:rFonts w:ascii="Calibri" w:hAnsi="Calibri"/>
                <w:color w:val="222222"/>
                <w:sz w:val="17"/>
              </w:rPr>
              <w:t>HIE data model and lifecycle enums</w:t>
            </w:r>
          </w:p>
        </w:tc>
      </w:tr>
    </w:tbl>
    <w:p>
      <w:pPr>
        <w:spacing w:after="40"/>
      </w:pPr>
    </w:p>
    <w:p>
      <w:pPr>
        <w:pStyle w:val="Heading3"/>
      </w:pPr>
      <w:r>
        <w:t>8.2 Backend integration points modified outside HIE</w:t>
      </w:r>
    </w:p>
    <w:p>
      <w:pPr>
        <w:numPr>
          <w:ilvl w:val="0"/>
          <w:numId w:val="10"/>
        </w:numPr>
      </w:pPr>
      <w:r>
        <w:rPr>
          <w:rFonts w:ascii="Menlo" w:hAnsi="Menlo"/>
          <w:color w:val="1F4D78"/>
          <w:sz w:val="17"/>
          <w:shd w:fill="F6F8FA"/>
        </w:rPr>
        <w:t>src/api/v1/index.ts</w:t>
      </w:r>
      <w:r>
        <w:rPr>
          <w:rFonts w:ascii="Calibri" w:hAnsi="Calibri"/>
          <w:color w:val="222222"/>
          <w:sz w:val="21"/>
        </w:rPr>
        <w:t xml:space="preserve">: mounts </w:t>
      </w:r>
      <w:r>
        <w:rPr>
          <w:rFonts w:ascii="Menlo" w:hAnsi="Menlo"/>
          <w:color w:val="1F4D78"/>
          <w:sz w:val="17"/>
          <w:shd w:fill="F6F8FA"/>
        </w:rPr>
        <w:t>/hie</w:t>
      </w:r>
      <w:r>
        <w:rPr>
          <w:rFonts w:ascii="Calibri" w:hAnsi="Calibri"/>
          <w:color w:val="222222"/>
          <w:sz w:val="21"/>
        </w:rPr>
        <w:t xml:space="preserve"> after authentication/tenant/entitlement middleware.</w:t>
      </w:r>
    </w:p>
    <w:p>
      <w:pPr>
        <w:numPr>
          <w:ilvl w:val="0"/>
          <w:numId w:val="10"/>
        </w:numPr>
      </w:pPr>
      <w:r>
        <w:rPr>
          <w:rFonts w:ascii="Menlo" w:hAnsi="Menlo"/>
          <w:color w:val="1F4D78"/>
          <w:sz w:val="17"/>
          <w:shd w:fill="F6F8FA"/>
        </w:rPr>
        <w:t>src/api/v1/visits/controllers/core.controller.ts</w:t>
      </w:r>
      <w:r>
        <w:rPr>
          <w:rFonts w:ascii="Calibri" w:hAnsi="Calibri"/>
          <w:color w:val="222222"/>
          <w:sz w:val="21"/>
        </w:rPr>
        <w:t>: visit finalization enqueue.</w:t>
      </w:r>
    </w:p>
    <w:p>
      <w:pPr>
        <w:numPr>
          <w:ilvl w:val="0"/>
          <w:numId w:val="10"/>
        </w:numPr>
      </w:pPr>
      <w:r>
        <w:rPr>
          <w:rFonts w:ascii="Menlo" w:hAnsi="Menlo"/>
          <w:color w:val="1F4D78"/>
          <w:sz w:val="17"/>
          <w:shd w:fill="F6F8FA"/>
        </w:rPr>
        <w:t>src/api/v1/exams/exams.controller.ts</w:t>
      </w:r>
      <w:r>
        <w:rPr>
          <w:rFonts w:ascii="Calibri" w:hAnsi="Calibri"/>
          <w:color w:val="222222"/>
          <w:sz w:val="21"/>
        </w:rPr>
        <w:t>: completed lab event enqueue.</w:t>
      </w:r>
    </w:p>
    <w:p>
      <w:pPr>
        <w:numPr>
          <w:ilvl w:val="0"/>
          <w:numId w:val="10"/>
        </w:numPr>
      </w:pPr>
      <w:r>
        <w:rPr>
          <w:rFonts w:ascii="Menlo" w:hAnsi="Menlo"/>
          <w:color w:val="1F4D78"/>
          <w:sz w:val="17"/>
          <w:shd w:fill="F6F8FA"/>
        </w:rPr>
        <w:t>src/api/v1/visits/controllers/prescription.controller.ts</w:t>
      </w:r>
      <w:r>
        <w:rPr>
          <w:rFonts w:ascii="Calibri" w:hAnsi="Calibri"/>
          <w:color w:val="222222"/>
          <w:sz w:val="21"/>
        </w:rPr>
        <w:t>: prescription event enqueue.</w:t>
      </w:r>
    </w:p>
    <w:p>
      <w:pPr>
        <w:numPr>
          <w:ilvl w:val="0"/>
          <w:numId w:val="10"/>
        </w:numPr>
      </w:pPr>
      <w:r>
        <w:rPr>
          <w:rFonts w:ascii="Menlo" w:hAnsi="Menlo"/>
          <w:color w:val="1F4D78"/>
          <w:sz w:val="17"/>
          <w:shd w:fill="F6F8FA"/>
        </w:rPr>
        <w:t>src/services/pharmacy-dispense-run-tx.ts</w:t>
      </w:r>
      <w:r>
        <w:rPr>
          <w:rFonts w:ascii="Calibri" w:hAnsi="Calibri"/>
          <w:color w:val="222222"/>
          <w:sz w:val="21"/>
        </w:rPr>
        <w:t>: dispense event enqueue.</w:t>
      </w:r>
    </w:p>
    <w:p>
      <w:pPr>
        <w:numPr>
          <w:ilvl w:val="0"/>
          <w:numId w:val="10"/>
        </w:numPr>
      </w:pPr>
      <w:r>
        <w:rPr>
          <w:rFonts w:ascii="Menlo" w:hAnsi="Menlo"/>
          <w:color w:val="1F4D78"/>
          <w:sz w:val="17"/>
          <w:shd w:fill="F6F8FA"/>
        </w:rPr>
        <w:t>src/api/v1/hospitalization/hospitalization.controller.ts</w:t>
      </w:r>
      <w:r>
        <w:rPr>
          <w:rFonts w:ascii="Calibri" w:hAnsi="Calibri"/>
          <w:color w:val="222222"/>
          <w:sz w:val="21"/>
        </w:rPr>
        <w:t>: ward/discharge event enqueue.</w:t>
      </w:r>
    </w:p>
    <w:p>
      <w:pPr>
        <w:numPr>
          <w:ilvl w:val="0"/>
          <w:numId w:val="10"/>
        </w:numPr>
      </w:pPr>
      <w:r>
        <w:rPr>
          <w:rFonts w:ascii="Menlo" w:hAnsi="Menlo"/>
          <w:color w:val="1F4D78"/>
          <w:sz w:val="17"/>
          <w:shd w:fill="F6F8FA"/>
        </w:rPr>
        <w:t>src/api/v1/inventory/inventory.controller.ts</w:t>
      </w:r>
      <w:r>
        <w:rPr>
          <w:rFonts w:ascii="Calibri" w:hAnsi="Calibri"/>
          <w:color w:val="222222"/>
          <w:sz w:val="21"/>
        </w:rPr>
        <w:t xml:space="preserve"> and admin terminology controllers: verified-code governance.</w:t>
      </w:r>
    </w:p>
    <w:p>
      <w:pPr>
        <w:numPr>
          <w:ilvl w:val="0"/>
          <w:numId w:val="10"/>
        </w:numPr>
      </w:pPr>
      <w:r>
        <w:rPr>
          <w:rFonts w:ascii="Menlo" w:hAnsi="Menlo"/>
          <w:color w:val="1F4D78"/>
          <w:sz w:val="17"/>
          <w:shd w:fill="F6F8FA"/>
        </w:rPr>
        <w:t>src/lib/permissions.ts</w:t>
      </w:r>
      <w:r>
        <w:rPr>
          <w:rFonts w:ascii="Calibri" w:hAnsi="Calibri"/>
          <w:color w:val="222222"/>
          <w:sz w:val="21"/>
        </w:rPr>
        <w:t xml:space="preserve">, </w:t>
      </w:r>
      <w:r>
        <w:rPr>
          <w:rFonts w:ascii="Menlo" w:hAnsi="Menlo"/>
          <w:color w:val="1F4D78"/>
          <w:sz w:val="17"/>
          <w:shd w:fill="F6F8FA"/>
        </w:rPr>
        <w:t>src/types/access.ts</w:t>
      </w:r>
      <w:r>
        <w:rPr>
          <w:rFonts w:ascii="Calibri" w:hAnsi="Calibri"/>
          <w:color w:val="222222"/>
          <w:sz w:val="21"/>
        </w:rPr>
        <w:t xml:space="preserve">, and </w:t>
      </w:r>
      <w:r>
        <w:rPr>
          <w:rFonts w:ascii="Menlo" w:hAnsi="Menlo"/>
          <w:color w:val="1F4D78"/>
          <w:sz w:val="17"/>
          <w:shd w:fill="F6F8FA"/>
        </w:rPr>
        <w:t>src/lib/entitlements-matrix.ts</w:t>
      </w:r>
      <w:r>
        <w:rPr>
          <w:rFonts w:ascii="Calibri" w:hAnsi="Calibri"/>
          <w:color w:val="222222"/>
          <w:sz w:val="21"/>
        </w:rPr>
        <w:t>: HIE resource/actions and default-off entitlement.</w:t>
      </w:r>
    </w:p>
    <w:p>
      <w:pPr>
        <w:numPr>
          <w:ilvl w:val="0"/>
          <w:numId w:val="10"/>
        </w:numPr>
      </w:pPr>
      <w:r>
        <w:rPr>
          <w:rFonts w:ascii="Menlo" w:hAnsi="Menlo"/>
          <w:color w:val="1F4D78"/>
          <w:sz w:val="17"/>
          <w:shd w:fill="F6F8FA"/>
        </w:rPr>
        <w:t>.env.example</w:t>
      </w:r>
      <w:r>
        <w:rPr>
          <w:rFonts w:ascii="Calibri" w:hAnsi="Calibri"/>
          <w:color w:val="222222"/>
          <w:sz w:val="21"/>
        </w:rPr>
        <w:t>: backend HIE runtime configuration.</w:t>
      </w:r>
    </w:p>
    <w:p>
      <w:pPr>
        <w:pStyle w:val="Heading3"/>
      </w:pPr>
      <w:r>
        <w:t>8.3 Frontend</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val="true"/>
        </w:trPr>
        <w:tc>
          <w:tcPr>
            <w:tcW w:type="dxa" w:w="2500"/>
            <w:tcMar>
              <w:top w:w="80" w:type="dxa"/>
              <w:start w:w="120" w:type="dxa"/>
              <w:bottom w:w="80" w:type="dxa"/>
              <w:end w:w="120" w:type="dxa"/>
            </w:tcMar>
            <w:vAlign w:val="center"/>
            <w:shd w:fill="E8EEF5"/>
          </w:tcPr>
          <w:p>
            <w:pPr>
              <w:spacing w:after="0"/>
            </w:pPr>
            <w:r>
              <w:rPr>
                <w:b/>
                <w:color w:val="0B2545"/>
              </w:rPr>
            </w:r>
            <w:r>
              <w:rPr>
                <w:rFonts w:ascii="Calibri" w:hAnsi="Calibri"/>
                <w:b/>
                <w:color w:val="0B2545"/>
                <w:sz w:val="17"/>
              </w:rPr>
              <w:t>File or area</w:t>
            </w:r>
          </w:p>
        </w:tc>
        <w:tc>
          <w:tcPr>
            <w:tcW w:type="dxa" w:w="6860"/>
            <w:tcMar>
              <w:top w:w="80" w:type="dxa"/>
              <w:start w:w="120" w:type="dxa"/>
              <w:bottom w:w="80" w:type="dxa"/>
              <w:end w:w="120" w:type="dxa"/>
            </w:tcMar>
            <w:vAlign w:val="center"/>
            <w:shd w:fill="E8EEF5"/>
          </w:tcPr>
          <w:p>
            <w:pPr>
              <w:spacing w:after="0"/>
            </w:pPr>
            <w:r>
              <w:rPr>
                <w:b/>
                <w:color w:val="0B2545"/>
              </w:rPr>
            </w:r>
            <w:r>
              <w:rPr>
                <w:rFonts w:ascii="Calibri" w:hAnsi="Calibri"/>
                <w:b/>
                <w:color w:val="0B2545"/>
                <w:sz w:val="17"/>
              </w:rPr>
              <w:t>Responsibility</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src/features/hie/actions/hie.ts</w:t>
            </w:r>
          </w:p>
        </w:tc>
        <w:tc>
          <w:tcPr>
            <w:tcW w:type="dxa" w:w="6860"/>
            <w:tcMar>
              <w:top w:w="80" w:type="dxa"/>
              <w:start w:w="120" w:type="dxa"/>
              <w:bottom w:w="80" w:type="dxa"/>
              <w:end w:w="120" w:type="dxa"/>
            </w:tcMar>
            <w:vAlign w:val="center"/>
          </w:tcPr>
          <w:p>
            <w:pPr>
              <w:spacing w:after="0"/>
            </w:pPr>
            <w:r/>
            <w:r>
              <w:rPr>
                <w:rFonts w:ascii="Calibri" w:hAnsi="Calibri"/>
                <w:color w:val="222222"/>
                <w:sz w:val="16"/>
              </w:rPr>
              <w:t>Authenticated server-side backend API adapter; keeps credentials/cookies server-side</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src/features/hie/server/hie-queries.ts</w:t>
            </w:r>
          </w:p>
        </w:tc>
        <w:tc>
          <w:tcPr>
            <w:tcW w:type="dxa" w:w="6860"/>
            <w:tcMar>
              <w:top w:w="80" w:type="dxa"/>
              <w:start w:w="120" w:type="dxa"/>
              <w:bottom w:w="80" w:type="dxa"/>
              <w:end w:w="120" w:type="dxa"/>
            </w:tcMar>
            <w:vAlign w:val="center"/>
          </w:tcPr>
          <w:p>
            <w:pPr>
              <w:spacing w:after="0"/>
            </w:pPr>
            <w:r/>
            <w:r>
              <w:rPr>
                <w:rFonts w:ascii="Calibri" w:hAnsi="Calibri"/>
                <w:color w:val="222222"/>
                <w:sz w:val="16"/>
              </w:rPr>
              <w:t>TanStack Start server functions with Zod validators</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src/features/hie/hooks/*</w:t>
            </w:r>
          </w:p>
        </w:tc>
        <w:tc>
          <w:tcPr>
            <w:tcW w:type="dxa" w:w="6860"/>
            <w:tcMar>
              <w:top w:w="80" w:type="dxa"/>
              <w:start w:w="120" w:type="dxa"/>
              <w:bottom w:w="80" w:type="dxa"/>
              <w:end w:w="120" w:type="dxa"/>
            </w:tcMar>
            <w:vAlign w:val="center"/>
          </w:tcPr>
          <w:p>
            <w:pPr>
              <w:spacing w:after="0"/>
            </w:pPr>
            <w:r/>
            <w:r>
              <w:rPr>
                <w:rFonts w:ascii="Calibri" w:hAnsi="Calibri"/>
                <w:color w:val="222222"/>
                <w:sz w:val="16"/>
              </w:rPr>
              <w:t>Query/mutation/cache orchestration for each HIE workflow</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src/features/hie/lib/hie.schemas.ts</w:t>
            </w:r>
            <w:r>
              <w:rPr>
                <w:rFonts w:ascii="Calibri" w:hAnsi="Calibri"/>
                <w:color w:val="222222"/>
                <w:sz w:val="16"/>
              </w:rPr>
              <w:t xml:space="preserve"> / </w:t>
            </w:r>
            <w:r>
              <w:rPr>
                <w:rFonts w:ascii="Menlo" w:hAnsi="Menlo"/>
                <w:color w:val="1F4D78"/>
                <w:sz w:val="17"/>
                <w:shd w:fill="F6F8FA"/>
              </w:rPr>
              <w:t>hie.types.ts</w:t>
            </w:r>
          </w:p>
        </w:tc>
        <w:tc>
          <w:tcPr>
            <w:tcW w:type="dxa" w:w="6860"/>
            <w:tcMar>
              <w:top w:w="80" w:type="dxa"/>
              <w:start w:w="120" w:type="dxa"/>
              <w:bottom w:w="80" w:type="dxa"/>
              <w:end w:w="120" w:type="dxa"/>
            </w:tcMar>
            <w:vAlign w:val="center"/>
          </w:tcPr>
          <w:p>
            <w:pPr>
              <w:spacing w:after="0"/>
            </w:pPr>
            <w:r/>
            <w:r>
              <w:rPr>
                <w:rFonts w:ascii="Calibri" w:hAnsi="Calibri"/>
                <w:color w:val="222222"/>
                <w:sz w:val="16"/>
              </w:rPr>
              <w:t>Client/server-function validation and UI types</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src/features/hie/components/national-identity-lookup.tsx</w:t>
            </w:r>
          </w:p>
        </w:tc>
        <w:tc>
          <w:tcPr>
            <w:tcW w:type="dxa" w:w="6860"/>
            <w:tcMar>
              <w:top w:w="80" w:type="dxa"/>
              <w:start w:w="120" w:type="dxa"/>
              <w:bottom w:w="80" w:type="dxa"/>
              <w:end w:w="120" w:type="dxa"/>
            </w:tcMar>
            <w:vAlign w:val="center"/>
          </w:tcPr>
          <w:p>
            <w:pPr>
              <w:spacing w:after="0"/>
            </w:pPr>
            <w:r/>
            <w:r>
              <w:rPr>
                <w:rFonts w:ascii="Calibri" w:hAnsi="Calibri"/>
                <w:color w:val="222222"/>
                <w:sz w:val="16"/>
              </w:rPr>
              <w:t>Lookup, no-match/defer, local candidate, and demographic review flow</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src/features/hie/components/national-record-panel.tsx</w:t>
            </w:r>
          </w:p>
        </w:tc>
        <w:tc>
          <w:tcPr>
            <w:tcW w:type="dxa" w:w="6860"/>
            <w:tcMar>
              <w:top w:w="80" w:type="dxa"/>
              <w:start w:w="120" w:type="dxa"/>
              <w:bottom w:w="80" w:type="dxa"/>
              <w:end w:w="120" w:type="dxa"/>
            </w:tcMar>
            <w:vAlign w:val="center"/>
          </w:tcPr>
          <w:p>
            <w:pPr>
              <w:spacing w:after="0"/>
            </w:pPr>
            <w:r/>
            <w:r>
              <w:rPr>
                <w:rFonts w:ascii="Calibri" w:hAnsi="Calibri"/>
                <w:color w:val="222222"/>
                <w:sz w:val="16"/>
              </w:rPr>
              <w:t>Read-only sectioned national history and reconciliation</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src/features/hie/components/hie-consent-panel.tsx</w:t>
            </w:r>
          </w:p>
        </w:tc>
        <w:tc>
          <w:tcPr>
            <w:tcW w:type="dxa" w:w="6860"/>
            <w:tcMar>
              <w:top w:w="80" w:type="dxa"/>
              <w:start w:w="120" w:type="dxa"/>
              <w:bottom w:w="80" w:type="dxa"/>
              <w:end w:w="120" w:type="dxa"/>
            </w:tcMar>
            <w:vAlign w:val="center"/>
          </w:tcPr>
          <w:p>
            <w:pPr>
              <w:spacing w:after="0"/>
            </w:pPr>
            <w:r/>
            <w:r>
              <w:rPr>
                <w:rFonts w:ascii="Calibri" w:hAnsi="Calibri"/>
                <w:color w:val="222222"/>
                <w:sz w:val="17"/>
              </w:rPr>
              <w:t>Consent grant/withdraw/reconcile UI</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src/features/hie/components/structured-clinical-panels.tsx</w:t>
            </w:r>
          </w:p>
        </w:tc>
        <w:tc>
          <w:tcPr>
            <w:tcW w:type="dxa" w:w="6860"/>
            <w:tcMar>
              <w:top w:w="80" w:type="dxa"/>
              <w:start w:w="120" w:type="dxa"/>
              <w:bottom w:w="80" w:type="dxa"/>
              <w:end w:w="120" w:type="dxa"/>
            </w:tcMar>
            <w:vAlign w:val="center"/>
          </w:tcPr>
          <w:p>
            <w:pPr>
              <w:spacing w:after="0"/>
            </w:pPr>
            <w:r/>
            <w:r>
              <w:rPr>
                <w:rFonts w:ascii="Calibri" w:hAnsi="Calibri"/>
                <w:color w:val="222222"/>
                <w:sz w:val="16"/>
              </w:rPr>
              <w:t>Structured observations, allergy, immunization, and imaging UI</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src/features/hie/components/patient-transfer-panel.tsx</w:t>
            </w:r>
          </w:p>
        </w:tc>
        <w:tc>
          <w:tcPr>
            <w:tcW w:type="dxa" w:w="6860"/>
            <w:tcMar>
              <w:top w:w="80" w:type="dxa"/>
              <w:start w:w="120" w:type="dxa"/>
              <w:bottom w:w="80" w:type="dxa"/>
              <w:end w:w="120" w:type="dxa"/>
            </w:tcMar>
            <w:vAlign w:val="center"/>
          </w:tcPr>
          <w:p>
            <w:pPr>
              <w:spacing w:after="0"/>
            </w:pPr>
            <w:r/>
            <w:r>
              <w:rPr>
                <w:rFonts w:ascii="Calibri" w:hAnsi="Calibri"/>
                <w:color w:val="222222"/>
                <w:sz w:val="17"/>
              </w:rPr>
              <w:t>Outbound/inbound transfer UI</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src/features/hie/components/hie-administration-panel.tsx</w:t>
            </w:r>
          </w:p>
        </w:tc>
        <w:tc>
          <w:tcPr>
            <w:tcW w:type="dxa" w:w="6860"/>
            <w:tcMar>
              <w:top w:w="80" w:type="dxa"/>
              <w:start w:w="120" w:type="dxa"/>
              <w:bottom w:w="80" w:type="dxa"/>
              <w:end w:w="120" w:type="dxa"/>
            </w:tcMar>
            <w:vAlign w:val="center"/>
          </w:tcPr>
          <w:p>
            <w:pPr>
              <w:spacing w:after="0"/>
            </w:pPr>
            <w:r/>
            <w:r>
              <w:rPr>
                <w:rFonts w:ascii="Calibri" w:hAnsi="Calibri"/>
                <w:color w:val="222222"/>
                <w:sz w:val="17"/>
              </w:rPr>
              <w:t>Tenant capabilities and mappings</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src/features/hie/components/hie-operations-panel.tsx</w:t>
            </w:r>
            <w:r>
              <w:rPr>
                <w:rFonts w:ascii="Calibri" w:hAnsi="Calibri"/>
                <w:color w:val="222222"/>
                <w:sz w:val="16"/>
              </w:rPr>
              <w:t xml:space="preserve"> and summary</w:t>
            </w:r>
          </w:p>
        </w:tc>
        <w:tc>
          <w:tcPr>
            <w:tcW w:type="dxa" w:w="6860"/>
            <w:tcMar>
              <w:top w:w="80" w:type="dxa"/>
              <w:start w:w="120" w:type="dxa"/>
              <w:bottom w:w="80" w:type="dxa"/>
              <w:end w:w="120" w:type="dxa"/>
            </w:tcMar>
            <w:vAlign w:val="center"/>
          </w:tcPr>
          <w:p>
            <w:pPr>
              <w:spacing w:after="0"/>
            </w:pPr>
            <w:r/>
            <w:r>
              <w:rPr>
                <w:rFonts w:ascii="Calibri" w:hAnsi="Calibri"/>
                <w:color w:val="222222"/>
                <w:sz w:val="16"/>
              </w:rPr>
              <w:t>Outbox filters/retry, metrics, readiness, alerts</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src/features/hie/components/hie-governance-panel.tsx</w:t>
            </w:r>
            <w:r>
              <w:rPr>
                <w:rFonts w:ascii="Calibri" w:hAnsi="Calibri"/>
                <w:color w:val="222222"/>
                <w:sz w:val="16"/>
              </w:rPr>
              <w:t xml:space="preserve"> and compliance panel</w:t>
            </w:r>
          </w:p>
        </w:tc>
        <w:tc>
          <w:tcPr>
            <w:tcW w:type="dxa" w:w="6860"/>
            <w:tcMar>
              <w:top w:w="80" w:type="dxa"/>
              <w:start w:w="120" w:type="dxa"/>
              <w:bottom w:w="80" w:type="dxa"/>
              <w:end w:w="120" w:type="dxa"/>
            </w:tcMar>
            <w:vAlign w:val="center"/>
          </w:tcPr>
          <w:p>
            <w:pPr>
              <w:spacing w:after="0"/>
            </w:pPr>
            <w:r/>
            <w:r>
              <w:rPr>
                <w:rFonts w:ascii="Calibri" w:hAnsi="Calibri"/>
                <w:color w:val="222222"/>
                <w:sz w:val="16"/>
              </w:rPr>
              <w:t>Identity cases/audit and compliance remediation</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src/features/flow/components/forms/reception-check-in-form.tsx</w:t>
            </w:r>
          </w:p>
        </w:tc>
        <w:tc>
          <w:tcPr>
            <w:tcW w:type="dxa" w:w="6860"/>
            <w:tcMar>
              <w:top w:w="80" w:type="dxa"/>
              <w:start w:w="120" w:type="dxa"/>
              <w:bottom w:w="80" w:type="dxa"/>
              <w:end w:w="120" w:type="dxa"/>
            </w:tcMar>
            <w:vAlign w:val="center"/>
          </w:tcPr>
          <w:p>
            <w:pPr>
              <w:spacing w:after="0"/>
            </w:pPr>
            <w:r/>
            <w:r>
              <w:rPr>
                <w:rFonts w:ascii="Calibri" w:hAnsi="Calibri"/>
                <w:color w:val="222222"/>
                <w:sz w:val="16"/>
              </w:rPr>
              <w:t>Inserts HIE identity into the real reception/check-in flow</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src/features/patients/components/patient-chart.tsx</w:t>
            </w:r>
          </w:p>
        </w:tc>
        <w:tc>
          <w:tcPr>
            <w:tcW w:type="dxa" w:w="6860"/>
            <w:tcMar>
              <w:top w:w="80" w:type="dxa"/>
              <w:start w:w="120" w:type="dxa"/>
              <w:bottom w:w="80" w:type="dxa"/>
              <w:end w:w="120" w:type="dxa"/>
            </w:tcMar>
            <w:vAlign w:val="center"/>
          </w:tcPr>
          <w:p>
            <w:pPr>
              <w:spacing w:after="0"/>
            </w:pPr>
            <w:r/>
            <w:r>
              <w:rPr>
                <w:rFonts w:ascii="Calibri" w:hAnsi="Calibri"/>
                <w:color w:val="222222"/>
                <w:sz w:val="17"/>
              </w:rPr>
              <w:t>Capability-driven HIE tabs and panels</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src/features/flow/components/screens/consultation-screen.tsx</w:t>
            </w:r>
          </w:p>
        </w:tc>
        <w:tc>
          <w:tcPr>
            <w:tcW w:type="dxa" w:w="6860"/>
            <w:tcMar>
              <w:top w:w="80" w:type="dxa"/>
              <w:start w:w="120" w:type="dxa"/>
              <w:bottom w:w="80" w:type="dxa"/>
              <w:end w:w="120" w:type="dxa"/>
            </w:tcMar>
            <w:vAlign w:val="center"/>
          </w:tcPr>
          <w:p>
            <w:pPr>
              <w:spacing w:after="0"/>
            </w:pPr>
            <w:r/>
            <w:r>
              <w:rPr>
                <w:rFonts w:ascii="Calibri" w:hAnsi="Calibri"/>
                <w:color w:val="222222"/>
                <w:sz w:val="17"/>
              </w:rPr>
              <w:t>Structured medication route/method capture</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src/routes/$locale.dashboard.setup.tsx</w:t>
            </w:r>
            <w:r>
              <w:rPr>
                <w:rFonts w:ascii="Calibri" w:hAnsi="Calibri"/>
                <w:color w:val="222222"/>
                <w:sz w:val="16"/>
              </w:rPr>
              <w:t xml:space="preserve"> and </w:t>
            </w:r>
            <w:r>
              <w:rPr>
                <w:rFonts w:ascii="Menlo" w:hAnsi="Menlo"/>
                <w:color w:val="1F4D78"/>
                <w:sz w:val="17"/>
                <w:shd w:fill="F6F8FA"/>
              </w:rPr>
              <w:t>src/lib/menuItems.ts</w:t>
            </w:r>
          </w:p>
        </w:tc>
        <w:tc>
          <w:tcPr>
            <w:tcW w:type="dxa" w:w="6860"/>
            <w:tcMar>
              <w:top w:w="80" w:type="dxa"/>
              <w:start w:w="120" w:type="dxa"/>
              <w:bottom w:w="80" w:type="dxa"/>
              <w:end w:w="120" w:type="dxa"/>
            </w:tcMar>
            <w:vAlign w:val="center"/>
          </w:tcPr>
          <w:p>
            <w:pPr>
              <w:spacing w:after="0"/>
            </w:pPr>
            <w:r/>
            <w:r>
              <w:rPr>
                <w:rFonts w:ascii="Calibri" w:hAnsi="Calibri"/>
                <w:color w:val="222222"/>
                <w:sz w:val="17"/>
              </w:rPr>
              <w:t>Setup tab/navigation placement</w:t>
            </w:r>
          </w:p>
        </w:tc>
      </w:tr>
      <w:tr>
        <w:trPr>
          <w:cantSplit w:val="true"/>
        </w:trPr>
        <w:tc>
          <w:tcPr>
            <w:tcW w:type="dxa" w:w="2500"/>
            <w:tcMar>
              <w:top w:w="80" w:type="dxa"/>
              <w:start w:w="120" w:type="dxa"/>
              <w:bottom w:w="80" w:type="dxa"/>
              <w:end w:w="120" w:type="dxa"/>
            </w:tcMar>
            <w:vAlign w:val="center"/>
          </w:tcPr>
          <w:p>
            <w:pPr>
              <w:spacing w:after="0"/>
            </w:pPr>
            <w:r/>
            <w:r>
              <w:rPr>
                <w:rFonts w:ascii="Menlo" w:hAnsi="Menlo"/>
                <w:color w:val="1F4D78"/>
                <w:sz w:val="17"/>
                <w:shd w:fill="F6F8FA"/>
              </w:rPr>
              <w:t>src/lib/apiEndpoints.ts</w:t>
            </w:r>
            <w:r>
              <w:rPr>
                <w:rFonts w:ascii="Calibri" w:hAnsi="Calibri"/>
                <w:color w:val="222222"/>
                <w:sz w:val="16"/>
              </w:rPr>
              <w:t xml:space="preserve">, </w:t>
            </w:r>
            <w:r>
              <w:rPr>
                <w:rFonts w:ascii="Menlo" w:hAnsi="Menlo"/>
                <w:color w:val="1F4D78"/>
                <w:sz w:val="17"/>
                <w:shd w:fill="F6F8FA"/>
              </w:rPr>
              <w:t>src/lib/permissions.ts</w:t>
            </w:r>
            <w:r>
              <w:rPr>
                <w:rFonts w:ascii="Calibri" w:hAnsi="Calibri"/>
                <w:color w:val="222222"/>
                <w:sz w:val="16"/>
              </w:rPr>
              <w:t xml:space="preserve">, </w:t>
            </w:r>
            <w:r>
              <w:rPr>
                <w:rFonts w:ascii="Menlo" w:hAnsi="Menlo"/>
                <w:color w:val="1F4D78"/>
                <w:sz w:val="17"/>
                <w:shd w:fill="F6F8FA"/>
              </w:rPr>
              <w:t>src/i18n/messages.ts</w:t>
            </w:r>
          </w:p>
        </w:tc>
        <w:tc>
          <w:tcPr>
            <w:tcW w:type="dxa" w:w="6860"/>
            <w:tcMar>
              <w:top w:w="80" w:type="dxa"/>
              <w:start w:w="120" w:type="dxa"/>
              <w:bottom w:w="80" w:type="dxa"/>
              <w:end w:w="120" w:type="dxa"/>
            </w:tcMar>
            <w:vAlign w:val="center"/>
          </w:tcPr>
          <w:p>
            <w:pPr>
              <w:spacing w:after="0"/>
            </w:pPr>
            <w:r/>
            <w:r>
              <w:rPr>
                <w:rFonts w:ascii="Calibri" w:hAnsi="Calibri"/>
                <w:color w:val="222222"/>
                <w:sz w:val="16"/>
              </w:rPr>
              <w:t>Endpoint catalog, UI gating, and English/French text</w:t>
            </w:r>
          </w:p>
        </w:tc>
      </w:tr>
    </w:tbl>
    <w:p>
      <w:pPr>
        <w:spacing w:after="40"/>
      </w:pPr>
    </w:p>
    <w:p>
      <w:pPr>
        <w:spacing w:before="100" w:after="160"/>
        <w:ind w:left="317" w:right="173"/>
        <w:shd w:fill="E8EEF5"/>
      </w:pPr>
      <w:r>
        <w:rPr>
          <w:rFonts w:ascii="Calibri" w:hAnsi="Calibri"/>
          <w:b/>
          <w:color w:val="1F4D78"/>
          <w:sz w:val="21"/>
        </w:rPr>
        <w:t>Working-tree warning:</w:t>
      </w:r>
      <w:r>
        <w:rPr>
          <w:rFonts w:ascii="Calibri" w:hAnsi="Calibri"/>
          <w:color w:val="1F4D78"/>
          <w:sz w:val="21"/>
        </w:rPr>
        <w:t xml:space="preserve"> at this documentation snapshot, the frontend HIE feature directory is untracked and its integration points are modified but uncommitted. Preserve/commit that work before switching branches, cleaning the repository, or handing it to CI. The backend HIE lineage is committed (notably </w:t>
      </w:r>
      <w:r>
        <w:rPr>
          <w:rFonts w:ascii="Menlo" w:hAnsi="Menlo"/>
          <w:color w:val="1F4D78"/>
          <w:sz w:val="17"/>
          <w:shd w:fill="F6F8FA"/>
        </w:rPr>
        <w:t>ee51b6a</w:t>
      </w:r>
      <w:r>
        <w:rPr>
          <w:rFonts w:ascii="Calibri" w:hAnsi="Calibri"/>
          <w:color w:val="1F4D78"/>
          <w:sz w:val="21"/>
        </w:rPr>
        <w:t xml:space="preserve">, </w:t>
      </w:r>
      <w:r>
        <w:rPr>
          <w:rFonts w:ascii="Menlo" w:hAnsi="Menlo"/>
          <w:color w:val="1F4D78"/>
          <w:sz w:val="17"/>
          <w:shd w:fill="F6F8FA"/>
        </w:rPr>
        <w:t>59cc1b1</w:t>
      </w:r>
      <w:r>
        <w:rPr>
          <w:rFonts w:ascii="Calibri" w:hAnsi="Calibri"/>
          <w:color w:val="1F4D78"/>
          <w:sz w:val="21"/>
        </w:rPr>
        <w:t xml:space="preserve">, </w:t>
      </w:r>
      <w:r>
        <w:rPr>
          <w:rFonts w:ascii="Menlo" w:hAnsi="Menlo"/>
          <w:color w:val="1F4D78"/>
          <w:sz w:val="17"/>
          <w:shd w:fill="F6F8FA"/>
        </w:rPr>
        <w:t>398872b</w:t>
      </w:r>
      <w:r>
        <w:rPr>
          <w:rFonts w:ascii="Calibri" w:hAnsi="Calibri"/>
          <w:color w:val="1F4D78"/>
          <w:sz w:val="21"/>
        </w:rPr>
        <w:t>, and subsequent review fixes).</w:t>
      </w:r>
    </w:p>
    <w:p>
      <w:pPr>
        <w:pStyle w:val="Heading2"/>
      </w:pPr>
      <w:r>
        <w:t>9. Important code patterns</w:t>
      </w:r>
    </w:p>
    <w:p>
      <w:pPr>
        <w:pStyle w:val="Heading3"/>
      </w:pPr>
      <w:r>
        <w:t>9.1 Environment-scoped deterministic identity</w:t>
      </w:r>
    </w:p>
    <w:p>
      <w:pPr>
        <w:spacing w:before="60" w:after="140" w:line="252" w:lineRule="auto"/>
        <w:ind w:left="259" w:right="173"/>
        <w:shd w:fill="F6F8FA"/>
      </w:pPr>
      <w:r>
        <w:rPr>
          <w:rFonts w:ascii="Menlo" w:hAnsi="Menlo"/>
          <w:color w:val="1F2937"/>
          <w:sz w:val="15"/>
        </w:rPr>
        <w:t>return uuidv5(</w:t>
        <w:br/>
        <w:t xml:space="preserve">  [environment, String(clinicId), localResourceType, localResourceId, hieResourceType].join(":"),</w:t>
        <w:br/>
        <w:t xml:space="preserve">  HIE_RESOURCE_NAMESPACE</w:t>
        <w:br/>
        <w:t>);</w:t>
      </w:r>
    </w:p>
    <w:p>
      <w:r>
        <w:rPr>
          <w:rFonts w:ascii="Calibri" w:hAnsi="Calibri"/>
          <w:color w:val="222222"/>
          <w:sz w:val="21"/>
        </w:rPr>
        <w:t>The environment and clinic are part of the namespace value, so TEST and PRODUCTION cannot accidentally reuse a resource identity and two clinics cannot collide for equal local IDs.</w:t>
      </w:r>
    </w:p>
    <w:p>
      <w:pPr>
        <w:pStyle w:val="Heading3"/>
      </w:pPr>
      <w:r>
        <w:t>9.2 Sensitive value protection</w:t>
      </w:r>
    </w:p>
    <w:p>
      <w:pPr>
        <w:spacing w:before="60" w:after="140" w:line="252" w:lineRule="auto"/>
        <w:ind w:left="259" w:right="173"/>
        <w:shd w:fill="F6F8FA"/>
      </w:pPr>
      <w:r>
        <w:rPr>
          <w:rFonts w:ascii="Menlo" w:hAnsi="Menlo"/>
          <w:color w:val="1F2937"/>
          <w:sz w:val="15"/>
        </w:rPr>
        <w:t>const cipher = createCipheriv("aes-256-gcm", encryptionKey(), randomBytes(12));</w:t>
        <w:br/>
        <w:t>// Stored envelope: v1.&lt;iv&gt;.&lt;authentication-tag&gt;.&lt;ciphertext&gt;</w:t>
        <w:br/>
        <w:br/>
        <w:t>createHmac("sha256", identifierHashKey())</w:t>
        <w:br/>
        <w:t xml:space="preserve">  .update(value.trim().toUpperCase())</w:t>
        <w:br/>
        <w:t xml:space="preserve">  .digest("hex");</w:t>
      </w:r>
    </w:p>
    <w:p>
      <w:r>
        <w:rPr>
          <w:rFonts w:ascii="Calibri" w:hAnsi="Calibri"/>
          <w:color w:val="222222"/>
          <w:sz w:val="21"/>
        </w:rPr>
        <w:t>Encryption protects recoverable values; the separate keyed hash supports equality/uniqueness without plaintext.</w:t>
      </w:r>
    </w:p>
    <w:p>
      <w:pPr>
        <w:pStyle w:val="Heading3"/>
      </w:pPr>
      <w:r>
        <w:t>9.3 Local transaction plus outbox</w:t>
      </w:r>
    </w:p>
    <w:p>
      <w:pPr>
        <w:spacing w:before="60" w:after="140" w:line="252" w:lineRule="auto"/>
        <w:ind w:left="259" w:right="173"/>
        <w:shd w:fill="F6F8FA"/>
      </w:pPr>
      <w:r>
        <w:rPr>
          <w:rFonts w:ascii="Menlo" w:hAnsi="Menlo"/>
          <w:color w:val="1F2937"/>
          <w:sz w:val="15"/>
        </w:rPr>
        <w:t>await enqueueFinalizedVisitInTransaction(tx, {</w:t>
        <w:br/>
        <w:t xml:space="preserve">  clinicId,</w:t>
        <w:br/>
        <w:t xml:space="preserve">  visitId,</w:t>
        <w:br/>
        <w:t xml:space="preserve">  patientId,</w:t>
        <w:br/>
        <w:t>});</w:t>
      </w:r>
    </w:p>
    <w:p>
      <w:r>
        <w:rPr>
          <w:rFonts w:ascii="Calibri" w:hAnsi="Calibri"/>
          <w:color w:val="222222"/>
          <w:sz w:val="21"/>
        </w:rPr>
        <w:t>The enqueue occurs inside the same Prisma transaction as finalization. The function exits without an HIE event when the capability is off, but creates a blocked event when HIE is on and a recoverable dependency is missing.</w:t>
      </w:r>
    </w:p>
    <w:p>
      <w:pPr>
        <w:pStyle w:val="Heading3"/>
      </w:pPr>
      <w:r>
        <w:t>9.4 Patient dependency handling</w:t>
      </w:r>
    </w:p>
    <w:p>
      <w:pPr>
        <w:spacing w:before="60" w:after="140" w:line="252" w:lineRule="auto"/>
        <w:ind w:left="259" w:right="173"/>
        <w:shd w:fill="F6F8FA"/>
      </w:pPr>
      <w:r>
        <w:rPr>
          <w:rFonts w:ascii="Menlo" w:hAnsi="Menlo"/>
          <w:color w:val="1F2937"/>
          <w:sz w:val="15"/>
        </w:rPr>
        <w:t>status: dependencyReason ? "BLOCKED" : "PENDING",</w:t>
        <w:br/>
        <w:t>dependencyReason,</w:t>
        <w:br/>
        <w:t>nextAttemptAt: now,</w:t>
      </w:r>
    </w:p>
    <w:p>
      <w:r>
        <w:rPr>
          <w:rFonts w:ascii="Calibri" w:hAnsi="Calibri"/>
          <w:color w:val="222222"/>
          <w:sz w:val="21"/>
        </w:rPr>
        <w:t xml:space="preserve">Verified identity is checked before synchronized active consent. When both later exist, </w:t>
      </w:r>
      <w:r>
        <w:rPr>
          <w:rFonts w:ascii="Menlo" w:hAnsi="Menlo"/>
          <w:color w:val="1F4D78"/>
          <w:sz w:val="17"/>
          <w:shd w:fill="F6F8FA"/>
        </w:rPr>
        <w:t>resumeBlockedPatientEvents</w:t>
      </w:r>
      <w:r>
        <w:rPr>
          <w:rFonts w:ascii="Calibri" w:hAnsi="Calibri"/>
          <w:color w:val="222222"/>
          <w:sz w:val="21"/>
        </w:rPr>
        <w:t xml:space="preserve"> changes only the known patient-dependency-blocked events back to </w:t>
      </w:r>
      <w:r>
        <w:rPr>
          <w:rFonts w:ascii="Menlo" w:hAnsi="Menlo"/>
          <w:color w:val="1F4D78"/>
          <w:sz w:val="17"/>
          <w:shd w:fill="F6F8FA"/>
        </w:rPr>
        <w:t>PENDING</w:t>
      </w:r>
      <w:r>
        <w:rPr>
          <w:rFonts w:ascii="Calibri" w:hAnsi="Calibri"/>
          <w:color w:val="222222"/>
          <w:sz w:val="21"/>
        </w:rPr>
        <w:t>; unrelated terminology/mapping failures are not incorrectly released.</w:t>
      </w:r>
    </w:p>
    <w:p>
      <w:pPr>
        <w:pStyle w:val="Heading3"/>
      </w:pPr>
      <w:r>
        <w:t>9.5 GET-only transport retry</w:t>
      </w:r>
    </w:p>
    <w:p>
      <w:pPr>
        <w:spacing w:before="60" w:after="140" w:line="252" w:lineRule="auto"/>
        <w:ind w:left="259" w:right="173"/>
        <w:shd w:fill="F6F8FA"/>
      </w:pPr>
      <w:r>
        <w:rPr>
          <w:rFonts w:ascii="Menlo" w:hAnsi="Menlo"/>
          <w:color w:val="1F2937"/>
          <w:sz w:val="15"/>
        </w:rPr>
        <w:t>const maxAttempts = params.method === "GET" ? getMaxAttempts() : 1;</w:t>
      </w:r>
    </w:p>
    <w:p>
      <w:r>
        <w:rPr>
          <w:rFonts w:ascii="Calibri" w:hAnsi="Calibri"/>
          <w:color w:val="222222"/>
          <w:sz w:val="21"/>
        </w:rPr>
        <w:t>POST replay is controlled at the durable business-event layer, where idempotency and outcome are persisted, rather than blindly retried by the HTTP client.</w:t>
      </w:r>
    </w:p>
    <w:p>
      <w:pPr>
        <w:pStyle w:val="Heading3"/>
      </w:pPr>
      <w:r>
        <w:t>9.6 Partial national-record retrieval</w:t>
      </w:r>
    </w:p>
    <w:p>
      <w:pPr>
        <w:spacing w:before="60" w:after="140" w:line="252" w:lineRule="auto"/>
        <w:ind w:left="259" w:right="173"/>
        <w:shd w:fill="F6F8FA"/>
      </w:pPr>
      <w:r>
        <w:rPr>
          <w:rFonts w:ascii="Menlo" w:hAnsi="Menlo"/>
          <w:color w:val="1F2937"/>
          <w:sz w:val="15"/>
        </w:rPr>
        <w:t>await Promise.all(</w:t>
        <w:br/>
        <w:t xml:space="preserve">  Array.from({ length: Math.min(4, sections.length) }, () =&gt; worker())</w:t>
        <w:br/>
        <w:t>);</w:t>
        <w:br/>
        <w:t>return { sections: results, partial: results.some((item) =&gt; item.status === "FAILED") };</w:t>
      </w:r>
    </w:p>
    <w:p>
      <w:r>
        <w:rPr>
          <w:rFonts w:ascii="Calibri" w:hAnsi="Calibri"/>
          <w:color w:val="222222"/>
          <w:sz w:val="21"/>
        </w:rPr>
        <w:t>One unavailable national section does not erase all usable history and at most four sections are fetched concurrently.</w:t>
      </w:r>
    </w:p>
    <w:p>
      <w:pPr>
        <w:pStyle w:val="Heading2"/>
      </w:pPr>
      <w:r>
        <w:t>10. Dependencies and configuration</w:t>
      </w:r>
    </w:p>
    <w:p>
      <w:pPr>
        <w:pStyle w:val="Heading3"/>
      </w:pPr>
      <w:r>
        <w:t>10.1 Runtime dependencies</w:t>
      </w:r>
    </w:p>
    <w:p>
      <w:pPr>
        <w:numPr>
          <w:ilvl w:val="0"/>
          <w:numId w:val="10"/>
        </w:numPr>
      </w:pPr>
      <w:r>
        <w:rPr>
          <w:rFonts w:ascii="Calibri" w:hAnsi="Calibri"/>
          <w:color w:val="222222"/>
          <w:sz w:val="21"/>
        </w:rPr>
        <w:t xml:space="preserve">Bun/Hono backend, Prisma 7 with PostgreSQL, Zod v4, </w:t>
      </w:r>
      <w:r>
        <w:rPr>
          <w:rFonts w:ascii="Menlo" w:hAnsi="Menlo"/>
          <w:color w:val="1F4D78"/>
          <w:sz w:val="17"/>
          <w:shd w:fill="F6F8FA"/>
        </w:rPr>
        <w:t>node-cron</w:t>
      </w:r>
      <w:r>
        <w:rPr>
          <w:rFonts w:ascii="Calibri" w:hAnsi="Calibri"/>
          <w:color w:val="222222"/>
          <w:sz w:val="21"/>
        </w:rPr>
        <w:t xml:space="preserve">, Node crypto, and </w:t>
      </w:r>
      <w:r>
        <w:rPr>
          <w:rFonts w:ascii="Menlo" w:hAnsi="Menlo"/>
          <w:color w:val="1F4D78"/>
          <w:sz w:val="17"/>
          <w:shd w:fill="F6F8FA"/>
        </w:rPr>
        <w:t>uuid</w:t>
      </w:r>
      <w:r>
        <w:rPr>
          <w:rFonts w:ascii="Calibri" w:hAnsi="Calibri"/>
          <w:color w:val="222222"/>
          <w:sz w:val="21"/>
        </w:rPr>
        <w:t xml:space="preserve"> v5.</w:t>
      </w:r>
    </w:p>
    <w:p>
      <w:pPr>
        <w:numPr>
          <w:ilvl w:val="0"/>
          <w:numId w:val="10"/>
        </w:numPr>
      </w:pPr>
      <w:r>
        <w:rPr>
          <w:rFonts w:ascii="Calibri" w:hAnsi="Calibri"/>
          <w:color w:val="222222"/>
          <w:sz w:val="21"/>
        </w:rPr>
        <w:t>TanStack Start/React frontend, Axios server adapter, TanStack Query/Table, React Hook Form, and Zod.</w:t>
      </w:r>
    </w:p>
    <w:p>
      <w:pPr>
        <w:numPr>
          <w:ilvl w:val="0"/>
          <w:numId w:val="10"/>
        </w:numPr>
      </w:pPr>
      <w:r>
        <w:rPr>
          <w:rFonts w:ascii="Calibri" w:hAnsi="Calibri"/>
          <w:color w:val="222222"/>
          <w:sz w:val="21"/>
        </w:rPr>
        <w:t>RHIE FHIR R4 Client Registry and SHR endpoints with Basic authentication.</w:t>
      </w:r>
    </w:p>
    <w:p>
      <w:pPr>
        <w:numPr>
          <w:ilvl w:val="0"/>
          <w:numId w:val="10"/>
        </w:numPr>
      </w:pPr>
      <w:r>
        <w:rPr>
          <w:rFonts w:ascii="Calibri" w:hAnsi="Calibri"/>
          <w:color w:val="222222"/>
          <w:sz w:val="21"/>
        </w:rPr>
        <w:t>Correct system time, TLS/approved tunnel, database migrations, and a continuously running worker process.</w:t>
      </w:r>
    </w:p>
    <w:p>
      <w:r>
        <w:rPr>
          <w:rFonts w:ascii="Calibri" w:hAnsi="Calibri"/>
          <w:color w:val="222222"/>
          <w:sz w:val="21"/>
        </w:rPr>
        <w:t>Redis is used elsewhere in CareLogic but is not the HIE outbox durability store; PostgreSQL is.</w:t>
      </w:r>
    </w:p>
    <w:p>
      <w:pPr>
        <w:pStyle w:val="Heading3"/>
      </w:pPr>
      <w:r>
        <w:t>10.2 Backend environment variables</w:t>
      </w:r>
    </w:p>
    <w:p>
      <w:pPr>
        <w:spacing w:before="60" w:after="140" w:line="252" w:lineRule="auto"/>
        <w:ind w:left="259" w:right="173"/>
        <w:shd w:fill="F6F8FA"/>
      </w:pPr>
      <w:r>
        <w:rPr>
          <w:rFonts w:ascii="Menlo" w:hAnsi="Menlo"/>
          <w:color w:val="1F2937"/>
          <w:sz w:val="15"/>
        </w:rPr>
        <w:t>HIE_DEPLOYMENT_ENVIRONMENT="TEST"</w:t>
        <w:br/>
        <w:t>HIE_ENDPOINT_ENVIRONMENT="TEST"</w:t>
        <w:br/>
        <w:t>HIE_CREDENTIAL_ENVIRONMENT="TEST"</w:t>
        <w:br/>
        <w:t>HIE_CLIENT_REGISTRY_BASE_URL="https://.../clientregistry/"</w:t>
        <w:br/>
        <w:t>HIE_SHR_BASE_URL="https://.../shr/"</w:t>
        <w:br/>
        <w:t>HIE_BASIC_AUTH_USERNAME="..."</w:t>
        <w:br/>
        <w:t>HIE_BASIC_AUTH_PASSWORD="..."</w:t>
        <w:br/>
        <w:t>HIE_DATA_ENCRYPTION_KEY="&lt;32 bytes, hex or base64&gt;"</w:t>
        <w:br/>
        <w:t>HIE_IDENTIFIER_HASH_KEY="&lt;different stable 32 bytes, hex or base64&gt;"</w:t>
        <w:br/>
        <w:t>HIE_REQUEST_TIMEOUT_MS=8000</w:t>
        <w:br/>
        <w:t>HIE_GET_MAX_ATTEMPTS=3</w:t>
        <w:br/>
        <w:t>HIE_GET_RETRY_BASE_MS=250</w:t>
        <w:br/>
        <w:t>HIE_ALERT_STALE_MINUTES=30</w:t>
        <w:br/>
        <w:t>HIE_ALLOW_INSECURE_TEST=false</w:t>
      </w:r>
    </w:p>
    <w:p>
      <w:r>
        <w:rPr>
          <w:rFonts w:ascii="Calibri" w:hAnsi="Calibri"/>
          <w:color w:val="222222"/>
          <w:sz w:val="21"/>
        </w:rPr>
        <w:t xml:space="preserve">The documented MoH test IP uses plain HTTP. It is permitted only with all three environment labels set to </w:t>
      </w:r>
      <w:r>
        <w:rPr>
          <w:rFonts w:ascii="Menlo" w:hAnsi="Menlo"/>
          <w:color w:val="1F4D78"/>
          <w:sz w:val="17"/>
          <w:shd w:fill="F6F8FA"/>
        </w:rPr>
        <w:t>TEST</w:t>
      </w:r>
      <w:r>
        <w:rPr>
          <w:rFonts w:ascii="Calibri" w:hAnsi="Calibri"/>
          <w:color w:val="222222"/>
          <w:sz w:val="21"/>
        </w:rPr>
        <w:t xml:space="preserve">, tenant environment </w:t>
      </w:r>
      <w:r>
        <w:rPr>
          <w:rFonts w:ascii="Menlo" w:hAnsi="Menlo"/>
          <w:color w:val="1F4D78"/>
          <w:sz w:val="17"/>
          <w:shd w:fill="F6F8FA"/>
        </w:rPr>
        <w:t>TEST</w:t>
      </w:r>
      <w:r>
        <w:rPr>
          <w:rFonts w:ascii="Calibri" w:hAnsi="Calibri"/>
          <w:color w:val="222222"/>
          <w:sz w:val="21"/>
        </w:rPr>
        <w:t xml:space="preserve">, </w:t>
      </w:r>
      <w:r>
        <w:rPr>
          <w:rFonts w:ascii="Menlo" w:hAnsi="Menlo"/>
          <w:color w:val="1F4D78"/>
          <w:sz w:val="17"/>
          <w:shd w:fill="F6F8FA"/>
        </w:rPr>
        <w:t>HIE_ALLOW_INSECURE_TEST=true</w:t>
      </w:r>
      <w:r>
        <w:rPr>
          <w:rFonts w:ascii="Calibri" w:hAnsi="Calibri"/>
          <w:color w:val="222222"/>
          <w:sz w:val="21"/>
        </w:rPr>
        <w:t>, an approved isolated test connection, and synthetic data. Never use that override for real patients.</w:t>
      </w:r>
    </w:p>
    <w:p>
      <w:pPr>
        <w:pStyle w:val="Heading2"/>
      </w:pPr>
      <w:r>
        <w:t>11. Functional test runbook</w:t>
      </w:r>
    </w:p>
    <w:p>
      <w:pPr>
        <w:pStyle w:val="Heading3"/>
      </w:pPr>
      <w:r>
        <w:t>11.1 Prepare a safe test environment</w:t>
      </w:r>
    </w:p>
    <w:p>
      <w:pPr>
        <w:numPr>
          <w:ilvl w:val="0"/>
          <w:numId w:val="23"/>
        </w:numPr>
      </w:pPr>
      <w:r>
        <w:rPr>
          <w:rFonts w:ascii="Calibri" w:hAnsi="Calibri"/>
          <w:color w:val="222222"/>
          <w:sz w:val="21"/>
        </w:rPr>
        <w:t>Use a dedicated PostgreSQL test database and synthetic patients only.</w:t>
      </w:r>
    </w:p>
    <w:p>
      <w:pPr>
        <w:numPr>
          <w:ilvl w:val="0"/>
          <w:numId w:val="23"/>
        </w:numPr>
      </w:pPr>
      <w:r>
        <w:rPr>
          <w:rFonts w:ascii="Calibri" w:hAnsi="Calibri"/>
          <w:color w:val="222222"/>
          <w:sz w:val="21"/>
        </w:rPr>
        <w:t>Check out/preserve both backend and frontend HIE work; note the frontend working-tree warning above.</w:t>
      </w:r>
    </w:p>
    <w:p>
      <w:pPr>
        <w:numPr>
          <w:ilvl w:val="0"/>
          <w:numId w:val="23"/>
        </w:numPr>
      </w:pPr>
      <w:r>
        <w:rPr>
          <w:rFonts w:ascii="Calibri" w:hAnsi="Calibri"/>
          <w:color w:val="222222"/>
          <w:sz w:val="21"/>
        </w:rPr>
        <w:t>Configure the HIE variables with TEST credentials and two independent 32-byte keys.</w:t>
      </w:r>
    </w:p>
    <w:p>
      <w:pPr>
        <w:numPr>
          <w:ilvl w:val="0"/>
          <w:numId w:val="23"/>
        </w:numPr>
      </w:pPr>
      <w:r>
        <w:rPr>
          <w:rFonts w:ascii="Calibri" w:hAnsi="Calibri"/>
          <w:color w:val="222222"/>
          <w:sz w:val="21"/>
        </w:rPr>
        <w:t>Apply migrations, generate Prisma, and start backend/frontend:</w:t>
      </w:r>
    </w:p>
    <w:p>
      <w:pPr>
        <w:spacing w:before="60" w:after="140" w:line="252" w:lineRule="auto"/>
        <w:ind w:left="259" w:right="173"/>
        <w:shd w:fill="F6F8FA"/>
      </w:pPr>
      <w:r>
        <w:rPr>
          <w:rFonts w:ascii="Menlo" w:hAnsi="Menlo"/>
          <w:color w:val="1F2937"/>
          <w:sz w:val="15"/>
        </w:rPr>
        <w:t xml:space="preserve">   cd eclinic-backend</w:t>
        <w:br/>
        <w:t xml:space="preserve">   bunx prisma migrate deploy</w:t>
        <w:br/>
        <w:t xml:space="preserve">   bun run db:generate</w:t>
        <w:br/>
        <w:t xml:space="preserve">   bun run dev</w:t>
        <w:br/>
        <w:br/>
        <w:t xml:space="preserve">   cd ../eclinic-frontend</w:t>
        <w:br/>
        <w:t xml:space="preserve">   npm run dev</w:t>
      </w:r>
    </w:p>
    <w:p>
      <w:pPr>
        <w:numPr>
          <w:ilvl w:val="0"/>
          <w:numId w:val="23"/>
        </w:numPr>
      </w:pPr>
      <w:r>
        <w:rPr>
          <w:rFonts w:ascii="Calibri" w:hAnsi="Calibri"/>
          <w:color w:val="222222"/>
          <w:sz w:val="21"/>
        </w:rPr>
        <w:t xml:space="preserve">Confirm </w:t>
      </w:r>
      <w:r>
        <w:rPr>
          <w:rFonts w:ascii="Menlo" w:hAnsi="Menlo"/>
          <w:color w:val="1F4D78"/>
          <w:sz w:val="17"/>
          <w:shd w:fill="F6F8FA"/>
        </w:rPr>
        <w:t>GET /health</w:t>
      </w:r>
      <w:r>
        <w:rPr>
          <w:rFonts w:ascii="Calibri" w:hAnsi="Calibri"/>
          <w:color w:val="222222"/>
          <w:sz w:val="21"/>
        </w:rPr>
        <w:t xml:space="preserve"> succeeds and authenticate as a platform admin, clinic admin, doctor, nurse/reception user, and a disallowed role for negative RBAC checks.</w:t>
      </w:r>
    </w:p>
    <w:p>
      <w:pPr>
        <w:pStyle w:val="Heading3"/>
      </w:pPr>
      <w:r>
        <w:t>11.2 Enable exactly one pilot clinic</w:t>
      </w:r>
    </w:p>
    <w:p>
      <w:pPr>
        <w:numPr>
          <w:ilvl w:val="0"/>
          <w:numId w:val="25"/>
        </w:numPr>
      </w:pPr>
      <w:r>
        <w:rPr>
          <w:rFonts w:ascii="Calibri" w:hAnsi="Calibri"/>
          <w:color w:val="222222"/>
          <w:sz w:val="21"/>
        </w:rPr>
        <w:t xml:space="preserve">As platform admin, add a clinic-scoped entitlement override for </w:t>
      </w:r>
      <w:r>
        <w:rPr>
          <w:rFonts w:ascii="Menlo" w:hAnsi="Menlo"/>
          <w:color w:val="1F4D78"/>
          <w:sz w:val="17"/>
          <w:shd w:fill="F6F8FA"/>
        </w:rPr>
        <w:t>hie</w:t>
      </w:r>
      <w:r>
        <w:rPr>
          <w:rFonts w:ascii="Calibri" w:hAnsi="Calibri"/>
          <w:color w:val="222222"/>
          <w:sz w:val="21"/>
        </w:rPr>
        <w:t xml:space="preserve">; confirm HIE routes return </w:t>
      </w:r>
      <w:r>
        <w:rPr>
          <w:rFonts w:ascii="Menlo" w:hAnsi="Menlo"/>
          <w:color w:val="1F4D78"/>
          <w:sz w:val="17"/>
          <w:shd w:fill="F6F8FA"/>
        </w:rPr>
        <w:t>FEATURE_DISABLED</w:t>
      </w:r>
      <w:r>
        <w:rPr>
          <w:rFonts w:ascii="Calibri" w:hAnsi="Calibri"/>
          <w:color w:val="222222"/>
          <w:sz w:val="21"/>
        </w:rPr>
        <w:t xml:space="preserve"> before the override.</w:t>
      </w:r>
    </w:p>
    <w:p>
      <w:pPr>
        <w:numPr>
          <w:ilvl w:val="0"/>
          <w:numId w:val="25"/>
        </w:numPr>
      </w:pPr>
      <w:r>
        <w:rPr>
          <w:rFonts w:ascii="Calibri" w:hAnsi="Calibri"/>
          <w:color w:val="222222"/>
          <w:sz w:val="21"/>
        </w:rPr>
        <w:t xml:space="preserve">As clinic admin, open Dashboard </w:t>
      </w:r>
      <w:r>
        <w:rPr>
          <w:rFonts w:ascii="Calibri" w:hAnsi="Calibri"/>
          <w:b/>
          <w:color w:val="222222"/>
          <w:sz w:val="21"/>
        </w:rPr>
        <w:t>Setup → Rwanda HIE</w:t>
      </w:r>
      <w:r>
        <w:rPr>
          <w:rFonts w:ascii="Calibri" w:hAnsi="Calibri"/>
          <w:color w:val="222222"/>
          <w:sz w:val="21"/>
        </w:rPr>
        <w:t>.</w:t>
      </w:r>
    </w:p>
    <w:p>
      <w:pPr>
        <w:numPr>
          <w:ilvl w:val="0"/>
          <w:numId w:val="25"/>
        </w:numPr>
      </w:pPr>
      <w:r>
        <w:rPr>
          <w:rFonts w:ascii="Calibri" w:hAnsi="Calibri"/>
          <w:color w:val="222222"/>
          <w:sz w:val="21"/>
        </w:rPr>
        <w:t xml:space="preserve">Save environment </w:t>
      </w:r>
      <w:r>
        <w:rPr>
          <w:rFonts w:ascii="Menlo" w:hAnsi="Menlo"/>
          <w:color w:val="1F4D78"/>
          <w:sz w:val="17"/>
          <w:shd w:fill="F6F8FA"/>
        </w:rPr>
        <w:t>TEST</w:t>
      </w:r>
      <w:r>
        <w:rPr>
          <w:rFonts w:ascii="Calibri" w:hAnsi="Calibri"/>
          <w:color w:val="222222"/>
          <w:sz w:val="21"/>
        </w:rPr>
        <w:t xml:space="preserve">, enabled </w:t>
      </w:r>
      <w:r>
        <w:rPr>
          <w:rFonts w:ascii="Menlo" w:hAnsi="Menlo"/>
          <w:color w:val="1F4D78"/>
          <w:sz w:val="17"/>
          <w:shd w:fill="F6F8FA"/>
        </w:rPr>
        <w:t>true</w:t>
      </w:r>
      <w:r>
        <w:rPr>
          <w:rFonts w:ascii="Calibri" w:hAnsi="Calibri"/>
          <w:color w:val="222222"/>
          <w:sz w:val="21"/>
        </w:rPr>
        <w:t xml:space="preserve">, and only </w:t>
      </w:r>
      <w:r>
        <w:rPr>
          <w:rFonts w:ascii="Menlo" w:hAnsi="Menlo"/>
          <w:color w:val="1F4D78"/>
          <w:sz w:val="17"/>
          <w:shd w:fill="F6F8FA"/>
        </w:rPr>
        <w:t>clientRegistry</w:t>
      </w:r>
      <w:r>
        <w:rPr>
          <w:rFonts w:ascii="Calibri" w:hAnsi="Calibri"/>
          <w:color w:val="222222"/>
          <w:sz w:val="21"/>
        </w:rPr>
        <w:t xml:space="preserve"> initially.</w:t>
      </w:r>
    </w:p>
    <w:p>
      <w:pPr>
        <w:numPr>
          <w:ilvl w:val="0"/>
          <w:numId w:val="25"/>
        </w:numPr>
      </w:pPr>
      <w:r>
        <w:rPr>
          <w:rFonts w:ascii="Calibri" w:hAnsi="Calibri"/>
          <w:color w:val="222222"/>
          <w:sz w:val="21"/>
        </w:rPr>
        <w:t xml:space="preserve">Confirm </w:t>
      </w:r>
      <w:r>
        <w:rPr>
          <w:rFonts w:ascii="Menlo" w:hAnsi="Menlo"/>
          <w:color w:val="1F4D78"/>
          <w:sz w:val="17"/>
          <w:shd w:fill="F6F8FA"/>
        </w:rPr>
        <w:t>/hie/status</w:t>
      </w:r>
      <w:r>
        <w:rPr>
          <w:rFonts w:ascii="Calibri" w:hAnsi="Calibri"/>
          <w:color w:val="222222"/>
          <w:sz w:val="21"/>
        </w:rPr>
        <w:t xml:space="preserve"> shows TEST and no secrets.</w:t>
      </w:r>
    </w:p>
    <w:p>
      <w:pPr>
        <w:numPr>
          <w:ilvl w:val="0"/>
          <w:numId w:val="25"/>
        </w:numPr>
      </w:pPr>
      <w:r>
        <w:rPr>
          <w:rFonts w:ascii="Calibri" w:hAnsi="Calibri"/>
          <w:color w:val="222222"/>
          <w:sz w:val="21"/>
        </w:rPr>
        <w:t xml:space="preserve">Try saving PRODUCTION against TEST deployment variables; expect </w:t>
      </w:r>
      <w:r>
        <w:rPr>
          <w:rFonts w:ascii="Menlo" w:hAnsi="Menlo"/>
          <w:color w:val="1F4D78"/>
          <w:sz w:val="17"/>
          <w:shd w:fill="F6F8FA"/>
        </w:rPr>
        <w:t>HIE_ENVIRONMENT_MISMATCH</w:t>
      </w:r>
      <w:r>
        <w:rPr>
          <w:rFonts w:ascii="Calibri" w:hAnsi="Calibri"/>
          <w:color w:val="222222"/>
          <w:sz w:val="21"/>
        </w:rPr>
        <w:t>.</w:t>
      </w:r>
    </w:p>
    <w:p>
      <w:pPr>
        <w:numPr>
          <w:ilvl w:val="0"/>
          <w:numId w:val="25"/>
        </w:numPr>
      </w:pPr>
      <w:r>
        <w:rPr>
          <w:rFonts w:ascii="Calibri" w:hAnsi="Calibri"/>
          <w:color w:val="222222"/>
          <w:sz w:val="21"/>
        </w:rPr>
        <w:t>In a safe local test only, try an HTTP URL without the test override; expect secure-transport rejection. Confirm PRODUCTION rejects HTTP even when the override is true.</w:t>
      </w:r>
    </w:p>
    <w:p>
      <w:pPr>
        <w:pStyle w:val="Heading3"/>
      </w:pPr>
      <w:r>
        <w:t>11.3 Verify mappings and terminology</w:t>
      </w:r>
    </w:p>
    <w:p>
      <w:pPr>
        <w:numPr>
          <w:ilvl w:val="0"/>
          <w:numId w:val="27"/>
        </w:numPr>
      </w:pPr>
      <w:r>
        <w:rPr>
          <w:rFonts w:ascii="Calibri" w:hAnsi="Calibri"/>
          <w:color w:val="222222"/>
          <w:sz w:val="21"/>
        </w:rPr>
        <w:t xml:space="preserve">Map the pilot branch to a synthetic FOSA and </w:t>
      </w:r>
      <w:r>
        <w:rPr>
          <w:rFonts w:ascii="Menlo" w:hAnsi="Menlo"/>
          <w:color w:val="1F4D78"/>
          <w:sz w:val="17"/>
          <w:shd w:fill="F6F8FA"/>
        </w:rPr>
        <w:t>Location/...</w:t>
      </w:r>
      <w:r>
        <w:rPr>
          <w:rFonts w:ascii="Calibri" w:hAnsi="Calibri"/>
          <w:color w:val="222222"/>
          <w:sz w:val="21"/>
        </w:rPr>
        <w:t xml:space="preserve"> reference with verification evidence and a future review date.</w:t>
      </w:r>
    </w:p>
    <w:p>
      <w:pPr>
        <w:numPr>
          <w:ilvl w:val="0"/>
          <w:numId w:val="27"/>
        </w:numPr>
      </w:pPr>
      <w:r>
        <w:rPr>
          <w:rFonts w:ascii="Calibri" w:hAnsi="Calibri"/>
          <w:color w:val="222222"/>
          <w:sz w:val="21"/>
        </w:rPr>
        <w:t xml:space="preserve">Map the test doctor to a synthetic </w:t>
      </w:r>
      <w:r>
        <w:rPr>
          <w:rFonts w:ascii="Menlo" w:hAnsi="Menlo"/>
          <w:color w:val="1F4D78"/>
          <w:sz w:val="17"/>
          <w:shd w:fill="F6F8FA"/>
        </w:rPr>
        <w:t>Practitioner/...</w:t>
      </w:r>
      <w:r>
        <w:rPr>
          <w:rFonts w:ascii="Calibri" w:hAnsi="Calibri"/>
          <w:color w:val="222222"/>
          <w:sz w:val="21"/>
        </w:rPr>
        <w:t xml:space="preserve"> reference.</w:t>
      </w:r>
    </w:p>
    <w:p>
      <w:pPr>
        <w:numPr>
          <w:ilvl w:val="0"/>
          <w:numId w:val="27"/>
        </w:numPr>
      </w:pPr>
      <w:r>
        <w:rPr>
          <w:rFonts w:ascii="Calibri" w:hAnsi="Calibri"/>
          <w:color w:val="222222"/>
          <w:sz w:val="21"/>
        </w:rPr>
        <w:t>Add a verified destination facility different from the source.</w:t>
      </w:r>
    </w:p>
    <w:p>
      <w:pPr>
        <w:numPr>
          <w:ilvl w:val="0"/>
          <w:numId w:val="27"/>
        </w:numPr>
      </w:pPr>
      <w:r>
        <w:rPr>
          <w:rFonts w:ascii="Calibri" w:hAnsi="Calibri"/>
          <w:color w:val="222222"/>
          <w:sz w:val="21"/>
        </w:rPr>
        <w:t>As platform admin, create/verify representative concepts and product codes for ICD-11, LOINC, SNOMED CT, ICHI, medication route/method, vaccine/allergy/imaging domains.</w:t>
      </w:r>
    </w:p>
    <w:p>
      <w:pPr>
        <w:numPr>
          <w:ilvl w:val="0"/>
          <w:numId w:val="27"/>
        </w:numPr>
      </w:pPr>
      <w:r>
        <w:rPr>
          <w:rFonts w:ascii="Calibri" w:hAnsi="Calibri"/>
          <w:color w:val="222222"/>
          <w:sz w:val="21"/>
        </w:rPr>
        <w:t>Confirm a clinic user can list only active verified HIE concepts but cannot perform global verification.</w:t>
      </w:r>
    </w:p>
    <w:p>
      <w:pPr>
        <w:numPr>
          <w:ilvl w:val="0"/>
          <w:numId w:val="27"/>
        </w:numPr>
      </w:pPr>
      <w:r>
        <w:rPr>
          <w:rFonts w:ascii="Calibri" w:hAnsi="Calibri"/>
          <w:color w:val="222222"/>
          <w:sz w:val="21"/>
        </w:rPr>
        <w:t>Expire or revoke a mapping and confirm readiness/alerts and publication blocking reflect it.</w:t>
      </w:r>
    </w:p>
    <w:p>
      <w:pPr>
        <w:pStyle w:val="Heading3"/>
      </w:pPr>
      <w:r>
        <w:t>11.4 Test national identity</w:t>
      </w:r>
    </w:p>
    <w:p>
      <w:pPr>
        <w:numPr>
          <w:ilvl w:val="0"/>
          <w:numId w:val="29"/>
        </w:numPr>
      </w:pPr>
      <w:r>
        <w:rPr>
          <w:rFonts w:ascii="Calibri" w:hAnsi="Calibri"/>
          <w:color w:val="222222"/>
          <w:sz w:val="21"/>
        </w:rPr>
        <w:t>At reception, enter a known synthetic NID and exact DOB. Expect a national match and local candidate list.</w:t>
      </w:r>
    </w:p>
    <w:p>
      <w:pPr>
        <w:numPr>
          <w:ilvl w:val="0"/>
          <w:numId w:val="29"/>
        </w:numPr>
      </w:pPr>
      <w:r>
        <w:rPr>
          <w:rFonts w:ascii="Calibri" w:hAnsi="Calibri"/>
          <w:color w:val="222222"/>
          <w:sz w:val="21"/>
        </w:rPr>
        <w:t xml:space="preserve">Review the demographic comparison. Link to an existing synthetic local patient using the current </w:t>
      </w:r>
      <w:r>
        <w:rPr>
          <w:rFonts w:ascii="Menlo" w:hAnsi="Menlo"/>
          <w:color w:val="1F4D78"/>
          <w:sz w:val="17"/>
          <w:shd w:fill="F6F8FA"/>
        </w:rPr>
        <w:t>updatedAt</w:t>
      </w:r>
      <w:r>
        <w:rPr>
          <w:rFonts w:ascii="Calibri" w:hAnsi="Calibri"/>
          <w:color w:val="222222"/>
          <w:sz w:val="21"/>
        </w:rPr>
        <w:t xml:space="preserve">; confirm </w:t>
      </w:r>
      <w:r>
        <w:rPr>
          <w:rFonts w:ascii="Menlo" w:hAnsi="Menlo"/>
          <w:color w:val="1F4D78"/>
          <w:sz w:val="17"/>
          <w:shd w:fill="F6F8FA"/>
        </w:rPr>
        <w:t>VERIFIED</w:t>
      </w:r>
      <w:r>
        <w:rPr>
          <w:rFonts w:ascii="Calibri" w:hAnsi="Calibri"/>
          <w:color w:val="222222"/>
          <w:sz w:val="21"/>
        </w:rPr>
        <w:t xml:space="preserve"> identity and no automatic demographic overwrite.</w:t>
      </w:r>
    </w:p>
    <w:p>
      <w:pPr>
        <w:numPr>
          <w:ilvl w:val="0"/>
          <w:numId w:val="29"/>
        </w:numPr>
      </w:pPr>
      <w:r>
        <w:rPr>
          <w:rFonts w:ascii="Calibri" w:hAnsi="Calibri"/>
          <w:color w:val="222222"/>
          <w:sz w:val="21"/>
        </w:rPr>
        <w:t xml:space="preserve">Repeat with a stale </w:t>
      </w:r>
      <w:r>
        <w:rPr>
          <w:rFonts w:ascii="Menlo" w:hAnsi="Menlo"/>
          <w:color w:val="1F4D78"/>
          <w:sz w:val="17"/>
          <w:shd w:fill="F6F8FA"/>
        </w:rPr>
        <w:t>expectedUpdatedAt</w:t>
      </w:r>
      <w:r>
        <w:rPr>
          <w:rFonts w:ascii="Calibri" w:hAnsi="Calibri"/>
          <w:color w:val="222222"/>
          <w:sz w:val="21"/>
        </w:rPr>
        <w:t>; expect a changed-patient conflict.</w:t>
      </w:r>
    </w:p>
    <w:p>
      <w:pPr>
        <w:numPr>
          <w:ilvl w:val="0"/>
          <w:numId w:val="29"/>
        </w:numPr>
      </w:pPr>
      <w:r>
        <w:rPr>
          <w:rFonts w:ascii="Calibri" w:hAnsi="Calibri"/>
          <w:color w:val="222222"/>
          <w:sz w:val="21"/>
        </w:rPr>
        <w:t>Try the same NID/UPID against another local patient; expect an identity reconciliation case, no merge, and no duplicate verified identity.</w:t>
      </w:r>
    </w:p>
    <w:p>
      <w:pPr>
        <w:numPr>
          <w:ilvl w:val="0"/>
          <w:numId w:val="29"/>
        </w:numPr>
      </w:pPr>
      <w:r>
        <w:rPr>
          <w:rFonts w:ascii="Calibri" w:hAnsi="Calibri"/>
          <w:color w:val="222222"/>
          <w:sz w:val="21"/>
        </w:rPr>
        <w:t>Exercise unknown NID, DOB mismatch, deceased patient, malformed 200 response, 401, 429, timeout, and registry outage.</w:t>
      </w:r>
    </w:p>
    <w:p>
      <w:pPr>
        <w:numPr>
          <w:ilvl w:val="0"/>
          <w:numId w:val="29"/>
        </w:numPr>
      </w:pPr>
      <w:r>
        <w:rPr>
          <w:rFonts w:ascii="Calibri" w:hAnsi="Calibri"/>
          <w:color w:val="222222"/>
          <w:sz w:val="21"/>
        </w:rPr>
        <w:t>During outage choose defer; confirm local check-in continues and a pending identity has encrypted snapshot/retry metadata.</w:t>
      </w:r>
    </w:p>
    <w:p>
      <w:pPr>
        <w:numPr>
          <w:ilvl w:val="0"/>
          <w:numId w:val="29"/>
        </w:numPr>
      </w:pPr>
      <w:r>
        <w:rPr>
          <w:rFonts w:ascii="Calibri" w:hAnsi="Calibri"/>
          <w:color w:val="222222"/>
          <w:sz w:val="21"/>
        </w:rPr>
        <w:t>Restore the registry and wait one minute or use authorized manual retry; expect verification and release of only patient-dependency-blocked events.</w:t>
      </w:r>
    </w:p>
    <w:p>
      <w:pPr>
        <w:pStyle w:val="Heading3"/>
      </w:pPr>
      <w:r>
        <w:t>11.5 Test consent</w:t>
      </w:r>
    </w:p>
    <w:p>
      <w:pPr>
        <w:numPr>
          <w:ilvl w:val="0"/>
          <w:numId w:val="31"/>
        </w:numPr>
      </w:pPr>
      <w:r>
        <w:rPr>
          <w:rFonts w:ascii="Calibri" w:hAnsi="Calibri"/>
          <w:color w:val="222222"/>
          <w:sz w:val="21"/>
        </w:rPr>
        <w:t xml:space="preserve">Enable </w:t>
      </w:r>
      <w:r>
        <w:rPr>
          <w:rFonts w:ascii="Menlo" w:hAnsi="Menlo"/>
          <w:color w:val="1F4D78"/>
          <w:sz w:val="17"/>
          <w:shd w:fill="F6F8FA"/>
        </w:rPr>
        <w:t>consentSync</w:t>
      </w:r>
      <w:r>
        <w:rPr>
          <w:rFonts w:ascii="Calibri" w:hAnsi="Calibri"/>
          <w:color w:val="222222"/>
          <w:sz w:val="21"/>
        </w:rPr>
        <w:t xml:space="preserve"> and </w:t>
      </w:r>
      <w:r>
        <w:rPr>
          <w:rFonts w:ascii="Menlo" w:hAnsi="Menlo"/>
          <w:color w:val="1F4D78"/>
          <w:sz w:val="17"/>
          <w:shd w:fill="F6F8FA"/>
        </w:rPr>
        <w:t>sharedRecordWrite</w:t>
      </w:r>
      <w:r>
        <w:rPr>
          <w:rFonts w:ascii="Calibri" w:hAnsi="Calibri"/>
          <w:color w:val="222222"/>
          <w:sz w:val="21"/>
        </w:rPr>
        <w:t xml:space="preserve"> after identity verification.</w:t>
      </w:r>
    </w:p>
    <w:p>
      <w:pPr>
        <w:numPr>
          <w:ilvl w:val="0"/>
          <w:numId w:val="31"/>
        </w:numPr>
      </w:pPr>
      <w:r>
        <w:rPr>
          <w:rFonts w:ascii="Calibri" w:hAnsi="Calibri"/>
          <w:color w:val="222222"/>
          <w:sz w:val="21"/>
        </w:rPr>
        <w:t>Record written/verbal/electronic evidence with affirmative confirmation. Expect active local consent and a pending Consent outbox event.</w:t>
      </w:r>
    </w:p>
    <w:p>
      <w:pPr>
        <w:numPr>
          <w:ilvl w:val="0"/>
          <w:numId w:val="31"/>
        </w:numPr>
      </w:pPr>
      <w:r>
        <w:rPr>
          <w:rFonts w:ascii="Calibri" w:hAnsi="Calibri"/>
          <w:color w:val="222222"/>
          <w:sz w:val="21"/>
        </w:rPr>
        <w:t xml:space="preserve">Run/wait for the worker. Expect Consent </w:t>
      </w:r>
      <w:r>
        <w:rPr>
          <w:rFonts w:ascii="Menlo" w:hAnsi="Menlo"/>
          <w:color w:val="1F4D78"/>
          <w:sz w:val="17"/>
          <w:shd w:fill="F6F8FA"/>
        </w:rPr>
        <w:t>SUCCEEDED</w:t>
      </w:r>
      <w:r>
        <w:rPr>
          <w:rFonts w:ascii="Calibri" w:hAnsi="Calibri"/>
          <w:color w:val="222222"/>
          <w:sz w:val="21"/>
        </w:rPr>
        <w:t xml:space="preserve">, sync </w:t>
      </w:r>
      <w:r>
        <w:rPr>
          <w:rFonts w:ascii="Menlo" w:hAnsi="Menlo"/>
          <w:color w:val="1F4D78"/>
          <w:sz w:val="17"/>
          <w:shd w:fill="F6F8FA"/>
        </w:rPr>
        <w:t>SYNCED</w:t>
      </w:r>
      <w:r>
        <w:rPr>
          <w:rFonts w:ascii="Calibri" w:hAnsi="Calibri"/>
          <w:color w:val="222222"/>
          <w:sz w:val="21"/>
        </w:rPr>
        <w:t>, resource link populated, and an attempt record.</w:t>
      </w:r>
    </w:p>
    <w:p>
      <w:pPr>
        <w:numPr>
          <w:ilvl w:val="0"/>
          <w:numId w:val="31"/>
        </w:numPr>
      </w:pPr>
      <w:r>
        <w:rPr>
          <w:rFonts w:ascii="Calibri" w:hAnsi="Calibri"/>
          <w:color w:val="222222"/>
          <w:sz w:val="21"/>
        </w:rPr>
        <w:t>Withdraw consent. Confirm it is immediately inactive locally and a remote delete is queued.</w:t>
      </w:r>
    </w:p>
    <w:p>
      <w:pPr>
        <w:numPr>
          <w:ilvl w:val="0"/>
          <w:numId w:val="31"/>
        </w:numPr>
      </w:pPr>
      <w:r>
        <w:rPr>
          <w:rFonts w:ascii="Calibri" w:hAnsi="Calibri"/>
          <w:color w:val="222222"/>
          <w:sz w:val="21"/>
        </w:rPr>
        <w:t>Simulate RHIE 404 for delete; expect idempotent success.</w:t>
      </w:r>
    </w:p>
    <w:p>
      <w:pPr>
        <w:numPr>
          <w:ilvl w:val="0"/>
          <w:numId w:val="31"/>
        </w:numPr>
      </w:pPr>
      <w:r>
        <w:rPr>
          <w:rFonts w:ascii="Calibri" w:hAnsi="Calibri"/>
          <w:color w:val="222222"/>
          <w:sz w:val="21"/>
        </w:rPr>
        <w:t xml:space="preserve">Finalize a second visit while consent is absent/unsynchronized; local finalization must succeed and clinical events must be </w:t>
      </w:r>
      <w:r>
        <w:rPr>
          <w:rFonts w:ascii="Menlo" w:hAnsi="Menlo"/>
          <w:color w:val="1F4D78"/>
          <w:sz w:val="17"/>
          <w:shd w:fill="F6F8FA"/>
        </w:rPr>
        <w:t>BLOCKED</w:t>
      </w:r>
      <w:r>
        <w:rPr>
          <w:rFonts w:ascii="Calibri" w:hAnsi="Calibri"/>
          <w:color w:val="222222"/>
          <w:sz w:val="21"/>
        </w:rPr>
        <w:t>, not lost.</w:t>
      </w:r>
    </w:p>
    <w:p>
      <w:pPr>
        <w:numPr>
          <w:ilvl w:val="0"/>
          <w:numId w:val="31"/>
        </w:numPr>
      </w:pPr>
      <w:r>
        <w:rPr>
          <w:rFonts w:ascii="Calibri" w:hAnsi="Calibri"/>
          <w:color w:val="222222"/>
          <w:sz w:val="21"/>
        </w:rPr>
        <w:t>Restore/reconcile consent and confirm eligible events resume.</w:t>
      </w:r>
    </w:p>
    <w:p>
      <w:pPr>
        <w:pStyle w:val="Heading3"/>
      </w:pPr>
      <w:r>
        <w:t>11.6 Test national read and reconciliation</w:t>
      </w:r>
    </w:p>
    <w:p>
      <w:pPr>
        <w:numPr>
          <w:ilvl w:val="0"/>
          <w:numId w:val="33"/>
        </w:numPr>
      </w:pPr>
      <w:r>
        <w:rPr>
          <w:rFonts w:ascii="Calibri" w:hAnsi="Calibri"/>
          <w:color w:val="222222"/>
          <w:sz w:val="21"/>
        </w:rPr>
        <w:t xml:space="preserve">Enable </w:t>
      </w:r>
      <w:r>
        <w:rPr>
          <w:rFonts w:ascii="Menlo" w:hAnsi="Menlo"/>
          <w:color w:val="1F4D78"/>
          <w:sz w:val="17"/>
          <w:shd w:fill="F6F8FA"/>
        </w:rPr>
        <w:t>sharedRecordRead</w:t>
      </w:r>
      <w:r>
        <w:rPr>
          <w:rFonts w:ascii="Calibri" w:hAnsi="Calibri"/>
          <w:color w:val="222222"/>
          <w:sz w:val="21"/>
        </w:rPr>
        <w:t xml:space="preserve"> and </w:t>
      </w:r>
      <w:r>
        <w:rPr>
          <w:rFonts w:ascii="Menlo" w:hAnsi="Menlo"/>
          <w:color w:val="1F4D78"/>
          <w:sz w:val="17"/>
          <w:shd w:fill="F6F8FA"/>
        </w:rPr>
        <w:t>nationalListRead</w:t>
      </w:r>
      <w:r>
        <w:rPr>
          <w:rFonts w:ascii="Calibri" w:hAnsi="Calibri"/>
          <w:color w:val="222222"/>
          <w:sz w:val="21"/>
        </w:rPr>
        <w:t>.</w:t>
      </w:r>
    </w:p>
    <w:p>
      <w:pPr>
        <w:numPr>
          <w:ilvl w:val="0"/>
          <w:numId w:val="33"/>
        </w:numPr>
      </w:pPr>
      <w:r>
        <w:rPr>
          <w:rFonts w:ascii="Calibri" w:hAnsi="Calibri"/>
          <w:color w:val="222222"/>
          <w:sz w:val="21"/>
        </w:rPr>
        <w:t xml:space="preserve">Open a linked patient chart and the </w:t>
      </w:r>
      <w:r>
        <w:rPr>
          <w:rFonts w:ascii="Calibri" w:hAnsi="Calibri"/>
          <w:b/>
          <w:color w:val="222222"/>
          <w:sz w:val="21"/>
        </w:rPr>
        <w:t>National record</w:t>
      </w:r>
      <w:r>
        <w:rPr>
          <w:rFonts w:ascii="Calibri" w:hAnsi="Calibri"/>
          <w:color w:val="222222"/>
          <w:sz w:val="21"/>
        </w:rPr>
        <w:t xml:space="preserve"> tab.</w:t>
      </w:r>
    </w:p>
    <w:p>
      <w:pPr>
        <w:numPr>
          <w:ilvl w:val="0"/>
          <w:numId w:val="33"/>
        </w:numPr>
      </w:pPr>
      <w:r>
        <w:rPr>
          <w:rFonts w:ascii="Calibri" w:hAnsi="Calibri"/>
          <w:color w:val="222222"/>
          <w:sz w:val="21"/>
        </w:rPr>
        <w:t>Verify the IPS and sectioned history display provenance and omit raw patient/resource identifiers.</w:t>
      </w:r>
    </w:p>
    <w:p>
      <w:pPr>
        <w:numPr>
          <w:ilvl w:val="0"/>
          <w:numId w:val="33"/>
        </w:numPr>
      </w:pPr>
      <w:r>
        <w:rPr>
          <w:rFonts w:ascii="Calibri" w:hAnsi="Calibri"/>
          <w:color w:val="222222"/>
          <w:sz w:val="21"/>
        </w:rPr>
        <w:t>Fail one SHR section while others succeed; expect a partial response and usable successful sections.</w:t>
      </w:r>
    </w:p>
    <w:p>
      <w:pPr>
        <w:numPr>
          <w:ilvl w:val="0"/>
          <w:numId w:val="33"/>
        </w:numPr>
      </w:pPr>
      <w:r>
        <w:rPr>
          <w:rFonts w:ascii="Calibri" w:hAnsi="Calibri"/>
          <w:color w:val="222222"/>
          <w:sz w:val="21"/>
        </w:rPr>
        <w:t xml:space="preserve">Accept one item as history and dismiss another with notes. Confirm </w:t>
      </w:r>
      <w:r>
        <w:rPr>
          <w:rFonts w:ascii="Menlo" w:hAnsi="Menlo"/>
          <w:color w:val="1F4D78"/>
          <w:sz w:val="17"/>
          <w:shd w:fill="F6F8FA"/>
        </w:rPr>
        <w:t>HieReconciliation</w:t>
      </w:r>
      <w:r>
        <w:rPr>
          <w:rFonts w:ascii="Calibri" w:hAnsi="Calibri"/>
          <w:color w:val="222222"/>
          <w:sz w:val="21"/>
        </w:rPr>
        <w:t xml:space="preserve"> rows but no local order/diagnosis/payment creation.</w:t>
      </w:r>
    </w:p>
    <w:p>
      <w:pPr>
        <w:numPr>
          <w:ilvl w:val="0"/>
          <w:numId w:val="33"/>
        </w:numPr>
      </w:pPr>
      <w:r>
        <w:rPr>
          <w:rFonts w:ascii="Calibri" w:hAnsi="Calibri"/>
          <w:color w:val="222222"/>
          <w:sz w:val="21"/>
        </w:rPr>
        <w:t>Replay an expired or another-patient reconciliation token; expect rejection.</w:t>
      </w:r>
    </w:p>
    <w:p>
      <w:pPr>
        <w:pStyle w:val="Heading3"/>
      </w:pPr>
      <w:r>
        <w:t>11.7 Test emergency access</w:t>
      </w:r>
    </w:p>
    <w:p>
      <w:pPr>
        <w:numPr>
          <w:ilvl w:val="0"/>
          <w:numId w:val="35"/>
        </w:numPr>
      </w:pPr>
      <w:r>
        <w:rPr>
          <w:rFonts w:ascii="Calibri" w:hAnsi="Calibri"/>
          <w:color w:val="222222"/>
          <w:sz w:val="21"/>
        </w:rPr>
        <w:t xml:space="preserve">Enable </w:t>
      </w:r>
      <w:r>
        <w:rPr>
          <w:rFonts w:ascii="Menlo" w:hAnsi="Menlo"/>
          <w:color w:val="1F4D78"/>
          <w:sz w:val="17"/>
          <w:shd w:fill="F6F8FA"/>
        </w:rPr>
        <w:t>emergencyRead</w:t>
      </w:r>
      <w:r>
        <w:rPr>
          <w:rFonts w:ascii="Calibri" w:hAnsi="Calibri"/>
          <w:color w:val="222222"/>
          <w:sz w:val="21"/>
        </w:rPr>
        <w:t xml:space="preserve"> and use a linked synthetic patient without ordinary read consent.</w:t>
      </w:r>
    </w:p>
    <w:p>
      <w:pPr>
        <w:numPr>
          <w:ilvl w:val="0"/>
          <w:numId w:val="35"/>
        </w:numPr>
      </w:pPr>
      <w:r>
        <w:rPr>
          <w:rFonts w:ascii="Calibri" w:hAnsi="Calibri"/>
          <w:color w:val="222222"/>
          <w:sz w:val="21"/>
        </w:rPr>
        <w:t>As a doctor, enter reason/justification and request time-bounded access; expect audited read-only data.</w:t>
      </w:r>
    </w:p>
    <w:p>
      <w:pPr>
        <w:numPr>
          <w:ilvl w:val="0"/>
          <w:numId w:val="35"/>
        </w:numPr>
      </w:pPr>
      <w:r>
        <w:rPr>
          <w:rFonts w:ascii="Calibri" w:hAnsi="Calibri"/>
          <w:color w:val="222222"/>
          <w:sz w:val="21"/>
        </w:rPr>
        <w:t xml:space="preserve">Attempt as a user without </w:t>
      </w:r>
      <w:r>
        <w:rPr>
          <w:rFonts w:ascii="Menlo" w:hAnsi="Menlo"/>
          <w:color w:val="1F4D78"/>
          <w:sz w:val="17"/>
          <w:shd w:fill="F6F8FA"/>
        </w:rPr>
        <w:t>emergencyHieRead</w:t>
      </w:r>
      <w:r>
        <w:rPr>
          <w:rFonts w:ascii="Calibri" w:hAnsi="Calibri"/>
          <w:color w:val="222222"/>
          <w:sz w:val="21"/>
        </w:rPr>
        <w:t>; expect 403.</w:t>
      </w:r>
    </w:p>
    <w:p>
      <w:pPr>
        <w:numPr>
          <w:ilvl w:val="0"/>
          <w:numId w:val="35"/>
        </w:numPr>
      </w:pPr>
      <w:r>
        <w:rPr>
          <w:rFonts w:ascii="Calibri" w:hAnsi="Calibri"/>
          <w:color w:val="222222"/>
          <w:sz w:val="21"/>
        </w:rPr>
        <w:t>As clinic admin, review it as approved/concerned with a note; confirm operations pending-review count changes.</w:t>
      </w:r>
    </w:p>
    <w:p>
      <w:pPr>
        <w:numPr>
          <w:ilvl w:val="0"/>
          <w:numId w:val="35"/>
        </w:numPr>
      </w:pPr>
      <w:r>
        <w:rPr>
          <w:rFonts w:ascii="Calibri" w:hAnsi="Calibri"/>
          <w:color w:val="222222"/>
          <w:sz w:val="21"/>
        </w:rPr>
        <w:t>Confirm expired emergency access no longer authorizes retrieval and never authorizes writes.</w:t>
      </w:r>
    </w:p>
    <w:p>
      <w:pPr>
        <w:pStyle w:val="Heading3"/>
      </w:pPr>
      <w:r>
        <w:t>11.8 Test finalized clinical publication</w:t>
      </w:r>
    </w:p>
    <w:p>
      <w:pPr>
        <w:numPr>
          <w:ilvl w:val="0"/>
          <w:numId w:val="37"/>
        </w:numPr>
      </w:pPr>
      <w:r>
        <w:rPr>
          <w:rFonts w:ascii="Calibri" w:hAnsi="Calibri"/>
          <w:color w:val="222222"/>
          <w:sz w:val="21"/>
        </w:rPr>
        <w:t>Use a verified patient, synchronized consent, verified branch/doctor, and verified codes.</w:t>
      </w:r>
    </w:p>
    <w:p>
      <w:pPr>
        <w:numPr>
          <w:ilvl w:val="0"/>
          <w:numId w:val="37"/>
        </w:numPr>
      </w:pPr>
      <w:r>
        <w:rPr>
          <w:rFonts w:ascii="Calibri" w:hAnsi="Calibri"/>
          <w:color w:val="222222"/>
          <w:sz w:val="21"/>
        </w:rPr>
        <w:t>Complete triage with numeric vitals; create a coded diagnosis, lab request/result, structured prescription, dispense, procedure, ward observation/administration, and finalized visit as applicable.</w:t>
      </w:r>
    </w:p>
    <w:p>
      <w:pPr>
        <w:numPr>
          <w:ilvl w:val="0"/>
          <w:numId w:val="37"/>
        </w:numPr>
      </w:pPr>
      <w:r>
        <w:rPr>
          <w:rFonts w:ascii="Calibri" w:hAnsi="Calibri"/>
          <w:color w:val="222222"/>
          <w:sz w:val="21"/>
        </w:rPr>
        <w:t>Confirm local finalization succeeds and outbox order starts with Encounter (10), then dependent resources.</w:t>
      </w:r>
    </w:p>
    <w:p>
      <w:pPr>
        <w:numPr>
          <w:ilvl w:val="0"/>
          <w:numId w:val="37"/>
        </w:numPr>
      </w:pPr>
      <w:r>
        <w:rPr>
          <w:rFonts w:ascii="Calibri" w:hAnsi="Calibri"/>
          <w:color w:val="222222"/>
          <w:sz w:val="21"/>
        </w:rPr>
        <w:t xml:space="preserve">Run/wait for the worker and verify </w:t>
      </w:r>
      <w:r>
        <w:rPr>
          <w:rFonts w:ascii="Menlo" w:hAnsi="Menlo"/>
          <w:color w:val="1F4D78"/>
          <w:sz w:val="17"/>
          <w:shd w:fill="F6F8FA"/>
        </w:rPr>
        <w:t>SUCCEEDED</w:t>
      </w:r>
      <w:r>
        <w:rPr>
          <w:rFonts w:ascii="Calibri" w:hAnsi="Calibri"/>
          <w:color w:val="222222"/>
          <w:sz w:val="21"/>
        </w:rPr>
        <w:t xml:space="preserve">, </w:t>
      </w:r>
      <w:r>
        <w:rPr>
          <w:rFonts w:ascii="Menlo" w:hAnsi="Menlo"/>
          <w:color w:val="1F4D78"/>
          <w:sz w:val="17"/>
          <w:shd w:fill="F6F8FA"/>
        </w:rPr>
        <w:t>HieSyncAttempt</w:t>
      </w:r>
      <w:r>
        <w:rPr>
          <w:rFonts w:ascii="Calibri" w:hAnsi="Calibri"/>
          <w:color w:val="222222"/>
          <w:sz w:val="21"/>
        </w:rPr>
        <w:t xml:space="preserve">, and </w:t>
      </w:r>
      <w:r>
        <w:rPr>
          <w:rFonts w:ascii="Menlo" w:hAnsi="Menlo"/>
          <w:color w:val="1F4D78"/>
          <w:sz w:val="17"/>
          <w:shd w:fill="F6F8FA"/>
        </w:rPr>
        <w:t>HieResourceLink</w:t>
      </w:r>
      <w:r>
        <w:rPr>
          <w:rFonts w:ascii="Calibri" w:hAnsi="Calibri"/>
          <w:color w:val="222222"/>
          <w:sz w:val="21"/>
        </w:rPr>
        <w:t xml:space="preserve"> rows.</w:t>
      </w:r>
    </w:p>
    <w:p>
      <w:pPr>
        <w:numPr>
          <w:ilvl w:val="0"/>
          <w:numId w:val="37"/>
        </w:numPr>
      </w:pPr>
      <w:r>
        <w:rPr>
          <w:rFonts w:ascii="Calibri" w:hAnsi="Calibri"/>
          <w:color w:val="222222"/>
          <w:sz w:val="21"/>
        </w:rPr>
        <w:t>Trigger enqueue again; verify no duplicate business event/resource publication.</w:t>
      </w:r>
    </w:p>
    <w:p>
      <w:pPr>
        <w:numPr>
          <w:ilvl w:val="0"/>
          <w:numId w:val="37"/>
        </w:numPr>
      </w:pPr>
      <w:r>
        <w:rPr>
          <w:rFonts w:ascii="Calibri" w:hAnsi="Calibri"/>
          <w:color w:val="222222"/>
          <w:sz w:val="21"/>
        </w:rPr>
        <w:t>Remove the ICD-11 code or set terminology to draft; confirm Condition is blocked and free text is not sent.</w:t>
      </w:r>
    </w:p>
    <w:p>
      <w:pPr>
        <w:numPr>
          <w:ilvl w:val="0"/>
          <w:numId w:val="37"/>
        </w:numPr>
      </w:pPr>
      <w:r>
        <w:rPr>
          <w:rFonts w:ascii="Calibri" w:hAnsi="Calibri"/>
          <w:color w:val="222222"/>
          <w:sz w:val="21"/>
        </w:rPr>
        <w:t>Remove structured medication route/dose/frequency/duration/method or Coverage; confirm the specific actionable dependency reason.</w:t>
      </w:r>
    </w:p>
    <w:p>
      <w:pPr>
        <w:numPr>
          <w:ilvl w:val="0"/>
          <w:numId w:val="37"/>
        </w:numPr>
      </w:pPr>
      <w:r>
        <w:rPr>
          <w:rFonts w:ascii="Calibri" w:hAnsi="Calibri"/>
          <w:color w:val="222222"/>
          <w:sz w:val="21"/>
        </w:rPr>
        <w:t>Simulate 429/5xx/network failure. GETs may retry in-client; POSTs must make one transport attempt and move through durable retry intervals of 1 minute, 5 minutes, 30 minutes, 2 hours, 12 hours, then daily, dead-lettering after eight failures.</w:t>
      </w:r>
    </w:p>
    <w:p>
      <w:pPr>
        <w:numPr>
          <w:ilvl w:val="0"/>
          <w:numId w:val="37"/>
        </w:numPr>
      </w:pPr>
      <w:r>
        <w:rPr>
          <w:rFonts w:ascii="Calibri" w:hAnsi="Calibri"/>
          <w:color w:val="222222"/>
          <w:sz w:val="21"/>
        </w:rPr>
        <w:t>Simulate a missing Encounter enqueue, wait past five minutes, and confirm the recovery scan recreates it.</w:t>
      </w:r>
    </w:p>
    <w:p>
      <w:pPr>
        <w:pStyle w:val="Heading3"/>
      </w:pPr>
      <w:r>
        <w:t>11.9 Test structured clinical records and imaging</w:t>
      </w:r>
    </w:p>
    <w:p>
      <w:pPr>
        <w:numPr>
          <w:ilvl w:val="0"/>
          <w:numId w:val="39"/>
        </w:numPr>
      </w:pPr>
      <w:r>
        <w:rPr>
          <w:rFonts w:ascii="Calibri" w:hAnsi="Calibri"/>
          <w:color w:val="222222"/>
          <w:sz w:val="21"/>
        </w:rPr>
        <w:t>From the patient chart create a draft consultation observation, allergy, immunization, imaging order, and study using verified concepts.</w:t>
      </w:r>
    </w:p>
    <w:p>
      <w:pPr>
        <w:numPr>
          <w:ilvl w:val="0"/>
          <w:numId w:val="39"/>
        </w:numPr>
      </w:pPr>
      <w:r>
        <w:rPr>
          <w:rFonts w:ascii="Calibri" w:hAnsi="Calibri"/>
          <w:color w:val="222222"/>
          <w:sz w:val="21"/>
        </w:rPr>
        <w:t>Confirm drafts do not publish.</w:t>
      </w:r>
    </w:p>
    <w:p>
      <w:pPr>
        <w:numPr>
          <w:ilvl w:val="0"/>
          <w:numId w:val="39"/>
        </w:numPr>
      </w:pPr>
      <w:r>
        <w:rPr>
          <w:rFonts w:ascii="Calibri" w:hAnsi="Calibri"/>
          <w:color w:val="222222"/>
          <w:sz w:val="21"/>
        </w:rPr>
        <w:t>Finalize each and verify capability-specific outbox resources and audit events.</w:t>
      </w:r>
    </w:p>
    <w:p>
      <w:pPr>
        <w:numPr>
          <w:ilvl w:val="0"/>
          <w:numId w:val="39"/>
        </w:numPr>
      </w:pPr>
      <w:r>
        <w:rPr>
          <w:rFonts w:ascii="Calibri" w:hAnsi="Calibri"/>
          <w:color w:val="222222"/>
          <w:sz w:val="21"/>
        </w:rPr>
        <w:t>Try an unverified/inactive concept; expect rejection/blocking.</w:t>
      </w:r>
    </w:p>
    <w:p>
      <w:pPr>
        <w:numPr>
          <w:ilvl w:val="0"/>
          <w:numId w:val="39"/>
        </w:numPr>
      </w:pPr>
      <w:r>
        <w:rPr>
          <w:rFonts w:ascii="Calibri" w:hAnsi="Calibri"/>
          <w:color w:val="222222"/>
          <w:sz w:val="21"/>
        </w:rPr>
        <w:t xml:space="preserve">Correct an allergy/immunization; verify original </w:t>
      </w:r>
      <w:r>
        <w:rPr>
          <w:rFonts w:ascii="Menlo" w:hAnsi="Menlo"/>
          <w:color w:val="1F4D78"/>
          <w:sz w:val="17"/>
          <w:shd w:fill="F6F8FA"/>
        </w:rPr>
        <w:t>CORRECTED</w:t>
      </w:r>
      <w:r>
        <w:rPr>
          <w:rFonts w:ascii="Calibri" w:hAnsi="Calibri"/>
          <w:color w:val="222222"/>
          <w:sz w:val="21"/>
        </w:rPr>
        <w:t>, replacement record, and explicit publication semantics.</w:t>
      </w:r>
    </w:p>
    <w:p>
      <w:pPr>
        <w:numPr>
          <w:ilvl w:val="0"/>
          <w:numId w:val="39"/>
        </w:numPr>
      </w:pPr>
      <w:r>
        <w:rPr>
          <w:rFonts w:ascii="Calibri" w:hAnsi="Calibri"/>
          <w:color w:val="222222"/>
          <w:sz w:val="21"/>
        </w:rPr>
        <w:t>Enter invalid/missing DICOM UID, modality, date, series, or instance metadata; expect validation failure.</w:t>
      </w:r>
    </w:p>
    <w:p>
      <w:pPr>
        <w:numPr>
          <w:ilvl w:val="0"/>
          <w:numId w:val="39"/>
        </w:numPr>
      </w:pPr>
      <w:r>
        <w:rPr>
          <w:rFonts w:ascii="Calibri" w:hAnsi="Calibri"/>
          <w:color w:val="222222"/>
          <w:sz w:val="21"/>
        </w:rPr>
        <w:t>Confirm no DICOM binary is stored or transmitted.</w:t>
      </w:r>
    </w:p>
    <w:p>
      <w:pPr>
        <w:pStyle w:val="Heading3"/>
      </w:pPr>
      <w:r>
        <w:t>11.10 Test discharge and transfer</w:t>
      </w:r>
    </w:p>
    <w:p>
      <w:pPr>
        <w:numPr>
          <w:ilvl w:val="0"/>
          <w:numId w:val="41"/>
        </w:numPr>
      </w:pPr>
      <w:r>
        <w:rPr>
          <w:rFonts w:ascii="Calibri" w:hAnsi="Calibri"/>
          <w:color w:val="222222"/>
          <w:sz w:val="21"/>
        </w:rPr>
        <w:t>Discharge an inpatient synthetic visit with a discharge summary. Confirm local discharge commits and Discharge IPS is queued after the Encounter dependency.</w:t>
      </w:r>
    </w:p>
    <w:p>
      <w:pPr>
        <w:numPr>
          <w:ilvl w:val="0"/>
          <w:numId w:val="41"/>
        </w:numPr>
      </w:pPr>
      <w:r>
        <w:rPr>
          <w:rFonts w:ascii="Calibri" w:hAnsi="Calibri"/>
          <w:color w:val="222222"/>
          <w:sz w:val="21"/>
        </w:rPr>
        <w:t>As doctor, create a transfer from a finalized visit to a verified, different destination.</w:t>
      </w:r>
    </w:p>
    <w:p>
      <w:pPr>
        <w:numPr>
          <w:ilvl w:val="0"/>
          <w:numId w:val="41"/>
        </w:numPr>
      </w:pPr>
      <w:r>
        <w:rPr>
          <w:rFonts w:ascii="Calibri" w:hAnsi="Calibri"/>
          <w:color w:val="222222"/>
          <w:sz w:val="21"/>
        </w:rPr>
        <w:t>Attempt with non-doctor, unfinalized visit, unverified source/destination, or same source/destination; expect the documented errors.</w:t>
      </w:r>
    </w:p>
    <w:p>
      <w:pPr>
        <w:numPr>
          <w:ilvl w:val="0"/>
          <w:numId w:val="41"/>
        </w:numPr>
      </w:pPr>
      <w:r>
        <w:rPr>
          <w:rFonts w:ascii="Calibri" w:hAnsi="Calibri"/>
          <w:color w:val="222222"/>
          <w:sz w:val="21"/>
        </w:rPr>
        <w:t>Queue the transfer twice concurrently; one caller should claim it and only one pair of events should exist.</w:t>
      </w:r>
    </w:p>
    <w:p>
      <w:pPr>
        <w:numPr>
          <w:ilvl w:val="0"/>
          <w:numId w:val="41"/>
        </w:numPr>
      </w:pPr>
      <w:r>
        <w:rPr>
          <w:rFonts w:ascii="Calibri" w:hAnsi="Calibri"/>
          <w:color w:val="222222"/>
          <w:sz w:val="21"/>
        </w:rPr>
        <w:t>Confirm Transfer Encounter and Transfer IPS are separate and idempotent.</w:t>
      </w:r>
    </w:p>
    <w:p>
      <w:pPr>
        <w:numPr>
          <w:ilvl w:val="0"/>
          <w:numId w:val="41"/>
        </w:numPr>
      </w:pPr>
      <w:r>
        <w:rPr>
          <w:rFonts w:ascii="Calibri" w:hAnsi="Calibri"/>
          <w:color w:val="222222"/>
          <w:sz w:val="21"/>
        </w:rPr>
        <w:t>Cancel a draft/queued transfer; confirm pending events block. Attempt cancellation while processing; expect conflict.</w:t>
      </w:r>
    </w:p>
    <w:p>
      <w:pPr>
        <w:numPr>
          <w:ilvl w:val="0"/>
          <w:numId w:val="41"/>
        </w:numPr>
      </w:pPr>
      <w:r>
        <w:rPr>
          <w:rFonts w:ascii="Calibri" w:hAnsi="Calibri"/>
          <w:color w:val="222222"/>
          <w:sz w:val="21"/>
        </w:rPr>
        <w:t xml:space="preserve">Refresh inbound transfers for the patient; only </w:t>
      </w:r>
      <w:r>
        <w:rPr>
          <w:rFonts w:ascii="Menlo" w:hAnsi="Menlo"/>
          <w:color w:val="1F4D78"/>
          <w:sz w:val="17"/>
          <w:shd w:fill="F6F8FA"/>
        </w:rPr>
        <w:t>TRANSFER_ENCOUNTER</w:t>
      </w:r>
      <w:r>
        <w:rPr>
          <w:rFonts w:ascii="Calibri" w:hAnsi="Calibri"/>
          <w:color w:val="222222"/>
          <w:sz w:val="21"/>
        </w:rPr>
        <w:t xml:space="preserve"> resources should import. Move one through reviewed/acknowledged/completed and confirm these are local states.</w:t>
      </w:r>
    </w:p>
    <w:p>
      <w:pPr>
        <w:pStyle w:val="Heading3"/>
      </w:pPr>
      <w:r>
        <w:t>11.11 Test operations and tenant isolation</w:t>
      </w:r>
    </w:p>
    <w:p>
      <w:pPr>
        <w:numPr>
          <w:ilvl w:val="0"/>
          <w:numId w:val="43"/>
        </w:numPr>
      </w:pPr>
      <w:r>
        <w:rPr>
          <w:rFonts w:ascii="Calibri" w:hAnsi="Calibri"/>
          <w:color w:val="222222"/>
          <w:sz w:val="21"/>
        </w:rPr>
        <w:t>Create success, retry, blocked, stale, and dead-letter data for two clinics.</w:t>
      </w:r>
    </w:p>
    <w:p>
      <w:pPr>
        <w:numPr>
          <w:ilvl w:val="0"/>
          <w:numId w:val="43"/>
        </w:numPr>
      </w:pPr>
      <w:r>
        <w:rPr>
          <w:rFonts w:ascii="Calibri" w:hAnsi="Calibri"/>
          <w:color w:val="222222"/>
          <w:sz w:val="21"/>
        </w:rPr>
        <w:t>As clinic A, confirm status/outbox/metrics/audit/identity/transfer/governance results never include clinic B.</w:t>
      </w:r>
    </w:p>
    <w:p>
      <w:pPr>
        <w:numPr>
          <w:ilvl w:val="0"/>
          <w:numId w:val="43"/>
        </w:numPr>
      </w:pPr>
      <w:r>
        <w:rPr>
          <w:rFonts w:ascii="Calibri" w:hAnsi="Calibri"/>
          <w:color w:val="222222"/>
          <w:sz w:val="21"/>
        </w:rPr>
        <w:t>Retry an allowed failed event and confirm status/lock/next-attempt reset.</w:t>
      </w:r>
    </w:p>
    <w:p>
      <w:pPr>
        <w:numPr>
          <w:ilvl w:val="0"/>
          <w:numId w:val="43"/>
        </w:numPr>
      </w:pPr>
      <w:r>
        <w:rPr>
          <w:rFonts w:ascii="Calibri" w:hAnsi="Calibri"/>
          <w:color w:val="222222"/>
          <w:sz w:val="21"/>
        </w:rPr>
        <w:t>Confirm a disallowed role receives 403 for processing, consent, transfer, emergency, allergy, immunization, and imaging mutations as applicable.</w:t>
      </w:r>
    </w:p>
    <w:p>
      <w:pPr>
        <w:numPr>
          <w:ilvl w:val="0"/>
          <w:numId w:val="43"/>
        </w:numPr>
      </w:pPr>
      <w:r>
        <w:rPr>
          <w:rFonts w:ascii="Calibri" w:hAnsi="Calibri"/>
          <w:color w:val="222222"/>
          <w:sz w:val="21"/>
        </w:rPr>
        <w:t>Verify alert logs contain only redacted code/count/severity and no identifiers or payload.</w:t>
      </w:r>
    </w:p>
    <w:p>
      <w:pPr>
        <w:pStyle w:val="Heading3"/>
      </w:pPr>
      <w:r>
        <w:t>11.12 Automated verification recorded for this snapshot</w:t>
      </w:r>
    </w:p>
    <w:p>
      <w:r>
        <w:rPr>
          <w:rFonts w:ascii="Calibri" w:hAnsi="Calibri"/>
          <w:color w:val="222222"/>
          <w:sz w:val="21"/>
        </w:rPr>
        <w:t>The following command passed on 2026-08-12:</w:t>
      </w:r>
    </w:p>
    <w:p>
      <w:pPr>
        <w:spacing w:before="60" w:after="140" w:line="252" w:lineRule="auto"/>
        <w:ind w:left="259" w:right="173"/>
        <w:shd w:fill="F6F8FA"/>
      </w:pPr>
      <w:r>
        <w:rPr>
          <w:rFonts w:ascii="Menlo" w:hAnsi="Menlo"/>
          <w:color w:val="1F2937"/>
          <w:sz w:val="15"/>
        </w:rPr>
        <w:t>cd eclinic-backend</w:t>
        <w:br/>
        <w:t>bun test src/services/hie/__tests__ src/api/v1/hie/__tests__</w:t>
      </w:r>
    </w:p>
    <w:p>
      <w:r>
        <w:rPr>
          <w:rFonts w:ascii="Calibri" w:hAnsi="Calibri"/>
          <w:color w:val="222222"/>
          <w:sz w:val="21"/>
        </w:rPr>
        <w:t xml:space="preserve">Result: </w:t>
      </w:r>
      <w:r>
        <w:rPr>
          <w:rFonts w:ascii="Calibri" w:hAnsi="Calibri"/>
          <w:b/>
          <w:color w:val="222222"/>
          <w:sz w:val="21"/>
        </w:rPr>
        <w:t>97 passed, 0 failed, 207 assertions, 9 files</w:t>
      </w:r>
      <w:r>
        <w:rPr>
          <w:rFonts w:ascii="Calibri" w:hAnsi="Calibri"/>
          <w:color w:val="222222"/>
          <w:sz w:val="21"/>
        </w:rPr>
        <w:t>.</w:t>
      </w:r>
    </w:p>
    <w:p>
      <w:r>
        <w:rPr>
          <w:rFonts w:ascii="Calibri" w:hAnsi="Calibri"/>
          <w:color w:val="222222"/>
          <w:sz w:val="21"/>
        </w:rPr>
        <w:t>Frontend validation also passed:</w:t>
      </w:r>
    </w:p>
    <w:p>
      <w:pPr>
        <w:spacing w:before="60" w:after="140" w:line="252" w:lineRule="auto"/>
        <w:ind w:left="259" w:right="173"/>
        <w:shd w:fill="F6F8FA"/>
      </w:pPr>
      <w:r>
        <w:rPr>
          <w:rFonts w:ascii="Menlo" w:hAnsi="Menlo"/>
          <w:color w:val="1F2937"/>
          <w:sz w:val="15"/>
        </w:rPr>
        <w:t>cd eclinic-frontend</w:t>
        <w:br/>
        <w:t>npm run typecheck</w:t>
      </w:r>
    </w:p>
    <w:p>
      <w:r>
        <w:rPr>
          <w:rFonts w:ascii="Calibri" w:hAnsi="Calibri"/>
          <w:color w:val="222222"/>
          <w:sz w:val="21"/>
        </w:rPr>
        <w:t xml:space="preserve">Backend </w:t>
      </w:r>
      <w:r>
        <w:rPr>
          <w:rFonts w:ascii="Menlo" w:hAnsi="Menlo"/>
          <w:color w:val="1F4D78"/>
          <w:sz w:val="17"/>
          <w:shd w:fill="F6F8FA"/>
        </w:rPr>
        <w:t>bun run typecheck</w:t>
      </w:r>
      <w:r>
        <w:rPr>
          <w:rFonts w:ascii="Calibri" w:hAnsi="Calibri"/>
          <w:color w:val="222222"/>
          <w:sz w:val="21"/>
        </w:rPr>
        <w:t xml:space="preserve"> and </w:t>
      </w:r>
      <w:r>
        <w:rPr>
          <w:rFonts w:ascii="Menlo" w:hAnsi="Menlo"/>
          <w:color w:val="1F4D78"/>
          <w:sz w:val="17"/>
          <w:shd w:fill="F6F8FA"/>
        </w:rPr>
        <w:t>bun run typecheck:test</w:t>
      </w:r>
      <w:r>
        <w:rPr>
          <w:rFonts w:ascii="Calibri" w:hAnsi="Calibri"/>
          <w:color w:val="222222"/>
          <w:sz w:val="21"/>
        </w:rPr>
        <w:t xml:space="preserve"> did not report source diagnostics; both eventually crashed TypeScript 5.9.2 under Node 20.10.0 with </w:t>
      </w:r>
      <w:r>
        <w:rPr>
          <w:rFonts w:ascii="Menlo" w:hAnsi="Menlo"/>
          <w:color w:val="1F4D78"/>
          <w:sz w:val="17"/>
          <w:shd w:fill="F6F8FA"/>
        </w:rPr>
        <w:t>RangeError: Map maximum size exceeded</w:t>
      </w:r>
      <w:r>
        <w:rPr>
          <w:rFonts w:ascii="Calibri" w:hAnsi="Calibri"/>
          <w:color w:val="222222"/>
          <w:sz w:val="21"/>
        </w:rPr>
        <w:t xml:space="preserve"> in </w:t>
      </w:r>
      <w:r>
        <w:rPr>
          <w:rFonts w:ascii="Menlo" w:hAnsi="Menlo"/>
          <w:color w:val="1F4D78"/>
          <w:sz w:val="17"/>
          <w:shd w:fill="F6F8FA"/>
        </w:rPr>
        <w:t>checkTypeRelatedTo</w:t>
      </w:r>
      <w:r>
        <w:rPr>
          <w:rFonts w:ascii="Calibri" w:hAnsi="Calibri"/>
          <w:color w:val="222222"/>
          <w:sz w:val="21"/>
        </w:rPr>
        <w:t>. Treat backend typechecking as an unresolved tooling/aggregate-type-complexity issue. Reproduce under the deployment-supported Node runtime, isolate large Hono/Prisma inferred types, and add a reliable CI typecheck before production approval.</w:t>
      </w:r>
    </w:p>
    <w:p>
      <w:pPr>
        <w:pStyle w:val="Heading2"/>
      </w:pPr>
      <w:r>
        <w:t>12. Edge cases, limitations, and follow-up work</w:t>
      </w:r>
    </w:p>
    <w:p>
      <w:pPr>
        <w:pStyle w:val="Heading3"/>
      </w:pPr>
      <w:r>
        <w:t>12.1 Intentional functional boundaries</w:t>
      </w:r>
    </w:p>
    <w:p>
      <w:pPr>
        <w:numPr>
          <w:ilvl w:val="0"/>
          <w:numId w:val="10"/>
        </w:numPr>
      </w:pPr>
      <w:r>
        <w:rPr>
          <w:rFonts w:ascii="Calibri" w:hAnsi="Calibri"/>
          <w:color w:val="222222"/>
          <w:sz w:val="21"/>
        </w:rPr>
        <w:t xml:space="preserve">National </w:t>
      </w:r>
      <w:r>
        <w:rPr>
          <w:rFonts w:ascii="Menlo" w:hAnsi="Menlo"/>
          <w:color w:val="1F4D78"/>
          <w:sz w:val="17"/>
          <w:shd w:fill="F6F8FA"/>
        </w:rPr>
        <w:t>POST /Patient</w:t>
      </w:r>
      <w:r>
        <w:rPr>
          <w:rFonts w:ascii="Calibri" w:hAnsi="Calibri"/>
          <w:color w:val="222222"/>
          <w:sz w:val="21"/>
        </w:rPr>
        <w:t xml:space="preserve"> is externally blocked until MoH defines UPID allocation and duplicate resolution.</w:t>
      </w:r>
    </w:p>
    <w:p>
      <w:pPr>
        <w:numPr>
          <w:ilvl w:val="0"/>
          <w:numId w:val="10"/>
        </w:numPr>
      </w:pPr>
      <w:r>
        <w:rPr>
          <w:rFonts w:ascii="Calibri" w:hAnsi="Calibri"/>
          <w:color w:val="222222"/>
          <w:sz w:val="21"/>
        </w:rPr>
        <w:t xml:space="preserve">Non-FHIR NIDA </w:t>
      </w:r>
      <w:r>
        <w:rPr>
          <w:rFonts w:ascii="Menlo" w:hAnsi="Menlo"/>
          <w:color w:val="1F4D78"/>
          <w:sz w:val="17"/>
          <w:shd w:fill="F6F8FA"/>
        </w:rPr>
        <w:t>getCitizen</w:t>
      </w:r>
      <w:r>
        <w:rPr>
          <w:rFonts w:ascii="Calibri" w:hAnsi="Calibri"/>
          <w:color w:val="222222"/>
          <w:sz w:val="21"/>
        </w:rPr>
        <w:t xml:space="preserve"> operations are not used.</w:t>
      </w:r>
    </w:p>
    <w:p>
      <w:pPr>
        <w:numPr>
          <w:ilvl w:val="0"/>
          <w:numId w:val="10"/>
        </w:numPr>
      </w:pPr>
      <w:r>
        <w:rPr>
          <w:rFonts w:ascii="Calibri" w:hAnsi="Calibri"/>
          <w:color w:val="222222"/>
          <w:sz w:val="21"/>
        </w:rPr>
        <w:t>External demographics never silently overwrite local demographics and identities never auto-merge.</w:t>
      </w:r>
    </w:p>
    <w:p>
      <w:pPr>
        <w:numPr>
          <w:ilvl w:val="0"/>
          <w:numId w:val="10"/>
        </w:numPr>
      </w:pPr>
      <w:r>
        <w:rPr>
          <w:rFonts w:ascii="Calibri" w:hAnsi="Calibri"/>
          <w:color w:val="222222"/>
          <w:sz w:val="21"/>
        </w:rPr>
        <w:t>National data is read-only provenance unless a clinician records a reconciliation decision; even acceptance does not create local clinical/billing data.</w:t>
      </w:r>
    </w:p>
    <w:p>
      <w:pPr>
        <w:numPr>
          <w:ilvl w:val="0"/>
          <w:numId w:val="10"/>
        </w:numPr>
      </w:pPr>
      <w:r>
        <w:rPr>
          <w:rFonts w:ascii="Calibri" w:hAnsi="Calibri"/>
          <w:color w:val="222222"/>
          <w:sz w:val="21"/>
        </w:rPr>
        <w:t>Transfer acknowledgement is local because the pinned Swagger provides no remote acknowledgement mutation.</w:t>
      </w:r>
    </w:p>
    <w:p>
      <w:pPr>
        <w:numPr>
          <w:ilvl w:val="0"/>
          <w:numId w:val="10"/>
        </w:numPr>
      </w:pPr>
      <w:r>
        <w:rPr>
          <w:rFonts w:ascii="Calibri" w:hAnsi="Calibri"/>
          <w:color w:val="222222"/>
          <w:sz w:val="21"/>
        </w:rPr>
        <w:t>Imaging is metadata-only; PACS/DICOM storage and binary exchange are out of scope.</w:t>
      </w:r>
    </w:p>
    <w:p>
      <w:pPr>
        <w:numPr>
          <w:ilvl w:val="0"/>
          <w:numId w:val="10"/>
        </w:numPr>
      </w:pPr>
      <w:r>
        <w:rPr>
          <w:rFonts w:ascii="Calibri" w:hAnsi="Calibri"/>
          <w:color w:val="222222"/>
          <w:sz w:val="21"/>
        </w:rPr>
        <w:t>General delete/correction of published clinical resources remains gated to explicit audited workflows and MoH-approved semantics.</w:t>
      </w:r>
    </w:p>
    <w:p>
      <w:pPr>
        <w:pStyle w:val="Heading3"/>
      </w:pPr>
      <w:r>
        <w:t>12.2 Operational and technical limitations</w:t>
      </w:r>
    </w:p>
    <w:p>
      <w:pPr>
        <w:numPr>
          <w:ilvl w:val="0"/>
          <w:numId w:val="10"/>
        </w:numPr>
      </w:pPr>
      <w:r>
        <w:rPr>
          <w:rFonts w:ascii="Calibri" w:hAnsi="Calibri"/>
          <w:color w:val="222222"/>
          <w:sz w:val="21"/>
        </w:rPr>
        <w:t>Production endpoints, identifier systems/profiles, auth, rate limits, error/idempotency behavior, FOSA/Practitioner/Coverage verification sources, consent policy, and UPID workflow still require authoritative MoH confirmation.</w:t>
      </w:r>
    </w:p>
    <w:p>
      <w:pPr>
        <w:numPr>
          <w:ilvl w:val="0"/>
          <w:numId w:val="10"/>
        </w:numPr>
      </w:pPr>
      <w:r>
        <w:rPr>
          <w:rFonts w:ascii="Calibri" w:hAnsi="Calibri"/>
          <w:color w:val="222222"/>
          <w:sz w:val="21"/>
        </w:rPr>
        <w:t>The test server value embedded in Swagger is intentionally not trusted; deployment URLs are explicit environment configuration.</w:t>
      </w:r>
    </w:p>
    <w:p>
      <w:pPr>
        <w:numPr>
          <w:ilvl w:val="0"/>
          <w:numId w:val="10"/>
        </w:numPr>
      </w:pPr>
      <w:r>
        <w:rPr>
          <w:rFonts w:ascii="Calibri" w:hAnsi="Calibri"/>
          <w:color w:val="222222"/>
          <w:sz w:val="21"/>
        </w:rPr>
        <w:t>The circuit breaker is in process, not shared across replicas.</w:t>
      </w:r>
    </w:p>
    <w:p>
      <w:pPr>
        <w:numPr>
          <w:ilvl w:val="0"/>
          <w:numId w:val="10"/>
        </w:numPr>
      </w:pPr>
      <w:r>
        <w:rPr>
          <w:rFonts w:ascii="Calibri" w:hAnsi="Calibri"/>
          <w:color w:val="222222"/>
          <w:sz w:val="21"/>
        </w:rPr>
        <w:t>Scheduler execution is embedded in the API process. Confirm multi-replica worker ownership/claim behavior or move jobs to a dedicated worker.</w:t>
      </w:r>
    </w:p>
    <w:p>
      <w:pPr>
        <w:numPr>
          <w:ilvl w:val="0"/>
          <w:numId w:val="10"/>
        </w:numPr>
      </w:pPr>
      <w:r>
        <w:rPr>
          <w:rFonts w:ascii="Calibri" w:hAnsi="Calibri"/>
          <w:color w:val="222222"/>
          <w:sz w:val="21"/>
        </w:rPr>
        <w:t>The response limit is fixed at 2 MiB; a larger legitimate Bundle is rejected rather than paginated. Confirm RHIE paging requirements.</w:t>
      </w:r>
    </w:p>
    <w:p>
      <w:pPr>
        <w:numPr>
          <w:ilvl w:val="0"/>
          <w:numId w:val="10"/>
        </w:numPr>
      </w:pPr>
      <w:r>
        <w:rPr>
          <w:rFonts w:ascii="Calibri" w:hAnsi="Calibri"/>
          <w:color w:val="222222"/>
          <w:sz w:val="21"/>
        </w:rPr>
        <w:t>National section retrieval uses up to four concurrent requests and currently depends on the pinned list operations; validate external rate-limit compatibility.</w:t>
      </w:r>
    </w:p>
    <w:p>
      <w:pPr>
        <w:numPr>
          <w:ilvl w:val="0"/>
          <w:numId w:val="10"/>
        </w:numPr>
      </w:pPr>
      <w:r>
        <w:rPr>
          <w:rFonts w:ascii="Calibri" w:hAnsi="Calibri"/>
          <w:color w:val="222222"/>
          <w:sz w:val="21"/>
        </w:rPr>
        <w:t>HIE encryption has a versioned envelope but no implemented online key-rotation/re-encryption procedure. Define and rehearse one before rotation.</w:t>
      </w:r>
    </w:p>
    <w:p>
      <w:pPr>
        <w:numPr>
          <w:ilvl w:val="0"/>
          <w:numId w:val="10"/>
        </w:numPr>
      </w:pPr>
      <w:r>
        <w:rPr>
          <w:rFonts w:ascii="Calibri" w:hAnsi="Calibri"/>
          <w:color w:val="222222"/>
          <w:sz w:val="21"/>
        </w:rPr>
        <w:t>Changing the identifier HMAC key breaks indexed equality. Back it up separately and define disaster recovery.</w:t>
      </w:r>
    </w:p>
    <w:p>
      <w:pPr>
        <w:numPr>
          <w:ilvl w:val="0"/>
          <w:numId w:val="10"/>
        </w:numPr>
      </w:pPr>
      <w:r>
        <w:rPr>
          <w:rFonts w:ascii="Calibri" w:hAnsi="Calibri"/>
          <w:color w:val="222222"/>
          <w:sz w:val="21"/>
        </w:rPr>
        <w:t>Mapping verification can be manually attested. Production should use authoritative registry contracts, review expiry, and separation of duties.</w:t>
      </w:r>
    </w:p>
    <w:p>
      <w:pPr>
        <w:numPr>
          <w:ilvl w:val="0"/>
          <w:numId w:val="10"/>
        </w:numPr>
      </w:pPr>
      <w:r>
        <w:rPr>
          <w:rFonts w:ascii="Calibri" w:hAnsi="Calibri"/>
          <w:color w:val="222222"/>
          <w:sz w:val="21"/>
        </w:rPr>
        <w:t>Backend aggregate typecheck currently exhausts the TypeScript relation cache; fix/contain this and enforce in CI.</w:t>
      </w:r>
    </w:p>
    <w:p>
      <w:pPr>
        <w:numPr>
          <w:ilvl w:val="0"/>
          <w:numId w:val="10"/>
        </w:numPr>
      </w:pPr>
      <w:r>
        <w:rPr>
          <w:rFonts w:ascii="Calibri" w:hAnsi="Calibri"/>
          <w:color w:val="222222"/>
          <w:sz w:val="21"/>
        </w:rPr>
        <w:t>Frontend HIE work is uncommitted at this snapshot and could be lost or omitted from deployment.</w:t>
      </w:r>
    </w:p>
    <w:p>
      <w:pPr>
        <w:pStyle w:val="Heading3"/>
      </w:pPr>
      <w:r>
        <w:t>12.3 Production readiness work</w:t>
      </w:r>
    </w:p>
    <w:p>
      <w:r>
        <w:rPr>
          <w:rFonts w:ascii="Calibri" w:hAnsi="Calibri"/>
          <w:color w:val="222222"/>
          <w:sz w:val="21"/>
        </w:rPr>
        <w:t>Before enabling real patients:</w:t>
      </w:r>
    </w:p>
    <w:p>
      <w:pPr>
        <w:numPr>
          <w:ilvl w:val="0"/>
          <w:numId w:val="45"/>
        </w:numPr>
      </w:pPr>
      <w:r>
        <w:rPr>
          <w:rFonts w:ascii="Calibri" w:hAnsi="Calibri"/>
          <w:color w:val="222222"/>
          <w:sz w:val="21"/>
        </w:rPr>
        <w:t>Obtain MoH approval/confirmation for production endpoints, profiles, identifier systems, credentials, consent, rate limits, error/idempotency semantics, UPID, facility/practitioner registries, paging, and correction/delete rules.</w:t>
      </w:r>
    </w:p>
    <w:p>
      <w:pPr>
        <w:numPr>
          <w:ilvl w:val="0"/>
          <w:numId w:val="45"/>
        </w:numPr>
      </w:pPr>
      <w:r>
        <w:rPr>
          <w:rFonts w:ascii="Calibri" w:hAnsi="Calibri"/>
          <w:color w:val="222222"/>
          <w:sz w:val="21"/>
        </w:rPr>
        <w:t>Complete DPIA/privacy review, data-retention rules, incident response, breach notification, access review, and break-glass review ownership.</w:t>
      </w:r>
    </w:p>
    <w:p>
      <w:pPr>
        <w:numPr>
          <w:ilvl w:val="0"/>
          <w:numId w:val="45"/>
        </w:numPr>
      </w:pPr>
      <w:r>
        <w:rPr>
          <w:rFonts w:ascii="Calibri" w:hAnsi="Calibri"/>
          <w:color w:val="222222"/>
          <w:sz w:val="21"/>
        </w:rPr>
        <w:t>Provision secrets in a secret manager; establish credential/encryption rotation and recovery procedures.</w:t>
      </w:r>
    </w:p>
    <w:p>
      <w:pPr>
        <w:numPr>
          <w:ilvl w:val="0"/>
          <w:numId w:val="45"/>
        </w:numPr>
      </w:pPr>
      <w:r>
        <w:rPr>
          <w:rFonts w:ascii="Calibri" w:hAnsi="Calibri"/>
          <w:color w:val="222222"/>
          <w:sz w:val="21"/>
        </w:rPr>
        <w:t>Use TLS or an approved secure tunnel; never production-enable the HTTP test override.</w:t>
      </w:r>
    </w:p>
    <w:p>
      <w:pPr>
        <w:numPr>
          <w:ilvl w:val="0"/>
          <w:numId w:val="45"/>
        </w:numPr>
      </w:pPr>
      <w:r>
        <w:rPr>
          <w:rFonts w:ascii="Calibri" w:hAnsi="Calibri"/>
          <w:color w:val="222222"/>
          <w:sz w:val="21"/>
        </w:rPr>
        <w:t>Resolve backend typecheck reliability and add frontend/backend HIE tests to CI.</w:t>
      </w:r>
    </w:p>
    <w:p>
      <w:pPr>
        <w:numPr>
          <w:ilvl w:val="0"/>
          <w:numId w:val="45"/>
        </w:numPr>
      </w:pPr>
      <w:r>
        <w:rPr>
          <w:rFonts w:ascii="Calibri" w:hAnsi="Calibri"/>
          <w:color w:val="222222"/>
          <w:sz w:val="21"/>
        </w:rPr>
        <w:t>Commit the frontend implementation and verify the exact deployment commit pair.</w:t>
      </w:r>
    </w:p>
    <w:p>
      <w:pPr>
        <w:numPr>
          <w:ilvl w:val="0"/>
          <w:numId w:val="45"/>
        </w:numPr>
      </w:pPr>
      <w:r>
        <w:rPr>
          <w:rFonts w:ascii="Calibri" w:hAnsi="Calibri"/>
          <w:color w:val="222222"/>
          <w:sz w:val="21"/>
        </w:rPr>
        <w:t>Load/concurrency-test outbox claiming, worker recovery, circuit behavior, national record reads, and multi-tenant isolation.</w:t>
      </w:r>
    </w:p>
    <w:p>
      <w:pPr>
        <w:numPr>
          <w:ilvl w:val="0"/>
          <w:numId w:val="45"/>
        </w:numPr>
      </w:pPr>
      <w:r>
        <w:rPr>
          <w:rFonts w:ascii="Calibri" w:hAnsi="Calibri"/>
          <w:color w:val="222222"/>
          <w:sz w:val="21"/>
        </w:rPr>
        <w:t>Establish dashboards/alert delivery/SLOs and an on-call runbook; current monitoring primarily logs redacted alerts.</w:t>
      </w:r>
    </w:p>
    <w:p>
      <w:pPr>
        <w:numPr>
          <w:ilvl w:val="0"/>
          <w:numId w:val="45"/>
        </w:numPr>
      </w:pPr>
      <w:r>
        <w:rPr>
          <w:rFonts w:ascii="Calibri" w:hAnsi="Calibri"/>
          <w:color w:val="222222"/>
          <w:sz w:val="21"/>
        </w:rPr>
        <w:t>Perform synthetic TEST conformance and user acceptance, then a one-clinic/one-branch controlled pilot with rollback rehearsal.</w:t>
      </w:r>
    </w:p>
    <w:p>
      <w:pPr>
        <w:numPr>
          <w:ilvl w:val="0"/>
          <w:numId w:val="45"/>
        </w:numPr>
      </w:pPr>
      <w:r>
        <w:rPr>
          <w:rFonts w:ascii="Calibri" w:hAnsi="Calibri"/>
          <w:color w:val="222222"/>
          <w:sz w:val="21"/>
        </w:rPr>
        <w:t xml:space="preserve">Reconcile the pinned contract whenever RHIE Swagger changes; update </w:t>
      </w:r>
      <w:r>
        <w:rPr>
          <w:rFonts w:ascii="Menlo" w:hAnsi="Menlo"/>
          <w:color w:val="1F4D78"/>
          <w:sz w:val="17"/>
          <w:shd w:fill="F6F8FA"/>
        </w:rPr>
        <w:t>RHIE_CONFORMANCE_MATRIX.md</w:t>
      </w:r>
      <w:r>
        <w:rPr>
          <w:rFonts w:ascii="Calibri" w:hAnsi="Calibri"/>
          <w:color w:val="222222"/>
          <w:sz w:val="21"/>
        </w:rPr>
        <w:t>, endpoint registry, schemas, tests, and this guide together.</w:t>
      </w:r>
    </w:p>
    <w:p>
      <w:pPr>
        <w:pStyle w:val="Heading2"/>
      </w:pPr>
      <w:r>
        <w:t>13. Troubleshooting quick reference</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val="true"/>
        </w:trPr>
        <w:tc>
          <w:tcPr>
            <w:tcW w:type="dxa" w:w="2500"/>
            <w:tcMar>
              <w:top w:w="80" w:type="dxa"/>
              <w:start w:w="120" w:type="dxa"/>
              <w:bottom w:w="80" w:type="dxa"/>
              <w:end w:w="120" w:type="dxa"/>
            </w:tcMar>
            <w:vAlign w:val="center"/>
            <w:shd w:fill="E8EEF5"/>
          </w:tcPr>
          <w:p>
            <w:pPr>
              <w:spacing w:after="0"/>
            </w:pPr>
            <w:r>
              <w:rPr>
                <w:b/>
                <w:color w:val="0B2545"/>
              </w:rPr>
            </w:r>
            <w:r>
              <w:rPr>
                <w:rFonts w:ascii="Calibri" w:hAnsi="Calibri"/>
                <w:b/>
                <w:color w:val="0B2545"/>
                <w:sz w:val="17"/>
              </w:rPr>
              <w:t>Symptom</w:t>
            </w:r>
          </w:p>
        </w:tc>
        <w:tc>
          <w:tcPr>
            <w:tcW w:type="dxa" w:w="6860"/>
            <w:tcMar>
              <w:top w:w="80" w:type="dxa"/>
              <w:start w:w="120" w:type="dxa"/>
              <w:bottom w:w="80" w:type="dxa"/>
              <w:end w:w="120" w:type="dxa"/>
            </w:tcMar>
            <w:vAlign w:val="center"/>
            <w:shd w:fill="E8EEF5"/>
          </w:tcPr>
          <w:p>
            <w:pPr>
              <w:spacing w:after="0"/>
            </w:pPr>
            <w:r>
              <w:rPr>
                <w:b/>
                <w:color w:val="0B2545"/>
              </w:rPr>
            </w:r>
            <w:r>
              <w:rPr>
                <w:rFonts w:ascii="Calibri" w:hAnsi="Calibri"/>
                <w:b/>
                <w:color w:val="0B2545"/>
                <w:sz w:val="17"/>
              </w:rPr>
              <w:t>Most likely checks</w:t>
            </w:r>
          </w:p>
        </w:tc>
      </w:tr>
      <w:tr>
        <w:trPr>
          <w:cantSplit w:val="true"/>
        </w:trPr>
        <w:tc>
          <w:tcPr>
            <w:tcW w:type="dxa" w:w="2500"/>
            <w:tcMar>
              <w:top w:w="80" w:type="dxa"/>
              <w:start w:w="120" w:type="dxa"/>
              <w:bottom w:w="80" w:type="dxa"/>
              <w:end w:w="120" w:type="dxa"/>
            </w:tcMar>
            <w:vAlign w:val="center"/>
          </w:tcPr>
          <w:p>
            <w:pPr>
              <w:spacing w:after="0"/>
            </w:pPr>
            <w:r/>
            <w:r>
              <w:rPr>
                <w:rFonts w:ascii="Calibri" w:hAnsi="Calibri"/>
                <w:color w:val="222222"/>
                <w:sz w:val="17"/>
              </w:rPr>
              <w:t xml:space="preserve">HIE UI absent / route 403 </w:t>
            </w:r>
            <w:r>
              <w:rPr>
                <w:rFonts w:ascii="Menlo" w:hAnsi="Menlo"/>
                <w:color w:val="1F4D78"/>
                <w:sz w:val="17"/>
                <w:shd w:fill="F6F8FA"/>
              </w:rPr>
              <w:t>FEATURE_DISABLED</w:t>
            </w:r>
          </w:p>
        </w:tc>
        <w:tc>
          <w:tcPr>
            <w:tcW w:type="dxa" w:w="6860"/>
            <w:tcMar>
              <w:top w:w="80" w:type="dxa"/>
              <w:start w:w="120" w:type="dxa"/>
              <w:bottom w:w="80" w:type="dxa"/>
              <w:end w:w="120" w:type="dxa"/>
            </w:tcMar>
            <w:vAlign w:val="center"/>
          </w:tcPr>
          <w:p>
            <w:pPr>
              <w:spacing w:after="0"/>
            </w:pPr>
            <w:r/>
            <w:r>
              <w:rPr>
                <w:rFonts w:ascii="Calibri" w:hAnsi="Calibri"/>
                <w:color w:val="222222"/>
                <w:sz w:val="16"/>
              </w:rPr>
              <w:t>Clinic entitlement override; authenticated tenant; frontend permission matrix</w:t>
            </w:r>
          </w:p>
        </w:tc>
      </w:tr>
      <w:tr>
        <w:trPr>
          <w:cantSplit w:val="true"/>
        </w:trPr>
        <w:tc>
          <w:tcPr>
            <w:tcW w:type="dxa" w:w="2500"/>
            <w:tcMar>
              <w:top w:w="80" w:type="dxa"/>
              <w:start w:w="120" w:type="dxa"/>
              <w:bottom w:w="80" w:type="dxa"/>
              <w:end w:w="120" w:type="dxa"/>
            </w:tcMar>
            <w:vAlign w:val="center"/>
          </w:tcPr>
          <w:p>
            <w:pPr>
              <w:spacing w:after="0"/>
            </w:pPr>
            <w:r/>
            <w:r>
              <w:rPr>
                <w:rFonts w:ascii="Calibri" w:hAnsi="Calibri"/>
                <w:color w:val="222222"/>
                <w:sz w:val="17"/>
              </w:rPr>
              <w:t>Status says not configured</w:t>
            </w:r>
          </w:p>
        </w:tc>
        <w:tc>
          <w:tcPr>
            <w:tcW w:type="dxa" w:w="6860"/>
            <w:tcMar>
              <w:top w:w="80" w:type="dxa"/>
              <w:start w:w="120" w:type="dxa"/>
              <w:bottom w:w="80" w:type="dxa"/>
              <w:end w:w="120" w:type="dxa"/>
            </w:tcMar>
            <w:vAlign w:val="center"/>
          </w:tcPr>
          <w:p>
            <w:pPr>
              <w:spacing w:after="0"/>
            </w:pPr>
            <w:r/>
            <w:r>
              <w:rPr>
                <w:rFonts w:ascii="Calibri" w:hAnsi="Calibri"/>
                <w:color w:val="222222"/>
                <w:sz w:val="16"/>
              </w:rPr>
              <w:t>Environment labels, both URLs, credentials, both encryption keys</w:t>
            </w:r>
          </w:p>
        </w:tc>
      </w:tr>
      <w:tr>
        <w:trPr>
          <w:cantSplit w:val="true"/>
        </w:trPr>
        <w:tc>
          <w:tcPr>
            <w:tcW w:type="dxa" w:w="2500"/>
            <w:tcMar>
              <w:top w:w="80" w:type="dxa"/>
              <w:start w:w="120" w:type="dxa"/>
              <w:bottom w:w="80" w:type="dxa"/>
              <w:end w:w="120" w:type="dxa"/>
            </w:tcMar>
            <w:vAlign w:val="center"/>
          </w:tcPr>
          <w:p>
            <w:pPr>
              <w:spacing w:after="0"/>
            </w:pPr>
            <w:r/>
            <w:r>
              <w:rPr>
                <w:rFonts w:ascii="Calibri" w:hAnsi="Calibri"/>
                <w:color w:val="222222"/>
                <w:sz w:val="17"/>
              </w:rPr>
              <w:t>Secure transport error</w:t>
            </w:r>
          </w:p>
        </w:tc>
        <w:tc>
          <w:tcPr>
            <w:tcW w:type="dxa" w:w="6860"/>
            <w:tcMar>
              <w:top w:w="80" w:type="dxa"/>
              <w:start w:w="120" w:type="dxa"/>
              <w:bottom w:w="80" w:type="dxa"/>
              <w:end w:w="120" w:type="dxa"/>
            </w:tcMar>
            <w:vAlign w:val="center"/>
          </w:tcPr>
          <w:p>
            <w:pPr>
              <w:spacing w:after="0"/>
            </w:pPr>
            <w:r/>
            <w:r>
              <w:rPr>
                <w:rFonts w:ascii="Calibri" w:hAnsi="Calibri"/>
                <w:color w:val="222222"/>
                <w:sz w:val="16"/>
              </w:rPr>
              <w:t>HTTPS/tunnel; TEST-only override; never bypass in production</w:t>
            </w:r>
          </w:p>
        </w:tc>
      </w:tr>
      <w:tr>
        <w:trPr>
          <w:cantSplit w:val="true"/>
        </w:trPr>
        <w:tc>
          <w:tcPr>
            <w:tcW w:type="dxa" w:w="2500"/>
            <w:tcMar>
              <w:top w:w="80" w:type="dxa"/>
              <w:start w:w="120" w:type="dxa"/>
              <w:bottom w:w="80" w:type="dxa"/>
              <w:end w:w="120" w:type="dxa"/>
            </w:tcMar>
            <w:vAlign w:val="center"/>
          </w:tcPr>
          <w:p>
            <w:pPr>
              <w:spacing w:after="0"/>
            </w:pPr>
            <w:r/>
            <w:r>
              <w:rPr>
                <w:rFonts w:ascii="Calibri" w:hAnsi="Calibri"/>
                <w:color w:val="222222"/>
                <w:sz w:val="17"/>
              </w:rPr>
              <w:t>Identity lookup returns no match</w:t>
            </w:r>
          </w:p>
        </w:tc>
        <w:tc>
          <w:tcPr>
            <w:tcW w:type="dxa" w:w="6860"/>
            <w:tcMar>
              <w:top w:w="80" w:type="dxa"/>
              <w:start w:w="120" w:type="dxa"/>
              <w:bottom w:w="80" w:type="dxa"/>
              <w:end w:w="120" w:type="dxa"/>
            </w:tcMar>
            <w:vAlign w:val="center"/>
          </w:tcPr>
          <w:p>
            <w:pPr>
              <w:spacing w:after="0"/>
            </w:pPr>
            <w:r/>
            <w:r>
              <w:rPr>
                <w:rFonts w:ascii="Calibri" w:hAnsi="Calibri"/>
                <w:color w:val="222222"/>
                <w:sz w:val="16"/>
              </w:rPr>
              <w:t>Exact normalized 16-digit NID, date-only DOB, registry response contract, deceased flag</w:t>
            </w:r>
          </w:p>
        </w:tc>
      </w:tr>
      <w:tr>
        <w:trPr>
          <w:cantSplit w:val="true"/>
        </w:trPr>
        <w:tc>
          <w:tcPr>
            <w:tcW w:type="dxa" w:w="2500"/>
            <w:tcMar>
              <w:top w:w="80" w:type="dxa"/>
              <w:start w:w="120" w:type="dxa"/>
              <w:bottom w:w="80" w:type="dxa"/>
              <w:end w:w="120" w:type="dxa"/>
            </w:tcMar>
            <w:vAlign w:val="center"/>
          </w:tcPr>
          <w:p>
            <w:pPr>
              <w:spacing w:after="0"/>
            </w:pPr>
            <w:r/>
            <w:r>
              <w:rPr>
                <w:rFonts w:ascii="Calibri" w:hAnsi="Calibri"/>
                <w:color w:val="222222"/>
                <w:sz w:val="17"/>
              </w:rPr>
              <w:t>Identity conflict</w:t>
            </w:r>
          </w:p>
        </w:tc>
        <w:tc>
          <w:tcPr>
            <w:tcW w:type="dxa" w:w="6860"/>
            <w:tcMar>
              <w:top w:w="80" w:type="dxa"/>
              <w:start w:w="120" w:type="dxa"/>
              <w:bottom w:w="80" w:type="dxa"/>
              <w:end w:w="120" w:type="dxa"/>
            </w:tcMar>
            <w:vAlign w:val="center"/>
          </w:tcPr>
          <w:p>
            <w:pPr>
              <w:spacing w:after="0"/>
            </w:pPr>
            <w:r/>
            <w:r>
              <w:rPr>
                <w:rFonts w:ascii="Calibri" w:hAnsi="Calibri"/>
                <w:color w:val="222222"/>
                <w:sz w:val="16"/>
              </w:rPr>
              <w:t xml:space="preserve">Existing NID/UPID hash; open </w:t>
            </w:r>
            <w:r>
              <w:rPr>
                <w:rFonts w:ascii="Menlo" w:hAnsi="Menlo"/>
                <w:color w:val="1F4D78"/>
                <w:sz w:val="17"/>
                <w:shd w:fill="F6F8FA"/>
              </w:rPr>
              <w:t>HieIdentityReconciliation</w:t>
            </w:r>
            <w:r>
              <w:rPr>
                <w:rFonts w:ascii="Calibri" w:hAnsi="Calibri"/>
                <w:color w:val="222222"/>
                <w:sz w:val="16"/>
              </w:rPr>
              <w:t>; never manually delete without reviewed resolution</w:t>
            </w:r>
          </w:p>
        </w:tc>
      </w:tr>
      <w:tr>
        <w:trPr>
          <w:cantSplit w:val="true"/>
        </w:trPr>
        <w:tc>
          <w:tcPr>
            <w:tcW w:type="dxa" w:w="2500"/>
            <w:tcMar>
              <w:top w:w="80" w:type="dxa"/>
              <w:start w:w="120" w:type="dxa"/>
              <w:bottom w:w="80" w:type="dxa"/>
              <w:end w:w="120" w:type="dxa"/>
            </w:tcMar>
            <w:vAlign w:val="center"/>
          </w:tcPr>
          <w:p>
            <w:pPr>
              <w:spacing w:after="0"/>
            </w:pPr>
            <w:r/>
            <w:r>
              <w:rPr>
                <w:rFonts w:ascii="Calibri" w:hAnsi="Calibri"/>
                <w:color w:val="222222"/>
                <w:sz w:val="17"/>
              </w:rPr>
              <w:t xml:space="preserve">Clinical event </w:t>
            </w:r>
            <w:r>
              <w:rPr>
                <w:rFonts w:ascii="Menlo" w:hAnsi="Menlo"/>
                <w:color w:val="1F4D78"/>
                <w:sz w:val="17"/>
                <w:shd w:fill="F6F8FA"/>
              </w:rPr>
              <w:t>BLOCKED</w:t>
            </w:r>
          </w:p>
        </w:tc>
        <w:tc>
          <w:tcPr>
            <w:tcW w:type="dxa" w:w="6860"/>
            <w:tcMar>
              <w:top w:w="80" w:type="dxa"/>
              <w:start w:w="120" w:type="dxa"/>
              <w:bottom w:w="80" w:type="dxa"/>
              <w:end w:w="120" w:type="dxa"/>
            </w:tcMar>
            <w:vAlign w:val="center"/>
          </w:tcPr>
          <w:p>
            <w:pPr>
              <w:spacing w:after="0"/>
            </w:pPr>
            <w:r/>
            <w:r>
              <w:rPr>
                <w:rFonts w:ascii="Calibri" w:hAnsi="Calibri"/>
                <w:color w:val="222222"/>
                <w:sz w:val="16"/>
              </w:rPr>
              <w:t xml:space="preserve">Inspect </w:t>
            </w:r>
            <w:r>
              <w:rPr>
                <w:rFonts w:ascii="Menlo" w:hAnsi="Menlo"/>
                <w:color w:val="1F4D78"/>
                <w:sz w:val="17"/>
                <w:shd w:fill="F6F8FA"/>
              </w:rPr>
              <w:t>dependencyReason</w:t>
            </w:r>
            <w:r>
              <w:rPr>
                <w:rFonts w:ascii="Calibri" w:hAnsi="Calibri"/>
                <w:color w:val="222222"/>
                <w:sz w:val="16"/>
              </w:rPr>
              <w:t>: identity, synchronized consent, mapping, encounter, terminology, Coverage, or structured dosage</w:t>
            </w:r>
          </w:p>
        </w:tc>
      </w:tr>
      <w:tr>
        <w:trPr>
          <w:cantSplit w:val="true"/>
        </w:trPr>
        <w:tc>
          <w:tcPr>
            <w:tcW w:type="dxa" w:w="2500"/>
            <w:tcMar>
              <w:top w:w="80" w:type="dxa"/>
              <w:start w:w="120" w:type="dxa"/>
              <w:bottom w:w="80" w:type="dxa"/>
              <w:end w:w="120" w:type="dxa"/>
            </w:tcMar>
            <w:vAlign w:val="center"/>
          </w:tcPr>
          <w:p>
            <w:pPr>
              <w:spacing w:after="0"/>
            </w:pPr>
            <w:r/>
            <w:r>
              <w:rPr>
                <w:rFonts w:ascii="Calibri" w:hAnsi="Calibri"/>
                <w:color w:val="222222"/>
                <w:sz w:val="17"/>
              </w:rPr>
              <w:t xml:space="preserve">Repeated </w:t>
            </w:r>
            <w:r>
              <w:rPr>
                <w:rFonts w:ascii="Menlo" w:hAnsi="Menlo"/>
                <w:color w:val="1F4D78"/>
                <w:sz w:val="17"/>
                <w:shd w:fill="F6F8FA"/>
              </w:rPr>
              <w:t>RETRY</w:t>
            </w:r>
            <w:r>
              <w:rPr>
                <w:rFonts w:ascii="Calibri" w:hAnsi="Calibri"/>
                <w:color w:val="222222"/>
                <w:sz w:val="17"/>
              </w:rPr>
              <w:t xml:space="preserve"> / dead letter</w:t>
            </w:r>
          </w:p>
        </w:tc>
        <w:tc>
          <w:tcPr>
            <w:tcW w:type="dxa" w:w="6860"/>
            <w:tcMar>
              <w:top w:w="80" w:type="dxa"/>
              <w:start w:w="120" w:type="dxa"/>
              <w:bottom w:w="80" w:type="dxa"/>
              <w:end w:w="120" w:type="dxa"/>
            </w:tcMar>
            <w:vAlign w:val="center"/>
          </w:tcPr>
          <w:p>
            <w:pPr>
              <w:spacing w:after="0"/>
            </w:pPr>
            <w:r/>
            <w:r>
              <w:rPr>
                <w:rFonts w:ascii="Calibri" w:hAnsi="Calibri"/>
                <w:color w:val="222222"/>
                <w:sz w:val="16"/>
              </w:rPr>
              <w:t>RHIE status/rate limit/network, attempt history, correlation ID; fix cause then authorized retry</w:t>
            </w:r>
          </w:p>
        </w:tc>
      </w:tr>
      <w:tr>
        <w:trPr>
          <w:cantSplit w:val="true"/>
        </w:trPr>
        <w:tc>
          <w:tcPr>
            <w:tcW w:type="dxa" w:w="2500"/>
            <w:tcMar>
              <w:top w:w="80" w:type="dxa"/>
              <w:start w:w="120" w:type="dxa"/>
              <w:bottom w:w="80" w:type="dxa"/>
              <w:end w:w="120" w:type="dxa"/>
            </w:tcMar>
            <w:vAlign w:val="center"/>
          </w:tcPr>
          <w:p>
            <w:pPr>
              <w:spacing w:after="0"/>
            </w:pPr>
            <w:r/>
            <w:r>
              <w:rPr>
                <w:rFonts w:ascii="Calibri" w:hAnsi="Calibri"/>
                <w:color w:val="222222"/>
                <w:sz w:val="17"/>
              </w:rPr>
              <w:t>National record partially unavailable</w:t>
            </w:r>
          </w:p>
        </w:tc>
        <w:tc>
          <w:tcPr>
            <w:tcW w:type="dxa" w:w="6860"/>
            <w:tcMar>
              <w:top w:w="80" w:type="dxa"/>
              <w:start w:w="120" w:type="dxa"/>
              <w:bottom w:w="80" w:type="dxa"/>
              <w:end w:w="120" w:type="dxa"/>
            </w:tcMar>
            <w:vAlign w:val="center"/>
          </w:tcPr>
          <w:p>
            <w:pPr>
              <w:spacing w:after="0"/>
            </w:pPr>
            <w:r/>
            <w:r>
              <w:rPr>
                <w:rFonts w:ascii="Calibri" w:hAnsi="Calibri"/>
                <w:color w:val="222222"/>
                <w:sz w:val="16"/>
              </w:rPr>
              <w:t>Per-section safe error/retryable flag; circuit state; response size; external list endpoint</w:t>
            </w:r>
          </w:p>
        </w:tc>
      </w:tr>
      <w:tr>
        <w:trPr>
          <w:cantSplit w:val="true"/>
        </w:trPr>
        <w:tc>
          <w:tcPr>
            <w:tcW w:type="dxa" w:w="2500"/>
            <w:tcMar>
              <w:top w:w="80" w:type="dxa"/>
              <w:start w:w="120" w:type="dxa"/>
              <w:bottom w:w="80" w:type="dxa"/>
              <w:end w:w="120" w:type="dxa"/>
            </w:tcMar>
            <w:vAlign w:val="center"/>
          </w:tcPr>
          <w:p>
            <w:pPr>
              <w:spacing w:after="0"/>
            </w:pPr>
            <w:r/>
            <w:r>
              <w:rPr>
                <w:rFonts w:ascii="Calibri" w:hAnsi="Calibri"/>
                <w:color w:val="222222"/>
                <w:sz w:val="17"/>
              </w:rPr>
              <w:t>Transfer cannot queue</w:t>
            </w:r>
          </w:p>
        </w:tc>
        <w:tc>
          <w:tcPr>
            <w:tcW w:type="dxa" w:w="6860"/>
            <w:tcMar>
              <w:top w:w="80" w:type="dxa"/>
              <w:start w:w="120" w:type="dxa"/>
              <w:bottom w:w="80" w:type="dxa"/>
              <w:end w:w="120" w:type="dxa"/>
            </w:tcMar>
            <w:vAlign w:val="center"/>
          </w:tcPr>
          <w:p>
            <w:pPr>
              <w:spacing w:after="0"/>
            </w:pPr>
            <w:r/>
            <w:r>
              <w:rPr>
                <w:rFonts w:ascii="Calibri" w:hAnsi="Calibri"/>
                <w:color w:val="222222"/>
                <w:sz w:val="16"/>
              </w:rPr>
              <w:t>Doctor role, finalized visit, branch, verified source/destination, distinct destination, current status</w:t>
            </w:r>
          </w:p>
        </w:tc>
      </w:tr>
      <w:tr>
        <w:trPr>
          <w:cantSplit w:val="true"/>
        </w:trPr>
        <w:tc>
          <w:tcPr>
            <w:tcW w:type="dxa" w:w="2500"/>
            <w:tcMar>
              <w:top w:w="80" w:type="dxa"/>
              <w:start w:w="120" w:type="dxa"/>
              <w:bottom w:w="80" w:type="dxa"/>
              <w:end w:w="120" w:type="dxa"/>
            </w:tcMar>
            <w:vAlign w:val="center"/>
          </w:tcPr>
          <w:p>
            <w:pPr>
              <w:spacing w:after="0"/>
            </w:pPr>
            <w:r/>
            <w:r>
              <w:rPr>
                <w:rFonts w:ascii="Calibri" w:hAnsi="Calibri"/>
                <w:color w:val="222222"/>
                <w:sz w:val="17"/>
              </w:rPr>
              <w:t>Consent withdrawal appears pending</w:t>
            </w:r>
          </w:p>
        </w:tc>
        <w:tc>
          <w:tcPr>
            <w:tcW w:type="dxa" w:w="6860"/>
            <w:tcMar>
              <w:top w:w="80" w:type="dxa"/>
              <w:start w:w="120" w:type="dxa"/>
              <w:bottom w:w="80" w:type="dxa"/>
              <w:end w:w="120" w:type="dxa"/>
            </w:tcMar>
            <w:vAlign w:val="center"/>
          </w:tcPr>
          <w:p>
            <w:pPr>
              <w:spacing w:after="0"/>
            </w:pPr>
            <w:r/>
            <w:r>
              <w:rPr>
                <w:rFonts w:ascii="Calibri" w:hAnsi="Calibri"/>
                <w:color w:val="222222"/>
                <w:sz w:val="16"/>
              </w:rPr>
              <w:t>Locally inactive is expected; inspect delete outbox, remote ID, and idempotent 404 behavior</w:t>
            </w:r>
          </w:p>
        </w:tc>
      </w:tr>
      <w:tr>
        <w:trPr>
          <w:cantSplit w:val="true"/>
        </w:trPr>
        <w:tc>
          <w:tcPr>
            <w:tcW w:type="dxa" w:w="2500"/>
            <w:tcMar>
              <w:top w:w="80" w:type="dxa"/>
              <w:start w:w="120" w:type="dxa"/>
              <w:bottom w:w="80" w:type="dxa"/>
              <w:end w:w="120" w:type="dxa"/>
            </w:tcMar>
            <w:vAlign w:val="center"/>
          </w:tcPr>
          <w:p>
            <w:pPr>
              <w:spacing w:after="0"/>
            </w:pPr>
            <w:r/>
            <w:r>
              <w:rPr>
                <w:rFonts w:ascii="Calibri" w:hAnsi="Calibri"/>
                <w:color w:val="222222"/>
                <w:sz w:val="17"/>
              </w:rPr>
              <w:t>Backend typecheck crashes</w:t>
            </w:r>
          </w:p>
        </w:tc>
        <w:tc>
          <w:tcPr>
            <w:tcW w:type="dxa" w:w="6860"/>
            <w:tcMar>
              <w:top w:w="80" w:type="dxa"/>
              <w:start w:w="120" w:type="dxa"/>
              <w:bottom w:w="80" w:type="dxa"/>
              <w:end w:w="120" w:type="dxa"/>
            </w:tcMar>
            <w:vAlign w:val="center"/>
          </w:tcPr>
          <w:p>
            <w:pPr>
              <w:spacing w:after="0"/>
            </w:pPr>
            <w:r/>
            <w:r>
              <w:rPr>
                <w:rFonts w:ascii="Calibri" w:hAnsi="Calibri"/>
                <w:color w:val="222222"/>
                <w:sz w:val="16"/>
              </w:rPr>
              <w:t>Reproduce Node/TS version; isolate aggregate Hono/Prisma types; do not interpret as a passing typecheck</w:t>
            </w:r>
          </w:p>
        </w:tc>
      </w:tr>
    </w:tbl>
    <w:p>
      <w:pPr>
        <w:spacing w:after="40"/>
      </w:pPr>
    </w:p>
    <w:p>
      <w:pPr>
        <w:pStyle w:val="Heading2"/>
      </w:pPr>
      <w:r>
        <w:t>14. Reference artifacts</w:t>
      </w:r>
    </w:p>
    <w:p>
      <w:pPr>
        <w:numPr>
          <w:ilvl w:val="0"/>
          <w:numId w:val="10"/>
        </w:numPr>
      </w:pPr>
      <w:r>
        <w:rPr>
          <w:rFonts w:ascii="Menlo" w:hAnsi="Menlo"/>
          <w:color w:val="1F4D78"/>
          <w:sz w:val="17"/>
          <w:shd w:fill="F6F8FA"/>
        </w:rPr>
        <w:t>docs/RWANDA_HIE.md</w:t>
      </w:r>
      <w:r>
        <w:rPr>
          <w:rFonts w:ascii="Calibri" w:hAnsi="Calibri"/>
          <w:color w:val="222222"/>
          <w:sz w:val="21"/>
        </w:rPr>
        <w:t>: concise deployment and safety overview.</w:t>
      </w:r>
    </w:p>
    <w:p>
      <w:pPr>
        <w:numPr>
          <w:ilvl w:val="0"/>
          <w:numId w:val="10"/>
        </w:numPr>
      </w:pPr>
      <w:r>
        <w:rPr>
          <w:rFonts w:ascii="Menlo" w:hAnsi="Menlo"/>
          <w:color w:val="1F4D78"/>
          <w:sz w:val="17"/>
          <w:shd w:fill="F6F8FA"/>
        </w:rPr>
        <w:t>docs/RHIE_CONFORMANCE_MATRIX.md</w:t>
      </w:r>
      <w:r>
        <w:rPr>
          <w:rFonts w:ascii="Calibri" w:hAnsi="Calibri"/>
          <w:color w:val="222222"/>
          <w:sz w:val="21"/>
        </w:rPr>
        <w:t>: endpoint-by-endpoint pinned-contract status and gates.</w:t>
      </w:r>
    </w:p>
    <w:p>
      <w:pPr>
        <w:numPr>
          <w:ilvl w:val="0"/>
          <w:numId w:val="10"/>
        </w:numPr>
      </w:pPr>
      <w:r>
        <w:rPr>
          <w:rFonts w:ascii="Menlo" w:hAnsi="Menlo"/>
          <w:color w:val="1F4D78"/>
          <w:sz w:val="17"/>
          <w:shd w:fill="F6F8FA"/>
        </w:rPr>
        <w:t>docs/rhie-swagger-2026-08-11.yaml</w:t>
      </w:r>
      <w:r>
        <w:rPr>
          <w:rFonts w:ascii="Calibri" w:hAnsi="Calibri"/>
          <w:color w:val="222222"/>
          <w:sz w:val="21"/>
        </w:rPr>
        <w:t>: immutable external contract snapshot used for implementation decisions.</w:t>
      </w:r>
    </w:p>
    <w:p>
      <w:pPr>
        <w:numPr>
          <w:ilvl w:val="0"/>
          <w:numId w:val="10"/>
        </w:numPr>
      </w:pPr>
      <w:r>
        <w:rPr>
          <w:rFonts w:ascii="Menlo" w:hAnsi="Menlo"/>
          <w:color w:val="1F4D78"/>
          <w:sz w:val="17"/>
          <w:shd w:fill="F6F8FA"/>
        </w:rPr>
        <w:t>src/services/hie/__tests__/</w:t>
      </w:r>
      <w:r>
        <w:rPr>
          <w:rFonts w:ascii="Calibri" w:hAnsi="Calibri"/>
          <w:color w:val="222222"/>
          <w:sz w:val="21"/>
        </w:rPr>
        <w:t xml:space="preserve"> and </w:t>
      </w:r>
      <w:r>
        <w:rPr>
          <w:rFonts w:ascii="Menlo" w:hAnsi="Menlo"/>
          <w:color w:val="1F4D78"/>
          <w:sz w:val="17"/>
          <w:shd w:fill="F6F8FA"/>
        </w:rPr>
        <w:t>src/api/v1/hie/__tests__/</w:t>
      </w:r>
      <w:r>
        <w:rPr>
          <w:rFonts w:ascii="Calibri" w:hAnsi="Calibri"/>
          <w:color w:val="222222"/>
          <w:sz w:val="21"/>
        </w:rPr>
        <w:t>: executable transport, mapping, safety, recovery, permission, identity, and concurrency examples.</w:t>
      </w:r>
    </w:p>
    <w:p>
      <w:r>
        <w:rPr>
          <w:rFonts w:ascii="Calibri" w:hAnsi="Calibri"/>
          <w:color w:val="222222"/>
          <w:sz w:val="21"/>
        </w:rPr>
        <w:t>When behavior and this guide diverge, verify the deployed commit first, then use routes/controllers/services/schema/tests as runtime truth and update this guide in the same change.</w:t>
      </w:r>
    </w:p>
    <w:sectPr w:rsidR="00FC693F" w:rsidRPr="0006063C" w:rsidSect="00034616">
      <w:headerReference w:type="default" r:id="rId9"/>
      <w:footerReference w:type="default" r:id="rId10"/>
      <w:pgSz w:w="12240" w:h="15840"/>
      <w:pgMar w:top="1181" w:right="1296" w:bottom="1123"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085"/>
        <w:sz w:val="17"/>
      </w:rPr>
      <w:t>CARELOGIC · RWANDA HIE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pPr>
        <w:tabs>
          <w:tab w:val="num" w:pos="540"/>
        </w:tabs>
        <w:ind w:left="540" w:hanging="270"/>
        <w:spacing w:after="80" w:line="300" w:lineRule="auto"/>
      </w:pPr>
    </w:lvl>
  </w:abstractNum>
  <w:num w:numId="11">
    <w:abstractNumId w:val="10"/>
  </w:num>
  <w:abstractNum w:abstractNumId="11">
    <w:multiLevelType w:val="singleLevel"/>
    <w:lvl w:ilvl="0">
      <w:start w:val="1"/>
      <w:numFmt w:val="bullet"/>
      <w:lvlText w:val="•"/>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pPr>
        <w:tabs>
          <w:tab w:val="num" w:pos="540"/>
        </w:tabs>
        <w:ind w:left="540" w:hanging="270"/>
        <w:spacing w:after="80" w:line="300" w:lineRule="auto"/>
      </w:pPr>
    </w:lvl>
  </w:abstractNum>
  <w:num w:numId="13">
    <w:abstractNumId w:val="12"/>
  </w:num>
  <w:abstractNum w:abstractNumId="13">
    <w:multiLevelType w:val="singleLevel"/>
    <w:lvl w:ilvl="0">
      <w:start w:val="1"/>
      <w:numFmt w:val="bullet"/>
      <w:lvlText w:val="•"/>
      <w:pPr>
        <w:tabs>
          <w:tab w:val="num" w:pos="540"/>
        </w:tabs>
        <w:ind w:left="540" w:hanging="270"/>
        <w:spacing w:after="80" w:line="300" w:lineRule="auto"/>
      </w:pPr>
    </w:lvl>
  </w:abstractNum>
  <w:num w:numId="14">
    <w:abstractNumId w:val="13"/>
  </w:num>
  <w:abstractNum w:abstractNumId="14">
    <w:multiLevelType w:val="singleLevel"/>
    <w:lvl w:ilvl="0">
      <w:start w:val="1"/>
      <w:numFmt w:val="decimal"/>
      <w:lvlText w:val="%1."/>
      <w:pPr>
        <w:tabs>
          <w:tab w:val="num" w:pos="540"/>
        </w:tabs>
        <w:ind w:left="540" w:hanging="270"/>
        <w:spacing w:after="80" w:line="300" w:lineRule="auto"/>
      </w:pPr>
    </w:lvl>
  </w:abstractNum>
  <w:num w:numId="15">
    <w:abstractNumId w:val="14"/>
  </w:num>
  <w:abstractNum w:abstractNumId="15">
    <w:multiLevelType w:val="singleLevel"/>
    <w:lvl w:ilvl="0">
      <w:start w:val="1"/>
      <w:numFmt w:val="bullet"/>
      <w:lvlText w:val="•"/>
      <w:pPr>
        <w:tabs>
          <w:tab w:val="num" w:pos="540"/>
        </w:tabs>
        <w:ind w:left="540" w:hanging="270"/>
        <w:spacing w:after="80" w:line="300" w:lineRule="auto"/>
      </w:pPr>
    </w:lvl>
  </w:abstractNum>
  <w:num w:numId="16">
    <w:abstractNumId w:val="15"/>
  </w:num>
  <w:abstractNum w:abstractNumId="16">
    <w:multiLevelType w:val="singleLevel"/>
    <w:lvl w:ilvl="0">
      <w:start w:val="1"/>
      <w:numFmt w:val="decimal"/>
      <w:lvlText w:val="%1."/>
      <w:pPr>
        <w:tabs>
          <w:tab w:val="num" w:pos="540"/>
        </w:tabs>
        <w:ind w:left="540" w:hanging="270"/>
        <w:spacing w:after="80" w:line="300" w:lineRule="auto"/>
      </w:pPr>
    </w:lvl>
  </w:abstractNum>
  <w:num w:numId="17">
    <w:abstractNumId w:val="16"/>
  </w:num>
  <w:abstractNum w:abstractNumId="17">
    <w:multiLevelType w:val="singleLevel"/>
    <w:lvl w:ilvl="0">
      <w:start w:val="1"/>
      <w:numFmt w:val="bullet"/>
      <w:lvlText w:val="•"/>
      <w:pPr>
        <w:tabs>
          <w:tab w:val="num" w:pos="540"/>
        </w:tabs>
        <w:ind w:left="540" w:hanging="270"/>
        <w:spacing w:after="80" w:line="300" w:lineRule="auto"/>
      </w:pPr>
    </w:lvl>
  </w:abstractNum>
  <w:num w:numId="18">
    <w:abstractNumId w:val="17"/>
  </w:num>
  <w:abstractNum w:abstractNumId="18">
    <w:multiLevelType w:val="singleLevel"/>
    <w:lvl w:ilvl="0">
      <w:start w:val="1"/>
      <w:numFmt w:val="decimal"/>
      <w:lvlText w:val="%1."/>
      <w:pPr>
        <w:tabs>
          <w:tab w:val="num" w:pos="540"/>
        </w:tabs>
        <w:ind w:left="540" w:hanging="270"/>
        <w:spacing w:after="80" w:line="300" w:lineRule="auto"/>
      </w:pPr>
    </w:lvl>
  </w:abstractNum>
  <w:num w:numId="19">
    <w:abstractNumId w:val="18"/>
  </w:num>
  <w:abstractNum w:abstractNumId="19">
    <w:multiLevelType w:val="singleLevel"/>
    <w:lvl w:ilvl="0">
      <w:start w:val="1"/>
      <w:numFmt w:val="bullet"/>
      <w:lvlText w:val="•"/>
      <w:pPr>
        <w:tabs>
          <w:tab w:val="num" w:pos="540"/>
        </w:tabs>
        <w:ind w:left="540" w:hanging="270"/>
        <w:spacing w:after="80" w:line="300" w:lineRule="auto"/>
      </w:pPr>
    </w:lvl>
  </w:abstractNum>
  <w:num w:numId="20">
    <w:abstractNumId w:val="19"/>
  </w:num>
  <w:abstractNum w:abstractNumId="20">
    <w:multiLevelType w:val="singleLevel"/>
    <w:lvl w:ilvl="0">
      <w:start w:val="1"/>
      <w:numFmt w:val="decimal"/>
      <w:lvlText w:val="%1."/>
      <w:pPr>
        <w:tabs>
          <w:tab w:val="num" w:pos="540"/>
        </w:tabs>
        <w:ind w:left="540" w:hanging="270"/>
        <w:spacing w:after="80" w:line="300" w:lineRule="auto"/>
      </w:pPr>
    </w:lvl>
  </w:abstractNum>
  <w:num w:numId="21">
    <w:abstractNumId w:val="20"/>
  </w:num>
  <w:abstractNum w:abstractNumId="21">
    <w:multiLevelType w:val="singleLevel"/>
    <w:lvl w:ilvl="0">
      <w:start w:val="1"/>
      <w:numFmt w:val="bullet"/>
      <w:lvlText w:val="•"/>
      <w:pPr>
        <w:tabs>
          <w:tab w:val="num" w:pos="540"/>
        </w:tabs>
        <w:ind w:left="540" w:hanging="270"/>
        <w:spacing w:after="80" w:line="300" w:lineRule="auto"/>
      </w:pPr>
    </w:lvl>
  </w:abstractNum>
  <w:num w:numId="22">
    <w:abstractNumId w:val="21"/>
  </w:num>
  <w:abstractNum w:abstractNumId="22">
    <w:multiLevelType w:val="singleLevel"/>
    <w:lvl w:ilvl="0">
      <w:start w:val="1"/>
      <w:numFmt w:val="decimal"/>
      <w:lvlText w:val="%1."/>
      <w:pPr>
        <w:tabs>
          <w:tab w:val="num" w:pos="540"/>
        </w:tabs>
        <w:ind w:left="540" w:hanging="270"/>
        <w:spacing w:after="80" w:line="300" w:lineRule="auto"/>
      </w:pPr>
    </w:lvl>
  </w:abstractNum>
  <w:num w:numId="23">
    <w:abstractNumId w:val="22"/>
  </w:num>
  <w:abstractNum w:abstractNumId="23">
    <w:multiLevelType w:val="singleLevel"/>
    <w:lvl w:ilvl="0">
      <w:start w:val="1"/>
      <w:numFmt w:val="bullet"/>
      <w:lvlText w:val="•"/>
      <w:pPr>
        <w:tabs>
          <w:tab w:val="num" w:pos="540"/>
        </w:tabs>
        <w:ind w:left="540" w:hanging="270"/>
        <w:spacing w:after="80" w:line="300" w:lineRule="auto"/>
      </w:pPr>
    </w:lvl>
  </w:abstractNum>
  <w:num w:numId="24">
    <w:abstractNumId w:val="23"/>
  </w:num>
  <w:abstractNum w:abstractNumId="24">
    <w:multiLevelType w:val="singleLevel"/>
    <w:lvl w:ilvl="0">
      <w:start w:val="1"/>
      <w:numFmt w:val="decimal"/>
      <w:lvlText w:val="%1."/>
      <w:pPr>
        <w:tabs>
          <w:tab w:val="num" w:pos="540"/>
        </w:tabs>
        <w:ind w:left="540" w:hanging="270"/>
        <w:spacing w:after="80" w:line="300" w:lineRule="auto"/>
      </w:pPr>
    </w:lvl>
  </w:abstractNum>
  <w:num w:numId="25">
    <w:abstractNumId w:val="24"/>
  </w:num>
  <w:abstractNum w:abstractNumId="25">
    <w:multiLevelType w:val="singleLevel"/>
    <w:lvl w:ilvl="0">
      <w:start w:val="1"/>
      <w:numFmt w:val="bullet"/>
      <w:lvlText w:val="•"/>
      <w:pPr>
        <w:tabs>
          <w:tab w:val="num" w:pos="540"/>
        </w:tabs>
        <w:ind w:left="540" w:hanging="270"/>
        <w:spacing w:after="80" w:line="300" w:lineRule="auto"/>
      </w:pPr>
    </w:lvl>
  </w:abstractNum>
  <w:num w:numId="26">
    <w:abstractNumId w:val="25"/>
  </w:num>
  <w:abstractNum w:abstractNumId="26">
    <w:multiLevelType w:val="singleLevel"/>
    <w:lvl w:ilvl="0">
      <w:start w:val="1"/>
      <w:numFmt w:val="decimal"/>
      <w:lvlText w:val="%1."/>
      <w:pPr>
        <w:tabs>
          <w:tab w:val="num" w:pos="540"/>
        </w:tabs>
        <w:ind w:left="540" w:hanging="270"/>
        <w:spacing w:after="80" w:line="300" w:lineRule="auto"/>
      </w:pPr>
    </w:lvl>
  </w:abstractNum>
  <w:num w:numId="27">
    <w:abstractNumId w:val="26"/>
  </w:num>
  <w:abstractNum w:abstractNumId="27">
    <w:multiLevelType w:val="singleLevel"/>
    <w:lvl w:ilvl="0">
      <w:start w:val="1"/>
      <w:numFmt w:val="bullet"/>
      <w:lvlText w:val="•"/>
      <w:pPr>
        <w:tabs>
          <w:tab w:val="num" w:pos="540"/>
        </w:tabs>
        <w:ind w:left="540" w:hanging="270"/>
        <w:spacing w:after="80" w:line="300" w:lineRule="auto"/>
      </w:pPr>
    </w:lvl>
  </w:abstractNum>
  <w:num w:numId="28">
    <w:abstractNumId w:val="27"/>
  </w:num>
  <w:abstractNum w:abstractNumId="28">
    <w:multiLevelType w:val="singleLevel"/>
    <w:lvl w:ilvl="0">
      <w:start w:val="1"/>
      <w:numFmt w:val="decimal"/>
      <w:lvlText w:val="%1."/>
      <w:pPr>
        <w:tabs>
          <w:tab w:val="num" w:pos="540"/>
        </w:tabs>
        <w:ind w:left="540" w:hanging="270"/>
        <w:spacing w:after="80" w:line="300" w:lineRule="auto"/>
      </w:pPr>
    </w:lvl>
  </w:abstractNum>
  <w:num w:numId="29">
    <w:abstractNumId w:val="28"/>
  </w:num>
  <w:abstractNum w:abstractNumId="29">
    <w:multiLevelType w:val="singleLevel"/>
    <w:lvl w:ilvl="0">
      <w:start w:val="1"/>
      <w:numFmt w:val="bullet"/>
      <w:lvlText w:val="•"/>
      <w:pPr>
        <w:tabs>
          <w:tab w:val="num" w:pos="540"/>
        </w:tabs>
        <w:ind w:left="540" w:hanging="270"/>
        <w:spacing w:after="80" w:line="300" w:lineRule="auto"/>
      </w:pPr>
    </w:lvl>
  </w:abstractNum>
  <w:num w:numId="30">
    <w:abstractNumId w:val="29"/>
  </w:num>
  <w:abstractNum w:abstractNumId="30">
    <w:multiLevelType w:val="singleLevel"/>
    <w:lvl w:ilvl="0">
      <w:start w:val="1"/>
      <w:numFmt w:val="decimal"/>
      <w:lvlText w:val="%1."/>
      <w:pPr>
        <w:tabs>
          <w:tab w:val="num" w:pos="540"/>
        </w:tabs>
        <w:ind w:left="540" w:hanging="270"/>
        <w:spacing w:after="80" w:line="300" w:lineRule="auto"/>
      </w:pPr>
    </w:lvl>
  </w:abstractNum>
  <w:num w:numId="31">
    <w:abstractNumId w:val="30"/>
  </w:num>
  <w:abstractNum w:abstractNumId="31">
    <w:multiLevelType w:val="singleLevel"/>
    <w:lvl w:ilvl="0">
      <w:start w:val="1"/>
      <w:numFmt w:val="bullet"/>
      <w:lvlText w:val="•"/>
      <w:pPr>
        <w:tabs>
          <w:tab w:val="num" w:pos="540"/>
        </w:tabs>
        <w:ind w:left="540" w:hanging="270"/>
        <w:spacing w:after="80" w:line="300" w:lineRule="auto"/>
      </w:pPr>
    </w:lvl>
  </w:abstractNum>
  <w:num w:numId="32">
    <w:abstractNumId w:val="31"/>
  </w:num>
  <w:abstractNum w:abstractNumId="32">
    <w:multiLevelType w:val="singleLevel"/>
    <w:lvl w:ilvl="0">
      <w:start w:val="1"/>
      <w:numFmt w:val="decimal"/>
      <w:lvlText w:val="%1."/>
      <w:pPr>
        <w:tabs>
          <w:tab w:val="num" w:pos="540"/>
        </w:tabs>
        <w:ind w:left="540" w:hanging="270"/>
        <w:spacing w:after="80" w:line="300" w:lineRule="auto"/>
      </w:pPr>
    </w:lvl>
  </w:abstractNum>
  <w:num w:numId="33">
    <w:abstractNumId w:val="32"/>
  </w:num>
  <w:abstractNum w:abstractNumId="33">
    <w:multiLevelType w:val="singleLevel"/>
    <w:lvl w:ilvl="0">
      <w:start w:val="1"/>
      <w:numFmt w:val="bullet"/>
      <w:lvlText w:val="•"/>
      <w:pPr>
        <w:tabs>
          <w:tab w:val="num" w:pos="540"/>
        </w:tabs>
        <w:ind w:left="540" w:hanging="270"/>
        <w:spacing w:after="80" w:line="300" w:lineRule="auto"/>
      </w:pPr>
    </w:lvl>
  </w:abstractNum>
  <w:num w:numId="34">
    <w:abstractNumId w:val="33"/>
  </w:num>
  <w:abstractNum w:abstractNumId="34">
    <w:multiLevelType w:val="singleLevel"/>
    <w:lvl w:ilvl="0">
      <w:start w:val="1"/>
      <w:numFmt w:val="decimal"/>
      <w:lvlText w:val="%1."/>
      <w:pPr>
        <w:tabs>
          <w:tab w:val="num" w:pos="540"/>
        </w:tabs>
        <w:ind w:left="540" w:hanging="270"/>
        <w:spacing w:after="80" w:line="300" w:lineRule="auto"/>
      </w:pPr>
    </w:lvl>
  </w:abstractNum>
  <w:num w:numId="35">
    <w:abstractNumId w:val="34"/>
  </w:num>
  <w:abstractNum w:abstractNumId="35">
    <w:multiLevelType w:val="singleLevel"/>
    <w:lvl w:ilvl="0">
      <w:start w:val="1"/>
      <w:numFmt w:val="bullet"/>
      <w:lvlText w:val="•"/>
      <w:pPr>
        <w:tabs>
          <w:tab w:val="num" w:pos="540"/>
        </w:tabs>
        <w:ind w:left="540" w:hanging="270"/>
        <w:spacing w:after="80" w:line="300" w:lineRule="auto"/>
      </w:pPr>
    </w:lvl>
  </w:abstractNum>
  <w:num w:numId="36">
    <w:abstractNumId w:val="35"/>
  </w:num>
  <w:abstractNum w:abstractNumId="36">
    <w:multiLevelType w:val="singleLevel"/>
    <w:lvl w:ilvl="0">
      <w:start w:val="1"/>
      <w:numFmt w:val="decimal"/>
      <w:lvlText w:val="%1."/>
      <w:pPr>
        <w:tabs>
          <w:tab w:val="num" w:pos="540"/>
        </w:tabs>
        <w:ind w:left="540" w:hanging="270"/>
        <w:spacing w:after="80" w:line="300" w:lineRule="auto"/>
      </w:pPr>
    </w:lvl>
  </w:abstractNum>
  <w:num w:numId="37">
    <w:abstractNumId w:val="36"/>
  </w:num>
  <w:abstractNum w:abstractNumId="37">
    <w:multiLevelType w:val="singleLevel"/>
    <w:lvl w:ilvl="0">
      <w:start w:val="1"/>
      <w:numFmt w:val="bullet"/>
      <w:lvlText w:val="•"/>
      <w:pPr>
        <w:tabs>
          <w:tab w:val="num" w:pos="540"/>
        </w:tabs>
        <w:ind w:left="540" w:hanging="270"/>
        <w:spacing w:after="80" w:line="300" w:lineRule="auto"/>
      </w:pPr>
    </w:lvl>
  </w:abstractNum>
  <w:num w:numId="38">
    <w:abstractNumId w:val="37"/>
  </w:num>
  <w:abstractNum w:abstractNumId="38">
    <w:multiLevelType w:val="singleLevel"/>
    <w:lvl w:ilvl="0">
      <w:start w:val="1"/>
      <w:numFmt w:val="decimal"/>
      <w:lvlText w:val="%1."/>
      <w:pPr>
        <w:tabs>
          <w:tab w:val="num" w:pos="540"/>
        </w:tabs>
        <w:ind w:left="540" w:hanging="270"/>
        <w:spacing w:after="80" w:line="300" w:lineRule="auto"/>
      </w:pPr>
    </w:lvl>
  </w:abstractNum>
  <w:num w:numId="39">
    <w:abstractNumId w:val="38"/>
  </w:num>
  <w:abstractNum w:abstractNumId="39">
    <w:multiLevelType w:val="singleLevel"/>
    <w:lvl w:ilvl="0">
      <w:start w:val="1"/>
      <w:numFmt w:val="bullet"/>
      <w:lvlText w:val="•"/>
      <w:pPr>
        <w:tabs>
          <w:tab w:val="num" w:pos="540"/>
        </w:tabs>
        <w:ind w:left="540" w:hanging="270"/>
        <w:spacing w:after="80" w:line="300" w:lineRule="auto"/>
      </w:pPr>
    </w:lvl>
  </w:abstractNum>
  <w:num w:numId="40">
    <w:abstractNumId w:val="39"/>
  </w:num>
  <w:abstractNum w:abstractNumId="40">
    <w:multiLevelType w:val="singleLevel"/>
    <w:lvl w:ilvl="0">
      <w:start w:val="1"/>
      <w:numFmt w:val="decimal"/>
      <w:lvlText w:val="%1."/>
      <w:pPr>
        <w:tabs>
          <w:tab w:val="num" w:pos="540"/>
        </w:tabs>
        <w:ind w:left="540" w:hanging="270"/>
        <w:spacing w:after="80" w:line="300" w:lineRule="auto"/>
      </w:pPr>
    </w:lvl>
  </w:abstractNum>
  <w:num w:numId="41">
    <w:abstractNumId w:val="40"/>
  </w:num>
  <w:abstractNum w:abstractNumId="41">
    <w:multiLevelType w:val="singleLevel"/>
    <w:lvl w:ilvl="0">
      <w:start w:val="1"/>
      <w:numFmt w:val="bullet"/>
      <w:lvlText w:val="•"/>
      <w:pPr>
        <w:tabs>
          <w:tab w:val="num" w:pos="540"/>
        </w:tabs>
        <w:ind w:left="540" w:hanging="270"/>
        <w:spacing w:after="80" w:line="300" w:lineRule="auto"/>
      </w:pPr>
    </w:lvl>
  </w:abstractNum>
  <w:num w:numId="42">
    <w:abstractNumId w:val="41"/>
  </w:num>
  <w:abstractNum w:abstractNumId="42">
    <w:multiLevelType w:val="singleLevel"/>
    <w:lvl w:ilvl="0">
      <w:start w:val="1"/>
      <w:numFmt w:val="decimal"/>
      <w:lvlText w:val="%1."/>
      <w:pPr>
        <w:tabs>
          <w:tab w:val="num" w:pos="540"/>
        </w:tabs>
        <w:ind w:left="540" w:hanging="270"/>
        <w:spacing w:after="80" w:line="300" w:lineRule="auto"/>
      </w:pPr>
    </w:lvl>
  </w:abstractNum>
  <w:num w:numId="43">
    <w:abstractNumId w:val="42"/>
  </w:num>
  <w:abstractNum w:abstractNumId="43">
    <w:multiLevelType w:val="singleLevel"/>
    <w:lvl w:ilvl="0">
      <w:start w:val="1"/>
      <w:numFmt w:val="bullet"/>
      <w:lvlText w:val="•"/>
      <w:pPr>
        <w:tabs>
          <w:tab w:val="num" w:pos="540"/>
        </w:tabs>
        <w:ind w:left="540" w:hanging="270"/>
        <w:spacing w:after="80" w:line="300" w:lineRule="auto"/>
      </w:pPr>
    </w:lvl>
  </w:abstractNum>
  <w:num w:numId="44">
    <w:abstractNumId w:val="43"/>
  </w:num>
  <w:abstractNum w:abstractNumId="44">
    <w:multiLevelType w:val="singleLevel"/>
    <w:lvl w:ilvl="0">
      <w:start w:val="1"/>
      <w:numFmt w:val="decimal"/>
      <w:lvlText w:val="%1."/>
      <w:pPr>
        <w:tabs>
          <w:tab w:val="num" w:pos="540"/>
        </w:tabs>
        <w:ind w:left="540" w:hanging="270"/>
        <w:spacing w:after="80" w:line="300" w:lineRule="auto"/>
      </w:pPr>
    </w:lvl>
  </w:abstractNum>
  <w:num w:numId="4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Rwanda HIE Integration — Implementation and Verification Guide</dc:title>
  <dc:subject>CareLogic RHIE implementation, architecture, testing, and production-readiness reference</dc:subject>
  <dc:creator>CareLogic Engineering</dc:creator>
  <cp:keywords>CareLogic, Rwanda, RHIE, HIE, FHIR, integration, testing</cp:keywords>
  <dc:description>generated by python-docx</dc:description>
  <cp:lastModifiedBy/>
  <cp:revision>1</cp:revision>
  <dcterms:created xsi:type="dcterms:W3CDTF">2013-12-23T23:15:00Z</dcterms:created>
  <dcterms:modified xsi:type="dcterms:W3CDTF">2013-12-23T23:15:00Z</dcterms:modified>
  <cp:category/>
</cp:coreProperties>
</file>