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F4E78"/>
          <w:sz w:val="26"/>
        </w:rPr>
        <w:t>CODVEDA BUSINESS ANALYTICS INTERNSHIP</w:t>
      </w:r>
    </w:p>
    <w:p>
      <w:pPr>
        <w:spacing w:before="560"/>
        <w:jc w:val="center"/>
      </w:pPr>
      <w:r>
        <w:rPr>
          <w:b/>
          <w:color w:val="666666"/>
          <w:sz w:val="36"/>
        </w:rPr>
        <w:t>PROJECT 2</w:t>
      </w:r>
    </w:p>
    <w:p>
      <w:pPr>
        <w:jc w:val="center"/>
      </w:pPr>
      <w:r>
        <w:rPr>
          <w:rFonts w:ascii="Aptos Display" w:hAnsi="Aptos Display"/>
          <w:b/>
          <w:color w:val="1F4E78"/>
          <w:sz w:val="54"/>
        </w:rPr>
        <w:t>Customer Churn Prediction</w:t>
      </w:r>
    </w:p>
    <w:p>
      <w:pPr>
        <w:spacing w:before="240"/>
        <w:jc w:val="center"/>
      </w:pPr>
      <w:r>
        <w:rPr>
          <w:b/>
          <w:sz w:val="32"/>
        </w:rPr>
        <w:t>Final Project Report</w:t>
      </w:r>
    </w:p>
    <w:p>
      <w:pPr>
        <w:spacing w:before="1400"/>
        <w:jc w:val="center"/>
      </w:pPr>
      <w:r>
        <w:rPr>
          <w:color w:val="666666"/>
          <w:sz w:val="20"/>
        </w:rPr>
        <w:t>Dataset: churn-bigml-80.csv and churn-bigml-20.csv - 3,333 supplied records</w:t>
      </w:r>
    </w:p>
    <w:p>
      <w:pPr>
        <w:jc w:val="center"/>
      </w:pPr>
      <w:r>
        <w:rPr>
          <w:color w:val="666666"/>
          <w:sz w:val="20"/>
        </w:rPr>
        <w:t>September 2026</w:t>
      </w:r>
    </w:p>
    <w:p>
      <w:r>
        <w:br w:type="page"/>
      </w:r>
    </w:p>
    <w:p>
      <w:pPr>
        <w:pStyle w:val="Heading1"/>
      </w:pPr>
      <w:r>
        <w:t>1. Project Overview</w:t>
      </w:r>
    </w:p>
    <w:p>
      <w:r>
        <w:t>This project uses the supplied telecom churn datasets to predict whether a customer will churn. The main purpose is to compare classification models and identify useful churn signals that can support customer-retention decisions.</w:t>
      </w:r>
    </w:p>
    <w:p>
      <w:pPr>
        <w:pStyle w:val="Heading2"/>
      </w:pPr>
      <w:r>
        <w:t>Business questions</w:t>
      </w:r>
    </w:p>
    <w:p>
      <w:pPr>
        <w:pStyle w:val="ListBullet"/>
        <w:spacing w:after="40"/>
      </w:pPr>
      <w:r>
        <w:t>What is the churn rate in the supplied customer data?</w:t>
      </w:r>
    </w:p>
    <w:p>
      <w:pPr>
        <w:pStyle w:val="ListBullet"/>
        <w:spacing w:after="40"/>
      </w:pPr>
      <w:r>
        <w:t>Which customer characteristics are associated with higher churn?</w:t>
      </w:r>
    </w:p>
    <w:p>
      <w:pPr>
        <w:pStyle w:val="ListBullet"/>
        <w:spacing w:after="40"/>
      </w:pPr>
      <w:r>
        <w:t>Which classification model performs best on the supplied test set?</w:t>
      </w:r>
    </w:p>
    <w:p>
      <w:pPr>
        <w:pStyle w:val="ListBullet"/>
        <w:spacing w:after="40"/>
      </w:pPr>
      <w:r>
        <w:t>Which features are most useful for predicting churn?</w:t>
      </w:r>
    </w:p>
    <w:p>
      <w:pPr>
        <w:pStyle w:val="ListBullet"/>
        <w:spacing w:after="40"/>
      </w:pPr>
      <w:r>
        <w:t>How can the model results support a practical retention process?</w:t>
      </w:r>
    </w:p>
    <w:p>
      <w:pPr>
        <w:pStyle w:val="Heading2"/>
      </w:pPr>
      <w:r>
        <w:t>Internship task alignment</w:t>
      </w:r>
    </w:p>
    <w:p>
      <w:r>
        <w:t>This project directly supports the Predictive Analytics and Machine Learning task by using classification models for customer churn prediction and evaluating them on a separate supplied test set.</w:t>
      </w:r>
    </w:p>
    <w:p>
      <w:pPr>
        <w:pStyle w:val="Heading2"/>
      </w:pPr>
      <w:r>
        <w:t>Dataset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8"/>
          </w:tcPr>
          <w:p>
            <w:r/>
            <w:r>
              <w:rPr>
                <w:rFonts w:ascii="Aptos" w:hAnsi="Aptos"/>
                <w:b/>
                <w:color w:val="FFFFFF"/>
                <w:sz w:val="17"/>
              </w:rPr>
              <w:t>Item</w:t>
            </w:r>
          </w:p>
        </w:tc>
        <w:tc>
          <w:tcPr>
            <w:tcW w:type="dxa" w:w="1872"/>
            <w:vAlign w:val="center"/>
            <w:shd w:fill="1F4E78"/>
          </w:tcPr>
          <w:p>
            <w:r/>
            <w:r>
              <w:rPr>
                <w:rFonts w:ascii="Aptos" w:hAnsi="Aptos"/>
                <w:b/>
                <w:color w:val="FFFFFF"/>
                <w:sz w:val="17"/>
              </w:rPr>
              <w:t>Training</w:t>
            </w:r>
          </w:p>
        </w:tc>
        <w:tc>
          <w:tcPr>
            <w:tcW w:type="dxa" w:w="1872"/>
            <w:vAlign w:val="center"/>
            <w:shd w:fill="1F4E78"/>
          </w:tcPr>
          <w:p>
            <w:r/>
            <w:r>
              <w:rPr>
                <w:rFonts w:ascii="Aptos" w:hAnsi="Aptos"/>
                <w:b/>
                <w:color w:val="FFFFFF"/>
                <w:sz w:val="17"/>
              </w:rPr>
              <w:t>Testing</w:t>
            </w:r>
          </w:p>
        </w:tc>
        <w:tc>
          <w:tcPr>
            <w:tcW w:type="dxa" w:w="2016"/>
            <w:vAlign w:val="center"/>
            <w:shd w:fill="1F4E78"/>
          </w:tcPr>
          <w:p>
            <w:r/>
            <w:r>
              <w:rPr>
                <w:rFonts w:ascii="Aptos" w:hAnsi="Aptos"/>
                <w:b/>
                <w:color w:val="FFFFFF"/>
                <w:sz w:val="17"/>
              </w:rPr>
              <w:t>Combined</w:t>
            </w:r>
          </w:p>
        </w:tc>
      </w:tr>
      <w:tr>
        <w:tc>
          <w:tcPr>
            <w:tcW w:type="dxa" w:w="2592"/>
            <w:vAlign w:val="center"/>
          </w:tcPr>
          <w:p>
            <w:r/>
            <w:r>
              <w:rPr>
                <w:rFonts w:ascii="Aptos" w:hAnsi="Aptos"/>
                <w:b w:val="0"/>
                <w:color w:val="222222"/>
                <w:sz w:val="17"/>
              </w:rPr>
              <w:t>Rows</w:t>
            </w:r>
          </w:p>
        </w:tc>
        <w:tc>
          <w:tcPr>
            <w:tcW w:type="dxa" w:w="1872"/>
            <w:vAlign w:val="center"/>
          </w:tcPr>
          <w:p>
            <w:r/>
            <w:r>
              <w:rPr>
                <w:rFonts w:ascii="Aptos" w:hAnsi="Aptos"/>
                <w:b w:val="0"/>
                <w:color w:val="222222"/>
                <w:sz w:val="17"/>
              </w:rPr>
              <w:t>2,666</w:t>
            </w:r>
          </w:p>
        </w:tc>
        <w:tc>
          <w:tcPr>
            <w:tcW w:type="dxa" w:w="1872"/>
            <w:vAlign w:val="center"/>
          </w:tcPr>
          <w:p>
            <w:r/>
            <w:r>
              <w:rPr>
                <w:rFonts w:ascii="Aptos" w:hAnsi="Aptos"/>
                <w:b w:val="0"/>
                <w:color w:val="222222"/>
                <w:sz w:val="17"/>
              </w:rPr>
              <w:t>667</w:t>
            </w:r>
          </w:p>
        </w:tc>
        <w:tc>
          <w:tcPr>
            <w:tcW w:type="dxa" w:w="2016"/>
            <w:vAlign w:val="center"/>
          </w:tcPr>
          <w:p>
            <w:r/>
            <w:r>
              <w:rPr>
                <w:rFonts w:ascii="Aptos" w:hAnsi="Aptos"/>
                <w:b w:val="0"/>
                <w:color w:val="222222"/>
                <w:sz w:val="17"/>
              </w:rPr>
              <w:t>3,333</w:t>
            </w:r>
          </w:p>
        </w:tc>
      </w:tr>
      <w:tr>
        <w:tc>
          <w:tcPr>
            <w:tcW w:type="dxa" w:w="2592"/>
            <w:vAlign w:val="center"/>
          </w:tcPr>
          <w:p>
            <w:r/>
            <w:r>
              <w:rPr>
                <w:rFonts w:ascii="Aptos" w:hAnsi="Aptos"/>
                <w:b w:val="0"/>
                <w:color w:val="222222"/>
                <w:sz w:val="17"/>
              </w:rPr>
              <w:t>Columns</w:t>
            </w:r>
          </w:p>
        </w:tc>
        <w:tc>
          <w:tcPr>
            <w:tcW w:type="dxa" w:w="1872"/>
            <w:vAlign w:val="center"/>
          </w:tcPr>
          <w:p>
            <w:r/>
            <w:r>
              <w:rPr>
                <w:rFonts w:ascii="Aptos" w:hAnsi="Aptos"/>
                <w:b w:val="0"/>
                <w:color w:val="222222"/>
                <w:sz w:val="17"/>
              </w:rPr>
              <w:t>20</w:t>
            </w:r>
          </w:p>
        </w:tc>
        <w:tc>
          <w:tcPr>
            <w:tcW w:type="dxa" w:w="1872"/>
            <w:vAlign w:val="center"/>
          </w:tcPr>
          <w:p>
            <w:r/>
            <w:r>
              <w:rPr>
                <w:rFonts w:ascii="Aptos" w:hAnsi="Aptos"/>
                <w:b w:val="0"/>
                <w:color w:val="222222"/>
                <w:sz w:val="17"/>
              </w:rPr>
              <w:t>20</w:t>
            </w:r>
          </w:p>
        </w:tc>
        <w:tc>
          <w:tcPr>
            <w:tcW w:type="dxa" w:w="2016"/>
            <w:vAlign w:val="center"/>
          </w:tcPr>
          <w:p>
            <w:r/>
            <w:r>
              <w:rPr>
                <w:rFonts w:ascii="Aptos" w:hAnsi="Aptos"/>
                <w:b w:val="0"/>
                <w:color w:val="222222"/>
                <w:sz w:val="17"/>
              </w:rPr>
              <w:t>20</w:t>
            </w:r>
          </w:p>
        </w:tc>
      </w:tr>
      <w:tr>
        <w:tc>
          <w:tcPr>
            <w:tcW w:type="dxa" w:w="2592"/>
            <w:vAlign w:val="center"/>
          </w:tcPr>
          <w:p>
            <w:r/>
            <w:r>
              <w:rPr>
                <w:rFonts w:ascii="Aptos" w:hAnsi="Aptos"/>
                <w:b w:val="0"/>
                <w:color w:val="222222"/>
                <w:sz w:val="17"/>
              </w:rPr>
              <w:t>Missing values</w:t>
            </w:r>
          </w:p>
        </w:tc>
        <w:tc>
          <w:tcPr>
            <w:tcW w:type="dxa" w:w="1872"/>
            <w:vAlign w:val="center"/>
          </w:tcPr>
          <w:p>
            <w:r/>
            <w:r>
              <w:rPr>
                <w:rFonts w:ascii="Aptos" w:hAnsi="Aptos"/>
                <w:b w:val="0"/>
                <w:color w:val="222222"/>
                <w:sz w:val="17"/>
              </w:rPr>
              <w:t>0</w:t>
            </w:r>
          </w:p>
        </w:tc>
        <w:tc>
          <w:tcPr>
            <w:tcW w:type="dxa" w:w="1872"/>
            <w:vAlign w:val="center"/>
          </w:tcPr>
          <w:p>
            <w:r/>
            <w:r>
              <w:rPr>
                <w:rFonts w:ascii="Aptos" w:hAnsi="Aptos"/>
                <w:b w:val="0"/>
                <w:color w:val="222222"/>
                <w:sz w:val="17"/>
              </w:rPr>
              <w:t>0</w:t>
            </w:r>
          </w:p>
        </w:tc>
        <w:tc>
          <w:tcPr>
            <w:tcW w:type="dxa" w:w="2016"/>
            <w:vAlign w:val="center"/>
          </w:tcPr>
          <w:p>
            <w:r/>
            <w:r>
              <w:rPr>
                <w:rFonts w:ascii="Aptos" w:hAnsi="Aptos"/>
                <w:b w:val="0"/>
                <w:color w:val="222222"/>
                <w:sz w:val="17"/>
              </w:rPr>
              <w:t>0</w:t>
            </w:r>
          </w:p>
        </w:tc>
      </w:tr>
      <w:tr>
        <w:tc>
          <w:tcPr>
            <w:tcW w:type="dxa" w:w="2592"/>
            <w:vAlign w:val="center"/>
          </w:tcPr>
          <w:p>
            <w:r/>
            <w:r>
              <w:rPr>
                <w:rFonts w:ascii="Aptos" w:hAnsi="Aptos"/>
                <w:b w:val="0"/>
                <w:color w:val="222222"/>
                <w:sz w:val="17"/>
              </w:rPr>
              <w:t>Duplicate rows</w:t>
            </w:r>
          </w:p>
        </w:tc>
        <w:tc>
          <w:tcPr>
            <w:tcW w:type="dxa" w:w="1872"/>
            <w:vAlign w:val="center"/>
          </w:tcPr>
          <w:p>
            <w:r/>
            <w:r>
              <w:rPr>
                <w:rFonts w:ascii="Aptos" w:hAnsi="Aptos"/>
                <w:b w:val="0"/>
                <w:color w:val="222222"/>
                <w:sz w:val="17"/>
              </w:rPr>
              <w:t>0</w:t>
            </w:r>
          </w:p>
        </w:tc>
        <w:tc>
          <w:tcPr>
            <w:tcW w:type="dxa" w:w="1872"/>
            <w:vAlign w:val="center"/>
          </w:tcPr>
          <w:p>
            <w:r/>
            <w:r>
              <w:rPr>
                <w:rFonts w:ascii="Aptos" w:hAnsi="Aptos"/>
                <w:b w:val="0"/>
                <w:color w:val="222222"/>
                <w:sz w:val="17"/>
              </w:rPr>
              <w:t>0</w:t>
            </w:r>
          </w:p>
        </w:tc>
        <w:tc>
          <w:tcPr>
            <w:tcW w:type="dxa" w:w="2016"/>
            <w:vAlign w:val="center"/>
          </w:tcPr>
          <w:p>
            <w:r/>
            <w:r>
              <w:rPr>
                <w:rFonts w:ascii="Aptos" w:hAnsi="Aptos"/>
                <w:b w:val="0"/>
                <w:color w:val="222222"/>
                <w:sz w:val="17"/>
              </w:rPr>
              <w:t>-</w:t>
            </w:r>
          </w:p>
        </w:tc>
      </w:tr>
      <w:tr>
        <w:tc>
          <w:tcPr>
            <w:tcW w:type="dxa" w:w="2592"/>
            <w:vAlign w:val="center"/>
          </w:tcPr>
          <w:p>
            <w:r/>
            <w:r>
              <w:rPr>
                <w:rFonts w:ascii="Aptos" w:hAnsi="Aptos"/>
                <w:b w:val="0"/>
                <w:color w:val="222222"/>
                <w:sz w:val="17"/>
              </w:rPr>
              <w:t>Churned customers</w:t>
            </w:r>
          </w:p>
        </w:tc>
        <w:tc>
          <w:tcPr>
            <w:tcW w:type="dxa" w:w="1872"/>
            <w:vAlign w:val="center"/>
          </w:tcPr>
          <w:p>
            <w:r/>
            <w:r>
              <w:rPr>
                <w:rFonts w:ascii="Aptos" w:hAnsi="Aptos"/>
                <w:b w:val="0"/>
                <w:color w:val="222222"/>
                <w:sz w:val="17"/>
              </w:rPr>
              <w:t>388</w:t>
            </w:r>
          </w:p>
        </w:tc>
        <w:tc>
          <w:tcPr>
            <w:tcW w:type="dxa" w:w="1872"/>
            <w:vAlign w:val="center"/>
          </w:tcPr>
          <w:p>
            <w:r/>
            <w:r>
              <w:rPr>
                <w:rFonts w:ascii="Aptos" w:hAnsi="Aptos"/>
                <w:b w:val="0"/>
                <w:color w:val="222222"/>
                <w:sz w:val="17"/>
              </w:rPr>
              <w:t>95</w:t>
            </w:r>
          </w:p>
        </w:tc>
        <w:tc>
          <w:tcPr>
            <w:tcW w:type="dxa" w:w="2016"/>
            <w:vAlign w:val="center"/>
          </w:tcPr>
          <w:p>
            <w:r/>
            <w:r>
              <w:rPr>
                <w:rFonts w:ascii="Aptos" w:hAnsi="Aptos"/>
                <w:b w:val="0"/>
                <w:color w:val="222222"/>
                <w:sz w:val="17"/>
              </w:rPr>
              <w:t>483</w:t>
            </w:r>
          </w:p>
        </w:tc>
      </w:tr>
      <w:tr>
        <w:tc>
          <w:tcPr>
            <w:tcW w:type="dxa" w:w="2592"/>
            <w:vAlign w:val="center"/>
          </w:tcPr>
          <w:p>
            <w:r/>
            <w:r>
              <w:rPr>
                <w:rFonts w:ascii="Aptos" w:hAnsi="Aptos"/>
                <w:b w:val="0"/>
                <w:color w:val="222222"/>
                <w:sz w:val="17"/>
              </w:rPr>
              <w:t>Churn rate</w:t>
            </w:r>
          </w:p>
        </w:tc>
        <w:tc>
          <w:tcPr>
            <w:tcW w:type="dxa" w:w="1872"/>
            <w:vAlign w:val="center"/>
          </w:tcPr>
          <w:p>
            <w:r/>
            <w:r>
              <w:rPr>
                <w:rFonts w:ascii="Aptos" w:hAnsi="Aptos"/>
                <w:b w:val="0"/>
                <w:color w:val="222222"/>
                <w:sz w:val="17"/>
              </w:rPr>
              <w:t>14.55%</w:t>
            </w:r>
          </w:p>
        </w:tc>
        <w:tc>
          <w:tcPr>
            <w:tcW w:type="dxa" w:w="1872"/>
            <w:vAlign w:val="center"/>
          </w:tcPr>
          <w:p>
            <w:r/>
            <w:r>
              <w:rPr>
                <w:rFonts w:ascii="Aptos" w:hAnsi="Aptos"/>
                <w:b w:val="0"/>
                <w:color w:val="222222"/>
                <w:sz w:val="17"/>
              </w:rPr>
              <w:t>14.24%</w:t>
            </w:r>
          </w:p>
        </w:tc>
        <w:tc>
          <w:tcPr>
            <w:tcW w:type="dxa" w:w="2016"/>
            <w:vAlign w:val="center"/>
          </w:tcPr>
          <w:p>
            <w:r/>
            <w:r>
              <w:rPr>
                <w:rFonts w:ascii="Aptos" w:hAnsi="Aptos"/>
                <w:b w:val="0"/>
                <w:color w:val="222222"/>
                <w:sz w:val="17"/>
              </w:rPr>
              <w:t>14.49%</w:t>
            </w:r>
          </w:p>
        </w:tc>
      </w:tr>
    </w:tbl>
    <w:p>
      <w:pPr>
        <w:spacing w:after="0"/>
      </w:pPr>
    </w:p>
    <w:p>
      <w:r>
        <w:br w:type="page"/>
      </w:r>
    </w:p>
    <w:p>
      <w:pPr>
        <w:pStyle w:val="Heading1"/>
      </w:pPr>
      <w:r>
        <w:t>2. Data Preparation and Method</w:t>
      </w:r>
    </w:p>
    <w:p>
      <w:r>
        <w:t>The supplied 80% training file and 20% testing file were kept as the train/test split. International plan and Voice mail plan were encoded as 0/1. Churn was converted from True/False to 1/0. State was label-encoded using the training data, and Area code was excluded from the model feature set because it is a location code rather than an ordered numeric measure. Numeric predictors were standardized for Logistic Regression only.</w:t>
      </w:r>
    </w:p>
    <w:p>
      <w:pPr>
        <w:pStyle w:val="Heading2"/>
      </w:pPr>
      <w:r>
        <w:t>Models compared</w:t>
      </w:r>
    </w:p>
    <w:p>
      <w:pPr>
        <w:pStyle w:val="ListBullet"/>
        <w:spacing w:after="40"/>
      </w:pPr>
      <w:r>
        <w:t>Logistic Regression with standardized predictors.</w:t>
      </w:r>
    </w:p>
    <w:p>
      <w:pPr>
        <w:pStyle w:val="ListBullet"/>
        <w:spacing w:after="40"/>
      </w:pPr>
      <w:r>
        <w:t>Decision Tree with max_depth = 6.</w:t>
      </w:r>
    </w:p>
    <w:p>
      <w:pPr>
        <w:pStyle w:val="ListBullet"/>
        <w:spacing w:after="40"/>
      </w:pPr>
      <w:r>
        <w:t>Random Forest with 200 trees and max_depth = 10.</w:t>
      </w:r>
    </w:p>
    <w:p>
      <w:pPr>
        <w:pStyle w:val="Heading2"/>
      </w:pPr>
      <w:r>
        <w:t>Evaluation measures</w:t>
      </w:r>
    </w:p>
    <w:p>
      <w:r>
        <w:t>Because churn is only 14.49% of the combined data, Accuracy alone can be misleading. The models were compared using Accuracy, Precision, Recall, F1-score and ROC-AUC. Confusion matrices were also reviewed to see how many churners each model correctly identified or missed.</w:t>
      </w:r>
    </w:p>
    <w:p>
      <w:pPr>
        <w:jc w:val="center"/>
      </w:pPr>
      <w:r>
        <w:drawing>
          <wp:inline xmlns:a="http://schemas.openxmlformats.org/drawingml/2006/main" xmlns:pic="http://schemas.openxmlformats.org/drawingml/2006/picture">
            <wp:extent cx="4937760" cy="4095068"/>
            <wp:docPr id="1" name="Picture 1"/>
            <wp:cNvGraphicFramePr>
              <a:graphicFrameLocks noChangeAspect="1"/>
            </wp:cNvGraphicFramePr>
            <a:graphic>
              <a:graphicData uri="http://schemas.openxmlformats.org/drawingml/2006/picture">
                <pic:pic>
                  <pic:nvPicPr>
                    <pic:cNvPr id="0" name="eebbd093f0db937cbb3c4787c64ce49b9bc1a538.png"/>
                    <pic:cNvPicPr/>
                  </pic:nvPicPr>
                  <pic:blipFill>
                    <a:blip r:embed="rId10"/>
                    <a:stretch>
                      <a:fillRect/>
                    </a:stretch>
                  </pic:blipFill>
                  <pic:spPr>
                    <a:xfrm>
                      <a:off x="0" y="0"/>
                      <a:ext cx="4937760" cy="4095068"/>
                    </a:xfrm>
                    <a:prstGeom prst="rect"/>
                  </pic:spPr>
                </pic:pic>
              </a:graphicData>
            </a:graphic>
          </wp:inline>
        </w:drawing>
      </w:r>
    </w:p>
    <w:p>
      <w:pPr>
        <w:spacing w:after="120"/>
        <w:jc w:val="center"/>
      </w:pPr>
      <w:r>
        <w:rPr>
          <w:i/>
          <w:color w:val="666666"/>
          <w:sz w:val="16"/>
        </w:rPr>
        <w:t>Figure 1. Churn distribution in the supplied training set.</w:t>
      </w:r>
    </w:p>
    <w:p>
      <w:r>
        <w:br w:type="page"/>
      </w:r>
    </w:p>
    <w:p>
      <w:pPr>
        <w:pStyle w:val="Heading1"/>
      </w:pPr>
      <w:r>
        <w:t>3. Churn Patterns in the Data</w:t>
      </w:r>
    </w:p>
    <w:p>
      <w:r>
        <w:t>The combined churn rate is 14.49%, equal to 483 churned customers out of 3,333 records. International plan customers have a much higher observed churn rate at 43.70%, compared with 11.27% among customers without the plan. Voice mail plan customers have a lower observed churn rate at 8.87%, compared with 16.71% among customers without it.</w:t>
      </w:r>
    </w:p>
    <w:p>
      <w:pPr>
        <w:jc w:val="center"/>
      </w:pPr>
      <w:r>
        <w:drawing>
          <wp:inline xmlns:a="http://schemas.openxmlformats.org/drawingml/2006/main" xmlns:pic="http://schemas.openxmlformats.org/drawingml/2006/picture">
            <wp:extent cx="5669280" cy="2152057"/>
            <wp:docPr id="2" name="Picture 2"/>
            <wp:cNvGraphicFramePr>
              <a:graphicFrameLocks noChangeAspect="1"/>
            </wp:cNvGraphicFramePr>
            <a:graphic>
              <a:graphicData uri="http://schemas.openxmlformats.org/drawingml/2006/picture">
                <pic:pic>
                  <pic:nvPicPr>
                    <pic:cNvPr id="0" name="83f6a6ffd2d85ff5f736a7b8c658eaf4ee399bd5.png"/>
                    <pic:cNvPicPr/>
                  </pic:nvPicPr>
                  <pic:blipFill>
                    <a:blip r:embed="rId11"/>
                    <a:stretch>
                      <a:fillRect/>
                    </a:stretch>
                  </pic:blipFill>
                  <pic:spPr>
                    <a:xfrm>
                      <a:off x="0" y="0"/>
                      <a:ext cx="5669280" cy="2152057"/>
                    </a:xfrm>
                    <a:prstGeom prst="rect"/>
                  </pic:spPr>
                </pic:pic>
              </a:graphicData>
            </a:graphic>
          </wp:inline>
        </w:drawing>
      </w:r>
    </w:p>
    <w:p>
      <w:pPr>
        <w:spacing w:after="120"/>
        <w:jc w:val="center"/>
      </w:pPr>
      <w:r>
        <w:rPr>
          <w:i/>
          <w:color w:val="666666"/>
          <w:sz w:val="16"/>
        </w:rPr>
        <w:t>Figure 2. Churn by International Plan and Voice Mail Plan from the executed notebook.</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F4E78"/>
          </w:tcPr>
          <w:p>
            <w:r/>
            <w:r>
              <w:rPr>
                <w:rFonts w:ascii="Aptos" w:hAnsi="Aptos"/>
                <w:b/>
                <w:color w:val="FFFFFF"/>
                <w:sz w:val="17"/>
              </w:rPr>
              <w:t>Segment</w:t>
            </w:r>
          </w:p>
        </w:tc>
        <w:tc>
          <w:tcPr>
            <w:tcW w:type="dxa" w:w="2880"/>
            <w:vAlign w:val="center"/>
            <w:shd w:fill="1F4E78"/>
          </w:tcPr>
          <w:p>
            <w:r/>
            <w:r>
              <w:rPr>
                <w:rFonts w:ascii="Aptos" w:hAnsi="Aptos"/>
                <w:b/>
                <w:color w:val="FFFFFF"/>
                <w:sz w:val="17"/>
              </w:rPr>
              <w:t>Churn rate</w:t>
            </w:r>
          </w:p>
        </w:tc>
      </w:tr>
      <w:tr>
        <w:tc>
          <w:tcPr>
            <w:tcW w:type="dxa" w:w="4608"/>
            <w:vAlign w:val="center"/>
          </w:tcPr>
          <w:p>
            <w:r/>
            <w:r>
              <w:rPr>
                <w:rFonts w:ascii="Aptos" w:hAnsi="Aptos"/>
                <w:b w:val="0"/>
                <w:color w:val="222222"/>
                <w:sz w:val="17"/>
              </w:rPr>
              <w:t>International plan = Yes</w:t>
            </w:r>
          </w:p>
        </w:tc>
        <w:tc>
          <w:tcPr>
            <w:tcW w:type="dxa" w:w="2880"/>
            <w:vAlign w:val="center"/>
          </w:tcPr>
          <w:p>
            <w:r/>
            <w:r>
              <w:rPr>
                <w:rFonts w:ascii="Aptos" w:hAnsi="Aptos"/>
                <w:b w:val="0"/>
                <w:color w:val="222222"/>
                <w:sz w:val="17"/>
              </w:rPr>
              <w:t>43.70%</w:t>
            </w:r>
          </w:p>
        </w:tc>
      </w:tr>
      <w:tr>
        <w:tc>
          <w:tcPr>
            <w:tcW w:type="dxa" w:w="4608"/>
            <w:vAlign w:val="center"/>
          </w:tcPr>
          <w:p>
            <w:r/>
            <w:r>
              <w:rPr>
                <w:rFonts w:ascii="Aptos" w:hAnsi="Aptos"/>
                <w:b w:val="0"/>
                <w:color w:val="222222"/>
                <w:sz w:val="17"/>
              </w:rPr>
              <w:t>International plan = No</w:t>
            </w:r>
          </w:p>
        </w:tc>
        <w:tc>
          <w:tcPr>
            <w:tcW w:type="dxa" w:w="2880"/>
            <w:vAlign w:val="center"/>
          </w:tcPr>
          <w:p>
            <w:r/>
            <w:r>
              <w:rPr>
                <w:rFonts w:ascii="Aptos" w:hAnsi="Aptos"/>
                <w:b w:val="0"/>
                <w:color w:val="222222"/>
                <w:sz w:val="17"/>
              </w:rPr>
              <w:t>11.27%</w:t>
            </w:r>
          </w:p>
        </w:tc>
      </w:tr>
      <w:tr>
        <w:tc>
          <w:tcPr>
            <w:tcW w:type="dxa" w:w="4608"/>
            <w:vAlign w:val="center"/>
          </w:tcPr>
          <w:p>
            <w:r/>
            <w:r>
              <w:rPr>
                <w:rFonts w:ascii="Aptos" w:hAnsi="Aptos"/>
                <w:b w:val="0"/>
                <w:color w:val="222222"/>
                <w:sz w:val="17"/>
              </w:rPr>
              <w:t>Voice mail plan = Yes</w:t>
            </w:r>
          </w:p>
        </w:tc>
        <w:tc>
          <w:tcPr>
            <w:tcW w:type="dxa" w:w="2880"/>
            <w:vAlign w:val="center"/>
          </w:tcPr>
          <w:p>
            <w:r/>
            <w:r>
              <w:rPr>
                <w:rFonts w:ascii="Aptos" w:hAnsi="Aptos"/>
                <w:b w:val="0"/>
                <w:color w:val="222222"/>
                <w:sz w:val="17"/>
              </w:rPr>
              <w:t>8.87%</w:t>
            </w:r>
          </w:p>
        </w:tc>
      </w:tr>
      <w:tr>
        <w:tc>
          <w:tcPr>
            <w:tcW w:type="dxa" w:w="4608"/>
            <w:vAlign w:val="center"/>
          </w:tcPr>
          <w:p>
            <w:r/>
            <w:r>
              <w:rPr>
                <w:rFonts w:ascii="Aptos" w:hAnsi="Aptos"/>
                <w:b w:val="0"/>
                <w:color w:val="222222"/>
                <w:sz w:val="17"/>
              </w:rPr>
              <w:t>Voice mail plan = No</w:t>
            </w:r>
          </w:p>
        </w:tc>
        <w:tc>
          <w:tcPr>
            <w:tcW w:type="dxa" w:w="2880"/>
            <w:vAlign w:val="center"/>
          </w:tcPr>
          <w:p>
            <w:r/>
            <w:r>
              <w:rPr>
                <w:rFonts w:ascii="Aptos" w:hAnsi="Aptos"/>
                <w:b w:val="0"/>
                <w:color w:val="222222"/>
                <w:sz w:val="17"/>
              </w:rPr>
              <w:t>16.71%</w:t>
            </w:r>
          </w:p>
        </w:tc>
      </w:tr>
    </w:tbl>
    <w:p>
      <w:pPr>
        <w:spacing w:after="0"/>
      </w:pPr>
    </w:p>
    <w:p>
      <w:r>
        <w:t>Churned customers also average more customer service calls (2.21 versus 1.45) and more total day minutes (205.18 versus 175.10) than customers who stayed. These are associations in the supplied data and should not be treated as proof of causation.</w:t>
      </w:r>
    </w:p>
    <w:p>
      <w:pPr>
        <w:jc w:val="center"/>
      </w:pPr>
      <w:r>
        <w:drawing>
          <wp:inline xmlns:a="http://schemas.openxmlformats.org/drawingml/2006/main" xmlns:pic="http://schemas.openxmlformats.org/drawingml/2006/picture">
            <wp:extent cx="5577840" cy="3845793"/>
            <wp:docPr id="3" name="Picture 3"/>
            <wp:cNvGraphicFramePr>
              <a:graphicFrameLocks noChangeAspect="1"/>
            </wp:cNvGraphicFramePr>
            <a:graphic>
              <a:graphicData uri="http://schemas.openxmlformats.org/drawingml/2006/picture">
                <pic:pic>
                  <pic:nvPicPr>
                    <pic:cNvPr id="0" name="990477a735db9f3fedf58d132531111d6897fdb2.png"/>
                    <pic:cNvPicPr/>
                  </pic:nvPicPr>
                  <pic:blipFill>
                    <a:blip r:embed="rId12"/>
                    <a:stretch>
                      <a:fillRect/>
                    </a:stretch>
                  </pic:blipFill>
                  <pic:spPr>
                    <a:xfrm>
                      <a:off x="0" y="0"/>
                      <a:ext cx="5577840" cy="3845793"/>
                    </a:xfrm>
                    <a:prstGeom prst="rect"/>
                  </pic:spPr>
                </pic:pic>
              </a:graphicData>
            </a:graphic>
          </wp:inline>
        </w:drawing>
      </w:r>
    </w:p>
    <w:p>
      <w:pPr>
        <w:spacing w:after="120"/>
        <w:jc w:val="center"/>
      </w:pPr>
      <w:r>
        <w:rPr>
          <w:i/>
          <w:color w:val="666666"/>
          <w:sz w:val="16"/>
        </w:rPr>
        <w:t>Figure 3. Usage patterns by churn status from the executed notebook.</w:t>
      </w:r>
    </w:p>
    <w:p>
      <w:r>
        <w:br w:type="page"/>
      </w:r>
    </w:p>
    <w:p>
      <w:pPr>
        <w:pStyle w:val="Heading1"/>
      </w:pPr>
      <w:r>
        <w:t>4. Model Performance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92"/>
            <w:vAlign w:val="center"/>
            <w:shd w:fill="1F4E78"/>
          </w:tcPr>
          <w:p>
            <w:r/>
            <w:r>
              <w:rPr>
                <w:rFonts w:ascii="Aptos" w:hAnsi="Aptos"/>
                <w:b/>
                <w:color w:val="FFFFFF"/>
                <w:sz w:val="17"/>
              </w:rPr>
              <w:t>Model</w:t>
            </w:r>
          </w:p>
        </w:tc>
        <w:tc>
          <w:tcPr>
            <w:tcW w:type="dxa" w:w="1440"/>
            <w:vAlign w:val="center"/>
            <w:shd w:fill="1F4E78"/>
          </w:tcPr>
          <w:p>
            <w:r/>
            <w:r>
              <w:rPr>
                <w:rFonts w:ascii="Aptos" w:hAnsi="Aptos"/>
                <w:b/>
                <w:color w:val="FFFFFF"/>
                <w:sz w:val="17"/>
              </w:rPr>
              <w:t>Accuracy</w:t>
            </w:r>
          </w:p>
        </w:tc>
        <w:tc>
          <w:tcPr>
            <w:tcW w:type="dxa" w:w="1440"/>
            <w:vAlign w:val="center"/>
            <w:shd w:fill="1F4E78"/>
          </w:tcPr>
          <w:p>
            <w:r/>
            <w:r>
              <w:rPr>
                <w:rFonts w:ascii="Aptos" w:hAnsi="Aptos"/>
                <w:b/>
                <w:color w:val="FFFFFF"/>
                <w:sz w:val="17"/>
              </w:rPr>
              <w:t>Precision</w:t>
            </w:r>
          </w:p>
        </w:tc>
        <w:tc>
          <w:tcPr>
            <w:tcW w:type="dxa" w:w="1440"/>
            <w:vAlign w:val="center"/>
            <w:shd w:fill="1F4E78"/>
          </w:tcPr>
          <w:p>
            <w:r/>
            <w:r>
              <w:rPr>
                <w:rFonts w:ascii="Aptos" w:hAnsi="Aptos"/>
                <w:b/>
                <w:color w:val="FFFFFF"/>
                <w:sz w:val="17"/>
              </w:rPr>
              <w:t>Recall</w:t>
            </w:r>
          </w:p>
        </w:tc>
        <w:tc>
          <w:tcPr>
            <w:tcW w:type="dxa" w:w="1296"/>
            <w:vAlign w:val="center"/>
            <w:shd w:fill="1F4E78"/>
          </w:tcPr>
          <w:p>
            <w:r/>
            <w:r>
              <w:rPr>
                <w:rFonts w:ascii="Aptos" w:hAnsi="Aptos"/>
                <w:b/>
                <w:color w:val="FFFFFF"/>
                <w:sz w:val="17"/>
              </w:rPr>
              <w:t>F1</w:t>
            </w:r>
          </w:p>
        </w:tc>
        <w:tc>
          <w:tcPr>
            <w:tcW w:type="dxa" w:w="1440"/>
            <w:vAlign w:val="center"/>
            <w:shd w:fill="1F4E78"/>
          </w:tcPr>
          <w:p>
            <w:r/>
            <w:r>
              <w:rPr>
                <w:rFonts w:ascii="Aptos" w:hAnsi="Aptos"/>
                <w:b/>
                <w:color w:val="FFFFFF"/>
                <w:sz w:val="17"/>
              </w:rPr>
              <w:t>ROC-AUC</w:t>
            </w:r>
          </w:p>
        </w:tc>
      </w:tr>
      <w:tr>
        <w:tc>
          <w:tcPr>
            <w:tcW w:type="dxa" w:w="2592"/>
            <w:vAlign w:val="center"/>
          </w:tcPr>
          <w:p>
            <w:r/>
            <w:r>
              <w:rPr>
                <w:rFonts w:ascii="Aptos" w:hAnsi="Aptos"/>
                <w:b w:val="0"/>
                <w:color w:val="222222"/>
                <w:sz w:val="17"/>
              </w:rPr>
              <w:t>Logistic Regression</w:t>
            </w:r>
          </w:p>
        </w:tc>
        <w:tc>
          <w:tcPr>
            <w:tcW w:type="dxa" w:w="1440"/>
            <w:vAlign w:val="center"/>
          </w:tcPr>
          <w:p>
            <w:r/>
            <w:r>
              <w:rPr>
                <w:rFonts w:ascii="Aptos" w:hAnsi="Aptos"/>
                <w:b w:val="0"/>
                <w:color w:val="222222"/>
                <w:sz w:val="17"/>
              </w:rPr>
              <w:t>85.46%</w:t>
            </w:r>
          </w:p>
        </w:tc>
        <w:tc>
          <w:tcPr>
            <w:tcW w:type="dxa" w:w="1440"/>
            <w:vAlign w:val="center"/>
          </w:tcPr>
          <w:p>
            <w:r/>
            <w:r>
              <w:rPr>
                <w:rFonts w:ascii="Aptos" w:hAnsi="Aptos"/>
                <w:b w:val="0"/>
                <w:color w:val="222222"/>
                <w:sz w:val="17"/>
              </w:rPr>
              <w:t>47.37%</w:t>
            </w:r>
          </w:p>
        </w:tc>
        <w:tc>
          <w:tcPr>
            <w:tcW w:type="dxa" w:w="1440"/>
            <w:vAlign w:val="center"/>
          </w:tcPr>
          <w:p>
            <w:r/>
            <w:r>
              <w:rPr>
                <w:rFonts w:ascii="Aptos" w:hAnsi="Aptos"/>
                <w:b w:val="0"/>
                <w:color w:val="222222"/>
                <w:sz w:val="17"/>
              </w:rPr>
              <w:t>18.95%</w:t>
            </w:r>
          </w:p>
        </w:tc>
        <w:tc>
          <w:tcPr>
            <w:tcW w:type="dxa" w:w="1296"/>
            <w:vAlign w:val="center"/>
          </w:tcPr>
          <w:p>
            <w:r/>
            <w:r>
              <w:rPr>
                <w:rFonts w:ascii="Aptos" w:hAnsi="Aptos"/>
                <w:b w:val="0"/>
                <w:color w:val="222222"/>
                <w:sz w:val="17"/>
              </w:rPr>
              <w:t>0.2707</w:t>
            </w:r>
          </w:p>
        </w:tc>
        <w:tc>
          <w:tcPr>
            <w:tcW w:type="dxa" w:w="1440"/>
            <w:vAlign w:val="center"/>
          </w:tcPr>
          <w:p>
            <w:r/>
            <w:r>
              <w:rPr>
                <w:rFonts w:ascii="Aptos" w:hAnsi="Aptos"/>
                <w:b w:val="0"/>
                <w:color w:val="222222"/>
                <w:sz w:val="17"/>
              </w:rPr>
              <w:t>0.8265</w:t>
            </w:r>
          </w:p>
        </w:tc>
      </w:tr>
      <w:tr>
        <w:tc>
          <w:tcPr>
            <w:tcW w:type="dxa" w:w="2592"/>
            <w:vAlign w:val="center"/>
          </w:tcPr>
          <w:p>
            <w:r/>
            <w:r>
              <w:rPr>
                <w:rFonts w:ascii="Aptos" w:hAnsi="Aptos"/>
                <w:b w:val="0"/>
                <w:color w:val="222222"/>
                <w:sz w:val="17"/>
              </w:rPr>
              <w:t>Decision Tree</w:t>
            </w:r>
          </w:p>
        </w:tc>
        <w:tc>
          <w:tcPr>
            <w:tcW w:type="dxa" w:w="1440"/>
            <w:vAlign w:val="center"/>
          </w:tcPr>
          <w:p>
            <w:r/>
            <w:r>
              <w:rPr>
                <w:rFonts w:ascii="Aptos" w:hAnsi="Aptos"/>
                <w:b w:val="0"/>
                <w:color w:val="222222"/>
                <w:sz w:val="17"/>
              </w:rPr>
              <w:t>95.35%</w:t>
            </w:r>
          </w:p>
        </w:tc>
        <w:tc>
          <w:tcPr>
            <w:tcW w:type="dxa" w:w="1440"/>
            <w:vAlign w:val="center"/>
          </w:tcPr>
          <w:p>
            <w:r/>
            <w:r>
              <w:rPr>
                <w:rFonts w:ascii="Aptos" w:hAnsi="Aptos"/>
                <w:b w:val="0"/>
                <w:color w:val="222222"/>
                <w:sz w:val="17"/>
              </w:rPr>
              <w:t>88.10%</w:t>
            </w:r>
          </w:p>
        </w:tc>
        <w:tc>
          <w:tcPr>
            <w:tcW w:type="dxa" w:w="1440"/>
            <w:vAlign w:val="center"/>
          </w:tcPr>
          <w:p>
            <w:r/>
            <w:r>
              <w:rPr>
                <w:rFonts w:ascii="Aptos" w:hAnsi="Aptos"/>
                <w:b w:val="0"/>
                <w:color w:val="222222"/>
                <w:sz w:val="17"/>
              </w:rPr>
              <w:t>77.89%</w:t>
            </w:r>
          </w:p>
        </w:tc>
        <w:tc>
          <w:tcPr>
            <w:tcW w:type="dxa" w:w="1296"/>
            <w:vAlign w:val="center"/>
          </w:tcPr>
          <w:p>
            <w:r/>
            <w:r>
              <w:rPr>
                <w:rFonts w:ascii="Aptos" w:hAnsi="Aptos"/>
                <w:b w:val="0"/>
                <w:color w:val="222222"/>
                <w:sz w:val="17"/>
              </w:rPr>
              <w:t>0.8268</w:t>
            </w:r>
          </w:p>
        </w:tc>
        <w:tc>
          <w:tcPr>
            <w:tcW w:type="dxa" w:w="1440"/>
            <w:vAlign w:val="center"/>
          </w:tcPr>
          <w:p>
            <w:r/>
            <w:r>
              <w:rPr>
                <w:rFonts w:ascii="Aptos" w:hAnsi="Aptos"/>
                <w:b w:val="0"/>
                <w:color w:val="222222"/>
                <w:sz w:val="17"/>
              </w:rPr>
              <w:t>0.8799</w:t>
            </w:r>
          </w:p>
        </w:tc>
      </w:tr>
      <w:tr>
        <w:tc>
          <w:tcPr>
            <w:tcW w:type="dxa" w:w="2592"/>
            <w:vAlign w:val="center"/>
          </w:tcPr>
          <w:p>
            <w:r/>
            <w:r>
              <w:rPr>
                <w:rFonts w:ascii="Aptos" w:hAnsi="Aptos"/>
                <w:b w:val="0"/>
                <w:color w:val="222222"/>
                <w:sz w:val="17"/>
              </w:rPr>
              <w:t>Random Forest</w:t>
            </w:r>
          </w:p>
        </w:tc>
        <w:tc>
          <w:tcPr>
            <w:tcW w:type="dxa" w:w="1440"/>
            <w:vAlign w:val="center"/>
          </w:tcPr>
          <w:p>
            <w:r/>
            <w:r>
              <w:rPr>
                <w:rFonts w:ascii="Aptos" w:hAnsi="Aptos"/>
                <w:b w:val="0"/>
                <w:color w:val="222222"/>
                <w:sz w:val="17"/>
              </w:rPr>
              <w:t>94.90%</w:t>
            </w:r>
          </w:p>
        </w:tc>
        <w:tc>
          <w:tcPr>
            <w:tcW w:type="dxa" w:w="1440"/>
            <w:vAlign w:val="center"/>
          </w:tcPr>
          <w:p>
            <w:r/>
            <w:r>
              <w:rPr>
                <w:rFonts w:ascii="Aptos" w:hAnsi="Aptos"/>
                <w:b w:val="0"/>
                <w:color w:val="222222"/>
                <w:sz w:val="17"/>
              </w:rPr>
              <w:t>92.96%</w:t>
            </w:r>
          </w:p>
        </w:tc>
        <w:tc>
          <w:tcPr>
            <w:tcW w:type="dxa" w:w="1440"/>
            <w:vAlign w:val="center"/>
          </w:tcPr>
          <w:p>
            <w:r/>
            <w:r>
              <w:rPr>
                <w:rFonts w:ascii="Aptos" w:hAnsi="Aptos"/>
                <w:b w:val="0"/>
                <w:color w:val="222222"/>
                <w:sz w:val="17"/>
              </w:rPr>
              <w:t>69.47%</w:t>
            </w:r>
          </w:p>
        </w:tc>
        <w:tc>
          <w:tcPr>
            <w:tcW w:type="dxa" w:w="1296"/>
            <w:vAlign w:val="center"/>
          </w:tcPr>
          <w:p>
            <w:r/>
            <w:r>
              <w:rPr>
                <w:rFonts w:ascii="Aptos" w:hAnsi="Aptos"/>
                <w:b w:val="0"/>
                <w:color w:val="222222"/>
                <w:sz w:val="17"/>
              </w:rPr>
              <w:t>0.7952</w:t>
            </w:r>
          </w:p>
        </w:tc>
        <w:tc>
          <w:tcPr>
            <w:tcW w:type="dxa" w:w="1440"/>
            <w:vAlign w:val="center"/>
          </w:tcPr>
          <w:p>
            <w:r/>
            <w:r>
              <w:rPr>
                <w:rFonts w:ascii="Aptos" w:hAnsi="Aptos"/>
                <w:b w:val="0"/>
                <w:color w:val="222222"/>
                <w:sz w:val="17"/>
              </w:rPr>
              <w:t>0.9266</w:t>
            </w:r>
          </w:p>
        </w:tc>
      </w:tr>
    </w:tbl>
    <w:p>
      <w:pPr>
        <w:spacing w:after="0"/>
      </w:pPr>
    </w:p>
    <w:p>
      <w:pPr>
        <w:jc w:val="center"/>
      </w:pPr>
      <w:r>
        <w:drawing>
          <wp:inline xmlns:a="http://schemas.openxmlformats.org/drawingml/2006/main" xmlns:pic="http://schemas.openxmlformats.org/drawingml/2006/picture">
            <wp:extent cx="5486400" cy="2967434"/>
            <wp:docPr id="4" name="Picture 4"/>
            <wp:cNvGraphicFramePr>
              <a:graphicFrameLocks noChangeAspect="1"/>
            </wp:cNvGraphicFramePr>
            <a:graphic>
              <a:graphicData uri="http://schemas.openxmlformats.org/drawingml/2006/picture">
                <pic:pic>
                  <pic:nvPicPr>
                    <pic:cNvPr id="0" name="3eab6f1d5230dfe87a6f2ae384dfe9f3ff707eb0.png"/>
                    <pic:cNvPicPr/>
                  </pic:nvPicPr>
                  <pic:blipFill>
                    <a:blip r:embed="rId13"/>
                    <a:stretch>
                      <a:fillRect/>
                    </a:stretch>
                  </pic:blipFill>
                  <pic:spPr>
                    <a:xfrm>
                      <a:off x="0" y="0"/>
                      <a:ext cx="5486400" cy="2967434"/>
                    </a:xfrm>
                    <a:prstGeom prst="rect"/>
                  </pic:spPr>
                </pic:pic>
              </a:graphicData>
            </a:graphic>
          </wp:inline>
        </w:drawing>
      </w:r>
    </w:p>
    <w:p>
      <w:pPr>
        <w:spacing w:after="120"/>
        <w:jc w:val="center"/>
      </w:pPr>
      <w:r>
        <w:rPr>
          <w:i/>
          <w:color w:val="666666"/>
          <w:sz w:val="16"/>
        </w:rPr>
        <w:t>Figure 4. Model metric comparison from the executed notebook.</w:t>
      </w:r>
    </w:p>
    <w:p>
      <w:pPr>
        <w:jc w:val="center"/>
      </w:pPr>
      <w:r>
        <w:drawing>
          <wp:inline xmlns:a="http://schemas.openxmlformats.org/drawingml/2006/main" xmlns:pic="http://schemas.openxmlformats.org/drawingml/2006/picture">
            <wp:extent cx="5303520" cy="4529424"/>
            <wp:docPr id="5" name="Picture 5"/>
            <wp:cNvGraphicFramePr>
              <a:graphicFrameLocks noChangeAspect="1"/>
            </wp:cNvGraphicFramePr>
            <a:graphic>
              <a:graphicData uri="http://schemas.openxmlformats.org/drawingml/2006/picture">
                <pic:pic>
                  <pic:nvPicPr>
                    <pic:cNvPr id="0" name="5e6ee8e912f1c3fd1e7b4391539ac7dbee80a9c6.png"/>
                    <pic:cNvPicPr/>
                  </pic:nvPicPr>
                  <pic:blipFill>
                    <a:blip r:embed="rId14"/>
                    <a:stretch>
                      <a:fillRect/>
                    </a:stretch>
                  </pic:blipFill>
                  <pic:spPr>
                    <a:xfrm>
                      <a:off x="0" y="0"/>
                      <a:ext cx="5303520" cy="4529424"/>
                    </a:xfrm>
                    <a:prstGeom prst="rect"/>
                  </pic:spPr>
                </pic:pic>
              </a:graphicData>
            </a:graphic>
          </wp:inline>
        </w:drawing>
      </w:r>
    </w:p>
    <w:p>
      <w:pPr>
        <w:spacing w:after="120"/>
        <w:jc w:val="center"/>
      </w:pPr>
      <w:r>
        <w:rPr>
          <w:i/>
          <w:color w:val="666666"/>
          <w:sz w:val="16"/>
        </w:rPr>
        <w:t>Figure 5. ROC curves for the three models from the executed notebook.</w:t>
      </w:r>
    </w:p>
    <w:p>
      <w:r>
        <w:t>The Decision Tree has the highest F1-score and higher Recall than the Random Forest, so it is selected as the main retention model for this analysis. Random Forest has the highest Precision and ROC-AUC, making it a reasonable alternative when reducing false-positive retention contacts is the priority.</w:t>
      </w:r>
    </w:p>
    <w:p>
      <w:r>
        <w:br w:type="page"/>
      </w:r>
    </w:p>
    <w:p>
      <w:pPr>
        <w:pStyle w:val="Heading1"/>
      </w:pPr>
      <w:r>
        <w:t>5. Confusion Matrices and Model Selection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168"/>
            <w:vAlign w:val="center"/>
            <w:shd w:fill="1F4E78"/>
          </w:tcPr>
          <w:p>
            <w:r/>
            <w:r>
              <w:rPr>
                <w:rFonts w:ascii="Aptos" w:hAnsi="Aptos"/>
                <w:b/>
                <w:color w:val="FFFFFF"/>
                <w:sz w:val="17"/>
              </w:rPr>
              <w:t>Model</w:t>
            </w:r>
          </w:p>
        </w:tc>
        <w:tc>
          <w:tcPr>
            <w:tcW w:type="dxa" w:w="1152"/>
            <w:vAlign w:val="center"/>
            <w:shd w:fill="1F4E78"/>
          </w:tcPr>
          <w:p>
            <w:r/>
            <w:r>
              <w:rPr>
                <w:rFonts w:ascii="Aptos" w:hAnsi="Aptos"/>
                <w:b/>
                <w:color w:val="FFFFFF"/>
                <w:sz w:val="17"/>
              </w:rPr>
              <w:t>TN</w:t>
            </w:r>
          </w:p>
        </w:tc>
        <w:tc>
          <w:tcPr>
            <w:tcW w:type="dxa" w:w="1152"/>
            <w:vAlign w:val="center"/>
            <w:shd w:fill="1F4E78"/>
          </w:tcPr>
          <w:p>
            <w:r/>
            <w:r>
              <w:rPr>
                <w:rFonts w:ascii="Aptos" w:hAnsi="Aptos"/>
                <w:b/>
                <w:color w:val="FFFFFF"/>
                <w:sz w:val="17"/>
              </w:rPr>
              <w:t>FP</w:t>
            </w:r>
          </w:p>
        </w:tc>
        <w:tc>
          <w:tcPr>
            <w:tcW w:type="dxa" w:w="1152"/>
            <w:vAlign w:val="center"/>
            <w:shd w:fill="1F4E78"/>
          </w:tcPr>
          <w:p>
            <w:r/>
            <w:r>
              <w:rPr>
                <w:rFonts w:ascii="Aptos" w:hAnsi="Aptos"/>
                <w:b/>
                <w:color w:val="FFFFFF"/>
                <w:sz w:val="17"/>
              </w:rPr>
              <w:t>FN</w:t>
            </w:r>
          </w:p>
        </w:tc>
        <w:tc>
          <w:tcPr>
            <w:tcW w:type="dxa" w:w="1152"/>
            <w:vAlign w:val="center"/>
            <w:shd w:fill="1F4E78"/>
          </w:tcPr>
          <w:p>
            <w:r/>
            <w:r>
              <w:rPr>
                <w:rFonts w:ascii="Aptos" w:hAnsi="Aptos"/>
                <w:b/>
                <w:color w:val="FFFFFF"/>
                <w:sz w:val="17"/>
              </w:rPr>
              <w:t>TP</w:t>
            </w:r>
          </w:p>
        </w:tc>
      </w:tr>
      <w:tr>
        <w:tc>
          <w:tcPr>
            <w:tcW w:type="dxa" w:w="3168"/>
            <w:vAlign w:val="center"/>
          </w:tcPr>
          <w:p>
            <w:r/>
            <w:r>
              <w:rPr>
                <w:rFonts w:ascii="Aptos" w:hAnsi="Aptos"/>
                <w:b w:val="0"/>
                <w:color w:val="222222"/>
                <w:sz w:val="17"/>
              </w:rPr>
              <w:t>Logistic Regression</w:t>
            </w:r>
          </w:p>
        </w:tc>
        <w:tc>
          <w:tcPr>
            <w:tcW w:type="dxa" w:w="1152"/>
            <w:vAlign w:val="center"/>
          </w:tcPr>
          <w:p>
            <w:r/>
            <w:r>
              <w:rPr>
                <w:rFonts w:ascii="Aptos" w:hAnsi="Aptos"/>
                <w:b w:val="0"/>
                <w:color w:val="222222"/>
                <w:sz w:val="17"/>
              </w:rPr>
              <w:t>552</w:t>
            </w:r>
          </w:p>
        </w:tc>
        <w:tc>
          <w:tcPr>
            <w:tcW w:type="dxa" w:w="1152"/>
            <w:vAlign w:val="center"/>
          </w:tcPr>
          <w:p>
            <w:r/>
            <w:r>
              <w:rPr>
                <w:rFonts w:ascii="Aptos" w:hAnsi="Aptos"/>
                <w:b w:val="0"/>
                <w:color w:val="222222"/>
                <w:sz w:val="17"/>
              </w:rPr>
              <w:t>20</w:t>
            </w:r>
          </w:p>
        </w:tc>
        <w:tc>
          <w:tcPr>
            <w:tcW w:type="dxa" w:w="1152"/>
            <w:vAlign w:val="center"/>
          </w:tcPr>
          <w:p>
            <w:r/>
            <w:r>
              <w:rPr>
                <w:rFonts w:ascii="Aptos" w:hAnsi="Aptos"/>
                <w:b w:val="0"/>
                <w:color w:val="222222"/>
                <w:sz w:val="17"/>
              </w:rPr>
              <w:t>77</w:t>
            </w:r>
          </w:p>
        </w:tc>
        <w:tc>
          <w:tcPr>
            <w:tcW w:type="dxa" w:w="1152"/>
            <w:vAlign w:val="center"/>
          </w:tcPr>
          <w:p>
            <w:r/>
            <w:r>
              <w:rPr>
                <w:rFonts w:ascii="Aptos" w:hAnsi="Aptos"/>
                <w:b w:val="0"/>
                <w:color w:val="222222"/>
                <w:sz w:val="17"/>
              </w:rPr>
              <w:t>18</w:t>
            </w:r>
          </w:p>
        </w:tc>
      </w:tr>
      <w:tr>
        <w:tc>
          <w:tcPr>
            <w:tcW w:type="dxa" w:w="3168"/>
            <w:vAlign w:val="center"/>
          </w:tcPr>
          <w:p>
            <w:r/>
            <w:r>
              <w:rPr>
                <w:rFonts w:ascii="Aptos" w:hAnsi="Aptos"/>
                <w:b w:val="0"/>
                <w:color w:val="222222"/>
                <w:sz w:val="17"/>
              </w:rPr>
              <w:t>Decision Tree</w:t>
            </w:r>
          </w:p>
        </w:tc>
        <w:tc>
          <w:tcPr>
            <w:tcW w:type="dxa" w:w="1152"/>
            <w:vAlign w:val="center"/>
          </w:tcPr>
          <w:p>
            <w:r/>
            <w:r>
              <w:rPr>
                <w:rFonts w:ascii="Aptos" w:hAnsi="Aptos"/>
                <w:b w:val="0"/>
                <w:color w:val="222222"/>
                <w:sz w:val="17"/>
              </w:rPr>
              <w:t>562</w:t>
            </w:r>
          </w:p>
        </w:tc>
        <w:tc>
          <w:tcPr>
            <w:tcW w:type="dxa" w:w="1152"/>
            <w:vAlign w:val="center"/>
          </w:tcPr>
          <w:p>
            <w:r/>
            <w:r>
              <w:rPr>
                <w:rFonts w:ascii="Aptos" w:hAnsi="Aptos"/>
                <w:b w:val="0"/>
                <w:color w:val="222222"/>
                <w:sz w:val="17"/>
              </w:rPr>
              <w:t>10</w:t>
            </w:r>
          </w:p>
        </w:tc>
        <w:tc>
          <w:tcPr>
            <w:tcW w:type="dxa" w:w="1152"/>
            <w:vAlign w:val="center"/>
          </w:tcPr>
          <w:p>
            <w:r/>
            <w:r>
              <w:rPr>
                <w:rFonts w:ascii="Aptos" w:hAnsi="Aptos"/>
                <w:b w:val="0"/>
                <w:color w:val="222222"/>
                <w:sz w:val="17"/>
              </w:rPr>
              <w:t>21</w:t>
            </w:r>
          </w:p>
        </w:tc>
        <w:tc>
          <w:tcPr>
            <w:tcW w:type="dxa" w:w="1152"/>
            <w:vAlign w:val="center"/>
          </w:tcPr>
          <w:p>
            <w:r/>
            <w:r>
              <w:rPr>
                <w:rFonts w:ascii="Aptos" w:hAnsi="Aptos"/>
                <w:b w:val="0"/>
                <w:color w:val="222222"/>
                <w:sz w:val="17"/>
              </w:rPr>
              <w:t>74</w:t>
            </w:r>
          </w:p>
        </w:tc>
      </w:tr>
      <w:tr>
        <w:tc>
          <w:tcPr>
            <w:tcW w:type="dxa" w:w="3168"/>
            <w:vAlign w:val="center"/>
          </w:tcPr>
          <w:p>
            <w:r/>
            <w:r>
              <w:rPr>
                <w:rFonts w:ascii="Aptos" w:hAnsi="Aptos"/>
                <w:b w:val="0"/>
                <w:color w:val="222222"/>
                <w:sz w:val="17"/>
              </w:rPr>
              <w:t>Random Forest</w:t>
            </w:r>
          </w:p>
        </w:tc>
        <w:tc>
          <w:tcPr>
            <w:tcW w:type="dxa" w:w="1152"/>
            <w:vAlign w:val="center"/>
          </w:tcPr>
          <w:p>
            <w:r/>
            <w:r>
              <w:rPr>
                <w:rFonts w:ascii="Aptos" w:hAnsi="Aptos"/>
                <w:b w:val="0"/>
                <w:color w:val="222222"/>
                <w:sz w:val="17"/>
              </w:rPr>
              <w:t>567</w:t>
            </w:r>
          </w:p>
        </w:tc>
        <w:tc>
          <w:tcPr>
            <w:tcW w:type="dxa" w:w="1152"/>
            <w:vAlign w:val="center"/>
          </w:tcPr>
          <w:p>
            <w:r/>
            <w:r>
              <w:rPr>
                <w:rFonts w:ascii="Aptos" w:hAnsi="Aptos"/>
                <w:b w:val="0"/>
                <w:color w:val="222222"/>
                <w:sz w:val="17"/>
              </w:rPr>
              <w:t>5</w:t>
            </w:r>
          </w:p>
        </w:tc>
        <w:tc>
          <w:tcPr>
            <w:tcW w:type="dxa" w:w="1152"/>
            <w:vAlign w:val="center"/>
          </w:tcPr>
          <w:p>
            <w:r/>
            <w:r>
              <w:rPr>
                <w:rFonts w:ascii="Aptos" w:hAnsi="Aptos"/>
                <w:b w:val="0"/>
                <w:color w:val="222222"/>
                <w:sz w:val="17"/>
              </w:rPr>
              <w:t>29</w:t>
            </w:r>
          </w:p>
        </w:tc>
        <w:tc>
          <w:tcPr>
            <w:tcW w:type="dxa" w:w="1152"/>
            <w:vAlign w:val="center"/>
          </w:tcPr>
          <w:p>
            <w:r/>
            <w:r>
              <w:rPr>
                <w:rFonts w:ascii="Aptos" w:hAnsi="Aptos"/>
                <w:b w:val="0"/>
                <w:color w:val="222222"/>
                <w:sz w:val="17"/>
              </w:rPr>
              <w:t>66</w:t>
            </w:r>
          </w:p>
        </w:tc>
      </w:tr>
    </w:tbl>
    <w:p>
      <w:pPr>
        <w:spacing w:after="0"/>
      </w:pPr>
    </w:p>
    <w:p>
      <w:pPr>
        <w:jc w:val="center"/>
      </w:pPr>
      <w:r>
        <w:drawing>
          <wp:inline xmlns:a="http://schemas.openxmlformats.org/drawingml/2006/main" xmlns:pic="http://schemas.openxmlformats.org/drawingml/2006/picture">
            <wp:extent cx="3063240" cy="2493211"/>
            <wp:docPr id="6" name="Picture 6"/>
            <wp:cNvGraphicFramePr>
              <a:graphicFrameLocks noChangeAspect="1"/>
            </wp:cNvGraphicFramePr>
            <a:graphic>
              <a:graphicData uri="http://schemas.openxmlformats.org/drawingml/2006/picture">
                <pic:pic>
                  <pic:nvPicPr>
                    <pic:cNvPr id="0" name="1e81e68fa306a3889c061d77cdb4f3f6c183d87e.png"/>
                    <pic:cNvPicPr/>
                  </pic:nvPicPr>
                  <pic:blipFill>
                    <a:blip r:embed="rId15"/>
                    <a:stretch>
                      <a:fillRect/>
                    </a:stretch>
                  </pic:blipFill>
                  <pic:spPr>
                    <a:xfrm>
                      <a:off x="0" y="0"/>
                      <a:ext cx="3063240" cy="2493211"/>
                    </a:xfrm>
                    <a:prstGeom prst="rect"/>
                  </pic:spPr>
                </pic:pic>
              </a:graphicData>
            </a:graphic>
          </wp:inline>
        </w:drawing>
      </w:r>
    </w:p>
    <w:p>
      <w:pPr>
        <w:spacing w:after="120"/>
        <w:jc w:val="center"/>
      </w:pPr>
      <w:r>
        <w:rPr>
          <w:i/>
          <w:color w:val="666666"/>
          <w:sz w:val="16"/>
        </w:rPr>
        <w:t>Figure 6. Decision Tree confusion matrix on the 667-customer test set.</w:t>
      </w:r>
    </w:p>
    <w:p>
      <w:pPr>
        <w:jc w:val="center"/>
      </w:pPr>
      <w:r>
        <w:drawing>
          <wp:inline xmlns:a="http://schemas.openxmlformats.org/drawingml/2006/main" xmlns:pic="http://schemas.openxmlformats.org/drawingml/2006/picture">
            <wp:extent cx="3063240" cy="2493211"/>
            <wp:docPr id="7" name="Picture 7"/>
            <wp:cNvGraphicFramePr>
              <a:graphicFrameLocks noChangeAspect="1"/>
            </wp:cNvGraphicFramePr>
            <a:graphic>
              <a:graphicData uri="http://schemas.openxmlformats.org/drawingml/2006/picture">
                <pic:pic>
                  <pic:nvPicPr>
                    <pic:cNvPr id="0" name="198b64b9a3cfac340b1dc688a2a1ecd894d6fbd4.png"/>
                    <pic:cNvPicPr/>
                  </pic:nvPicPr>
                  <pic:blipFill>
                    <a:blip r:embed="rId16"/>
                    <a:stretch>
                      <a:fillRect/>
                    </a:stretch>
                  </pic:blipFill>
                  <pic:spPr>
                    <a:xfrm>
                      <a:off x="0" y="0"/>
                      <a:ext cx="3063240" cy="2493211"/>
                    </a:xfrm>
                    <a:prstGeom prst="rect"/>
                  </pic:spPr>
                </pic:pic>
              </a:graphicData>
            </a:graphic>
          </wp:inline>
        </w:drawing>
      </w:r>
    </w:p>
    <w:p>
      <w:pPr>
        <w:spacing w:after="120"/>
        <w:jc w:val="center"/>
      </w:pPr>
      <w:r>
        <w:rPr>
          <w:i/>
          <w:color w:val="666666"/>
          <w:sz w:val="16"/>
        </w:rPr>
        <w:t>Figure 7. Random Forest confusion matrix on the 667-customer test set.</w:t>
      </w:r>
    </w:p>
    <w:p>
      <w:r>
        <w:t>The Decision Tree correctly identifies 74 of the 95 actual churners in the test set, which gives 77.89% Recall. Random Forest correctly identifies fewer churners (66) but produces only 5 false positives, which explains its higher Precision.</w:t>
      </w:r>
    </w:p>
    <w:p>
      <w:r>
        <w:br w:type="page"/>
      </w:r>
    </w:p>
    <w:p>
      <w:pPr>
        <w:pStyle w:val="Heading1"/>
      </w:pPr>
      <w:r>
        <w:t>6. Feature Importance and Business Use</w:t>
      </w:r>
    </w:p>
    <w:p>
      <w:pPr>
        <w:jc w:val="center"/>
      </w:pPr>
      <w:r>
        <w:drawing>
          <wp:inline xmlns:a="http://schemas.openxmlformats.org/drawingml/2006/main" xmlns:pic="http://schemas.openxmlformats.org/drawingml/2006/picture">
            <wp:extent cx="5486400" cy="4249522"/>
            <wp:docPr id="8" name="Picture 8"/>
            <wp:cNvGraphicFramePr>
              <a:graphicFrameLocks noChangeAspect="1"/>
            </wp:cNvGraphicFramePr>
            <a:graphic>
              <a:graphicData uri="http://schemas.openxmlformats.org/drawingml/2006/picture">
                <pic:pic>
                  <pic:nvPicPr>
                    <pic:cNvPr id="0" name="b0a58b96c866ccab7e0cebc2b4950eb1304d4cfc.png"/>
                    <pic:cNvPicPr/>
                  </pic:nvPicPr>
                  <pic:blipFill>
                    <a:blip r:embed="rId17"/>
                    <a:stretch>
                      <a:fillRect/>
                    </a:stretch>
                  </pic:blipFill>
                  <pic:spPr>
                    <a:xfrm>
                      <a:off x="0" y="0"/>
                      <a:ext cx="5486400" cy="4249522"/>
                    </a:xfrm>
                    <a:prstGeom prst="rect"/>
                  </pic:spPr>
                </pic:pic>
              </a:graphicData>
            </a:graphic>
          </wp:inline>
        </w:drawing>
      </w:r>
    </w:p>
    <w:p>
      <w:pPr>
        <w:spacing w:after="120"/>
        <w:jc w:val="center"/>
      </w:pPr>
      <w:r>
        <w:rPr>
          <w:i/>
          <w:color w:val="666666"/>
          <w:sz w:val="16"/>
        </w:rPr>
        <w:t>Figure 8. Random Forest feature importance from the executed notebook.</w:t>
      </w:r>
    </w:p>
    <w:p>
      <w:r>
        <w:t>The strongest Random Forest features are Total day charge (0.138), Total day minutes (0.138), Customer service calls (0.132) and International plan (0.097). Logistic Regression also gives positive coefficients for Customer service calls and International plan. These are predictive signals, not proof that the variables cause churn.</w:t>
      </w:r>
    </w:p>
    <w:p>
      <w:pPr>
        <w:pStyle w:val="Heading2"/>
      </w:pPr>
      <w:r>
        <w:t>Recommended business actions</w:t>
      </w:r>
    </w:p>
    <w:p>
      <w:pPr>
        <w:pStyle w:val="ListBullet"/>
        <w:spacing w:after="40"/>
      </w:pPr>
      <w:r>
        <w:t>Review the International plan segment because its observed churn rate is much higher in this dataset.</w:t>
      </w:r>
    </w:p>
    <w:p>
      <w:pPr>
        <w:pStyle w:val="ListBullet"/>
        <w:spacing w:after="40"/>
      </w:pPr>
      <w:r>
        <w:t>Use repeated customer service calls as an early warning signal for retention follow-up.</w:t>
      </w:r>
    </w:p>
    <w:p>
      <w:pPr>
        <w:pStyle w:val="ListBullet"/>
        <w:spacing w:after="40"/>
      </w:pPr>
      <w:r>
        <w:t>Use the Decision Tree as the main churn-risk scoring model for this project because it gives the best F1-score and stronger Recall.</w:t>
      </w:r>
    </w:p>
    <w:p>
      <w:pPr>
        <w:pStyle w:val="ListBullet"/>
        <w:spacing w:after="40"/>
      </w:pPr>
      <w:r>
        <w:t>Use Random Forest as a comparison model when higher Precision is preferred.</w:t>
      </w:r>
    </w:p>
    <w:p>
      <w:pPr>
        <w:pStyle w:val="ListBullet"/>
        <w:spacing w:after="40"/>
      </w:pPr>
      <w:r>
        <w:t>Re-evaluate model performance when newer customer data become available.</w:t>
      </w:r>
    </w:p>
    <w:p>
      <w:r>
        <w:br w:type="page"/>
      </w:r>
    </w:p>
    <w:p>
      <w:pPr>
        <w:pStyle w:val="Heading1"/>
      </w:pPr>
      <w:r>
        <w:t>7. Limitations, Deliverables and Conclusion</w:t>
      </w:r>
    </w:p>
    <w:p>
      <w:pPr>
        <w:pStyle w:val="Heading2"/>
      </w:pPr>
      <w:r>
        <w:t>Limitations</w:t>
      </w:r>
    </w:p>
    <w:p>
      <w:pPr>
        <w:pStyle w:val="ListBullet"/>
        <w:spacing w:after="40"/>
      </w:pPr>
      <w:r>
        <w:t>The 3,333 records are a supplied historical dataset and may not reflect another company or a later period.</w:t>
      </w:r>
    </w:p>
    <w:p>
      <w:pPr>
        <w:pStyle w:val="ListBullet"/>
        <w:spacing w:after="40"/>
      </w:pPr>
      <w:r>
        <w:t>Churn is imbalanced at 14.49%, so Accuracy should not be used alone.</w:t>
      </w:r>
    </w:p>
    <w:p>
      <w:pPr>
        <w:pStyle w:val="ListBullet"/>
        <w:spacing w:after="40"/>
      </w:pPr>
      <w:r>
        <w:t>The analysis identifies predictive associations and does not establish causal effects.</w:t>
      </w:r>
    </w:p>
    <w:p>
      <w:pPr>
        <w:pStyle w:val="ListBullet"/>
        <w:spacing w:after="40"/>
      </w:pPr>
      <w:r>
        <w:t>State is label-encoded for this comparison; other categorical encoding methods could be tested in a future version.</w:t>
      </w:r>
    </w:p>
    <w:p>
      <w:pPr>
        <w:pStyle w:val="ListBullet"/>
        <w:spacing w:after="40"/>
      </w:pPr>
      <w:r>
        <w:t>The results depend on the supplied 80/20 split and should be validated on newer operational data before deployment.</w:t>
      </w:r>
    </w:p>
    <w:p>
      <w:pPr>
        <w:pStyle w:val="Heading2"/>
      </w:pPr>
      <w:r>
        <w:t>Deliverables used</w:t>
      </w:r>
    </w:p>
    <w:p>
      <w:pPr>
        <w:pStyle w:val="ListBullet"/>
        <w:spacing w:after="40"/>
      </w:pPr>
      <w:r>
        <w:t>Jupyter Notebook: Codveda_Project2_Customer_Churn_FINAL.ipynb</w:t>
      </w:r>
    </w:p>
    <w:p>
      <w:pPr>
        <w:pStyle w:val="ListBullet"/>
        <w:spacing w:after="40"/>
      </w:pPr>
      <w:r>
        <w:t>Training dataset: churn-bigml-80.csv</w:t>
      </w:r>
    </w:p>
    <w:p>
      <w:pPr>
        <w:pStyle w:val="ListBullet"/>
        <w:spacing w:after="40"/>
      </w:pPr>
      <w:r>
        <w:t>Testing dataset: churn-bigml-20.csv</w:t>
      </w:r>
    </w:p>
    <w:p>
      <w:pPr>
        <w:pStyle w:val="ListBullet"/>
        <w:spacing w:after="40"/>
      </w:pPr>
      <w:r>
        <w:t>Executed model charts, ROC curves, confusion matrices and feature-importance output included in this report</w:t>
      </w:r>
    </w:p>
    <w:p>
      <w:pPr>
        <w:pStyle w:val="Heading2"/>
      </w:pPr>
      <w:r>
        <w:t>Conclusion</w:t>
      </w:r>
    </w:p>
    <w:p>
      <w:r>
        <w:t>The churn analysis compares three classification models using 2,666 training records and 667 test records. The Decision Tree gives the best F1-score (0.8268) and identifies 77.89% of the actual churners, while Random Forest gives the highest ROC-AUC (0.9266) and Precision (92.96%). International plan status, customer service calls and day-time usage are important predictive signals in this dataset. The results can support customer-retention prioritization, but they should be rechecked on newer business data before operational deployment.</w:t>
      </w:r>
    </w:p>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Codveda Business Analytics Internship | Project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