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TERMO DE ENCERRAMENTO DO PROJETO (TEP)</w:t>
      </w:r>
    </w:p>
    <w:p>
      <w:pPr>
        <w:jc w:val="center"/>
      </w:pPr>
      <w:r>
        <w:rPr>
          <w:i/>
        </w:rPr>
        <w:t>Documento Formal de Fechamento e Transição</w:t>
      </w:r>
    </w:p>
    <w:p/>
    <w:p>
      <w:pPr>
        <w:pStyle w:val="Heading1"/>
      </w:pPr>
      <w:r>
        <w:t>1. DADOS GERAIS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Nome do Projeto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Sentinel IDS — Intrusion Detection System Enterprise-Grade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Gerente do Projeto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Cristian Shaka Nken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Líder Técnico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Jess Saito Forster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Patrocinador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Coordenação de Ciência da Computação — CEUB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Data de Início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10/03/2026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Data de Encerramento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Duração 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 semanas (98 dias corridos)</w:t>
            </w:r>
          </w:p>
        </w:tc>
      </w:tr>
    </w:tbl>
    <w:p/>
    <w:p>
      <w:pPr>
        <w:pStyle w:val="Heading1"/>
      </w:pPr>
      <w:r>
        <w:t>2. DESEMPENHO DO PROJETO (Planejado vs. Realizado)</w:t>
      </w:r>
    </w:p>
    <w:p>
      <w:pPr>
        <w:pStyle w:val="Heading2"/>
      </w:pPr>
      <w:r>
        <w:t>2.1 Escopo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Entregável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Planejado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Realizado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NIDS (captura + assinaturas)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 — 4 regras de detecção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Entregue — 4 regras (SQLi, XSS, PathTraversal, CMDi)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Agentes HIDS (Windows + Linux)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 — monitoramento de processos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Entregue — agente Linux funcional; Windows parcial (apenas monitoramento de processos, sem file integrity)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API 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 — CRUD completo de alertas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Entregue — CRUD completo com filtros por severidade e 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Stack de Monitoramento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 — Prometheus + Grafana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Entregue — dashboards operacionais com 5 painéis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Documentação de Gerenciamento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TAP, EAP, Gantt, Riscos, TEP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Entregue — todos os artefatos completos conforme PMBOK 7</w:t>
            </w:r>
          </w:p>
        </w:tc>
      </w:tr>
    </w:tbl>
    <w:p/>
    <w:p>
      <w:pPr>
        <w:pStyle w:val="Heading2"/>
      </w:pPr>
      <w:r>
        <w:t>2.2 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Planejado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Realizado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Duração 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 semanas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 semanas (entrega antecipada em 2 semanas)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Marcos cumpridos no prazo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de 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de 7 (Marco 3 atrasou 3 dias por incompatibilidade do agente Windows)</w:t>
            </w:r>
          </w:p>
        </w:tc>
      </w:tr>
    </w:tbl>
    <w:p/>
    <w:p>
      <w:pPr>
        <w:pStyle w:val="Heading2"/>
      </w:pPr>
      <w:r>
        <w:t>2.3 Orçamento/Esforço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Planejado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Realizado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 direto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R$ 0,00 (mantido)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Horas GP (Cristian)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160 horas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155 horas (economia de 5h)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Horas Líder Técnico (Jess)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horas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220 horas (excedeu 20h devido ao agente Windows)</w:t>
            </w:r>
          </w:p>
        </w:tc>
      </w:tr>
    </w:tbl>
    <w:p/>
    <w:p>
      <w:pPr>
        <w:pStyle w:val="Heading1"/>
      </w:pPr>
      <w:r>
        <w:t>3. DESVIOS IDENTIFICADOS</w:t>
      </w:r>
    </w:p>
    <w:p>
      <w:r>
        <w:t>Desvio 1 — Agente HIDS Windows: O monitoramento de integridade de arquivos (file integrity monitoring) no Windows não foi implementado dentro do prazo. A causa raiz foi a incompatibilidade entre a API de notificação de filesystem do Windows (ReadDirectoryChangesW) e a abstração multiplataforma inicialmente planejada em Go. O impacto foi classificado como baixo, pois o monitoramento de processos — funcionalidade principal — foi entregue com sucesso. A feature de file integrity foi documentada como backlog para versão futura.</w:t>
      </w:r>
    </w:p>
    <w:p>
      <w:r>
        <w:t>Desvio 2 — Esforço da Líder Técnico: Jess dedicou 20 horas além do planejado (220h vs 200h). O excedente foi causado pela investigação e debugging do agente Windows. O desvio foi compensado pela entrega antecipada do projeto (2 semanas antes do prazo final), não gerando impacto negativo na qualidade de vida da equipe.</w:t>
      </w:r>
    </w:p>
    <w:p>
      <w:pPr>
        <w:pStyle w:val="Heading1"/>
      </w:pPr>
      <w:r>
        <w:t>4. TRANSIÇÃO E HANDOVER</w:t>
      </w:r>
    </w:p>
    <w:p>
      <w:r>
        <w:t>O projeto está preparado para transição e continuidade independente da equipe original:</w:t>
      </w:r>
    </w:p>
    <w:p/>
    <w:p>
      <w:r>
        <w:rPr>
          <w:b/>
        </w:rPr>
        <w:t xml:space="preserve">Repositório de Código: </w:t>
      </w:r>
      <w:r>
        <w:t>Todo o código-fonte está versionado no GitHub com histórico completo de commits, branches organizadas (main, develop, feature/*) e pipeline CI/CD funcional via GitHub Actions.</w:t>
      </w:r>
    </w:p>
    <w:p/>
    <w:p>
      <w:r>
        <w:rPr>
          <w:b/>
        </w:rPr>
        <w:t xml:space="preserve">Documentação Técnica: </w:t>
      </w:r>
      <w:r>
        <w:t>README.md detalhado com instruções de setup, arquitetura do sistema, e guia de contribuição. Cada módulo possui documentação inline (godoc) e exemplos de uso.</w:t>
      </w:r>
    </w:p>
    <w:p/>
    <w:p>
      <w:r>
        <w:rPr>
          <w:b/>
        </w:rPr>
        <w:t xml:space="preserve">Reprodutibilidade: </w:t>
      </w:r>
      <w:r>
        <w:t>O sistema completo pode ser iniciado com um único comando (docker-compose up) em qualquer máquina com Docker instalado. Não há dependências externas não-containerizadas.</w:t>
      </w:r>
    </w:p>
    <w:p/>
    <w:p>
      <w:r>
        <w:rPr>
          <w:b/>
        </w:rPr>
        <w:t xml:space="preserve">Dados e Configurações: </w:t>
      </w:r>
      <w:r>
        <w:t>Schemas de banco de dados versionados como migrations. Configurações de Prometheus e Grafana exportadas como código (Infrastructure as Code). Dashboards Grafana exportados em JSON para importação direta.</w:t>
      </w:r>
    </w:p>
    <w:p/>
    <w:p>
      <w:pPr>
        <w:pStyle w:val="Heading1"/>
      </w:pPr>
      <w:r>
        <w:t>5. LIÇÕES APRENDIDAS</w:t>
      </w:r>
    </w:p>
    <w:p>
      <w:r>
        <w:rPr>
          <w:b/>
        </w:rPr>
        <w:t>Lição 1 — Validar premissas técnicas cedo:</w:t>
      </w:r>
    </w:p>
    <w:p>
      <w:r>
        <w:t>A suposição de que a abstração multiplataforma do filesystem funcionaria igualmente em Windows e Linux sem investigação prévia custou tempo. Em projetos futuros, toda premissa técnica crítica deve ser validada com um spike de 1-2 dias nas primeiras semanas.</w:t>
      </w:r>
    </w:p>
    <w:p/>
    <w:p>
      <w:r>
        <w:rPr>
          <w:b/>
        </w:rPr>
        <w:t>Lição 2 — Documentação contínua supera documentação tardia:</w:t>
      </w:r>
    </w:p>
    <w:p>
      <w:r>
        <w:t>A decisão de elaborar artefatos de gerenciamento em paralelo com o desenvolvimento (e não no final) reduziu significativamente o estresse nas semanas de entrega e garantiu consistência entre o planejado e o executado.</w:t>
      </w:r>
    </w:p>
    <w:p/>
    <w:p>
      <w:r>
        <w:rPr>
          <w:b/>
        </w:rPr>
        <w:t>Lição 3 — Comunicação assíncrona estruturada funciona para equipes pequenas:</w:t>
      </w:r>
    </w:p>
    <w:p>
      <w:r>
        <w:t>O uso de Discord com canais temáticos (#daily-standup, #blockers, #decisions) combinado com GitHub Projects para rastreamento visual permitiu que a equipe de 2 pessoas mantivesse alinhamento constante sem overhead de reuniões excessivas.</w:t>
      </w:r>
    </w:p>
    <w:p/>
    <w:p>
      <w:r>
        <w:rPr>
          <w:b/>
        </w:rPr>
        <w:t>Lição 4 — Escopo realista é mais valioso que escopo ambicioso:</w:t>
      </w:r>
    </w:p>
    <w:p>
      <w:r>
        <w:t>A decisão consciente de limitar o agente Windows ao monitoramento de processos (em vez de insistir no file integrity e atrasar o projeto inteiro) foi a decisão de gestão mais importante do semestre. Entregar 95% do escopo com qualidade é superior a entregar 100% com defeitos ou atraso.</w:t>
      </w:r>
    </w:p>
    <w:p/>
    <w:p>
      <w:pPr>
        <w:pStyle w:val="Heading1"/>
      </w:pPr>
      <w:r>
        <w:t>6. APROVAÇÃO E ASSINATURAS</w:t>
      </w:r>
    </w:p>
    <w:p>
      <w:r>
        <w:t>(A assinatura deste documento formaliza o encerramento do projeto e a aceitação dos entregáveis pela parte interessada.)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Cristian Shaka Nken</w:t>
              <w:br/>
              <w:t>Gerente de Projetos</w:t>
            </w:r>
          </w:p>
        </w:tc>
        <w:tc>
          <w:tcPr>
            <w:tcW w:type="dxa" w:w="2880"/>
          </w:tcPr>
          <w:p>
            <w:r>
              <w:t>Jess Saito Forster</w:t>
              <w:br/>
              <w:t>Líder Técnico</w:t>
            </w:r>
          </w:p>
        </w:tc>
        <w:tc>
          <w:tcPr>
            <w:tcW w:type="dxa" w:w="2880"/>
          </w:tcPr>
          <w:p>
            <w:r>
              <w:t>Prof. Roberto Paldês</w:t>
              <w:br/>
              <w:t>Sponsor/Orientador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