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3.0" w:type="dxa"/>
        <w:jc w:val="left"/>
        <w:tblInd w:w="-108.0" w:type="dxa"/>
        <w:tblLayout w:type="fixed"/>
        <w:tblLook w:val="0000"/>
      </w:tblPr>
      <w:tblGrid>
        <w:gridCol w:w="9243"/>
        <w:tblGridChange w:id="0">
          <w:tblGrid>
            <w:gridCol w:w="9243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027045" cy="2206625"/>
                  <wp:effectExtent b="0" l="0" r="0" t="0"/>
                  <wp:docPr descr="C:\Users\User\AppData\Local\Microsoft\Windows\INetCache\Content.Word\Mathematical Sciences vertical small Logo-01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User\AppData\Local\Microsoft\Windows\INetCache\Content.Word\Mathematical Sciences vertical small Logo-01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045" cy="220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MASTER OF SCIENCE GRADUATION REPORT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JUNE 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wentieth Century" w:cs="Twentieth Century" w:eastAsia="Twentieth Century" w:hAnsi="Twentieth Century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rFonts w:ascii="Twentieth Century" w:cs="Twentieth Century" w:eastAsia="Twentieth Century" w:hAnsi="Twentieth Century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vertAlign w:val="baseline"/>
          <w:rtl w:val="0"/>
        </w:rPr>
        <w:t xml:space="preserve">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rFonts w:ascii="Twentieth Century" w:cs="Twentieth Century" w:eastAsia="Twentieth Century" w:hAnsi="Twentieth Century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vertAlign w:val="baseline"/>
          <w:rtl w:val="0"/>
        </w:rPr>
        <w:t xml:space="preserve">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wentieth Century" w:cs="Twentieth Century" w:eastAsia="Twentieth Century" w:hAnsi="Twentieth Century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vertAlign w:val="baseline"/>
          <w:rtl w:val="0"/>
        </w:rPr>
        <w:t xml:space="preserve">ACADEMIC COUNCIL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rFonts w:ascii="Twentieth Century" w:cs="Twentieth Century" w:eastAsia="Twentieth Century" w:hAnsi="Twentieth Century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vertAlign w:val="baseline"/>
          <w:rtl w:val="0"/>
        </w:rPr>
        <w:t xml:space="preserve">STRATHMORE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rFonts w:ascii="Twentieth Century" w:cs="Twentieth Century" w:eastAsia="Twentieth Century" w:hAnsi="Twentieth Century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Twentieth Century" w:cs="Twentieth Century" w:eastAsia="Twentieth Century" w:hAnsi="Twentieth Century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rFonts w:ascii="Twentieth Century" w:cs="Twentieth Century" w:eastAsia="Twentieth Century" w:hAnsi="Twentieth Century"/>
          <w:sz w:val="32"/>
          <w:szCs w:val="32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rFonts w:ascii="Twentieth Century" w:cs="Twentieth Century" w:eastAsia="Twentieth Century" w:hAnsi="Twentieth Century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vertAlign w:val="baseline"/>
          <w:rtl w:val="0"/>
        </w:rPr>
        <w:t xml:space="preserve">The 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rFonts w:ascii="Twentieth Century" w:cs="Twentieth Century" w:eastAsia="Twentieth Century" w:hAnsi="Twentieth Century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32"/>
          <w:szCs w:val="32"/>
          <w:vertAlign w:val="baseline"/>
          <w:rtl w:val="0"/>
        </w:rPr>
        <w:t xml:space="preserve">STRATHMORE INSTITUTE OF MATHEMATICAL SCIENCES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Twentieth Century" w:cs="Twentieth Century" w:eastAsia="Twentieth Century" w:hAnsi="Twentieth Century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Twentieth Century" w:cs="Twentieth Century" w:eastAsia="Twentieth Century" w:hAnsi="Twentieth Century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TABLE OF CONTENTS</w:t>
      </w:r>
    </w:p>
    <w:sdt>
      <w:sdtPr>
        <w:id w:val="177867782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pStyle w:val="Heading1"/>
            <w:spacing w:line="360" w:lineRule="auto"/>
            <w:rPr>
              <w:sz w:val="24"/>
              <w:szCs w:val="24"/>
              <w:vertAlign w:val="baseline"/>
            </w:rPr>
          </w:pPr>
          <w:bookmarkStart w:colFirst="0" w:colLast="0" w:name="_u9u17b8p2ii3" w:id="0"/>
          <w:bookmarkEnd w:id="0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120" w:before="120" w:line="360" w:lineRule="auto"/>
            <w:ind w:left="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p83jp9vmvv0"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120" w:before="120" w:line="360" w:lineRule="auto"/>
            <w:ind w:left="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q5vwibusawt"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EXECUTIVE SUMMARY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120" w:before="120" w:line="360" w:lineRule="auto"/>
            <w:ind w:left="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7mb0ofy8ep9"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TREND ANALYSIS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dezuxo2sa2w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 Number of Graduands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0hjy8fw9iio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1.1.2 Summary of 2023 Intake by Program and Gender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tlt3i9lb4ar"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1.1.3 Masters of Science Graduation Rates</w:t>
            </w:r>
          </w:hyperlink>
          <w:hyperlink w:anchor="_ytlt3i9lb4ar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hu5h5gilxk0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 Cohort graduands Summary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120" w:before="120" w:line="360" w:lineRule="auto"/>
            <w:ind w:left="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1bnna1v9sn"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CLASS OF 2025 STATISTICS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22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rpsys64woxi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Overall Number of MSc. 2025 Graduands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120" w:before="120" w:line="360" w:lineRule="auto"/>
            <w:ind w:left="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se1eatmo0y3"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CLASS OF 2025 MASTERS GRADUATION LIST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22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7xjapej0gkc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MASTER OF SCIENCE IN DATA SCIENCE &amp; ANALYTICS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22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yxweciwro54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MASTER OF SCIENCE IN STATISTICAL SCIENCE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22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o7webrekx8d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MASTER OF SCIENCE IN MATHEMATICAL FINANCE &amp; RISK ANALYTICS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22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spm2pl5jozi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MASTER OF SCIENCE IN BIOMATHEMATICS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120" w:before="120" w:line="360" w:lineRule="auto"/>
            <w:ind w:left="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k3eq1uvjcrv"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2023 COHORT LIST OF BACKLOG STUDENTS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seu0suteqii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Summary of 2023 Cohort Pending Students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bbg8pz193m2"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 2023 Cohort List of Pending Students</w:t>
            </w:r>
          </w:hyperlink>
          <w:hyperlink w:anchor="_1bbg8pz193m2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yznl1k2o830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4.1.2 MSc. Mathematical Finance &amp; Risk Analytics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8bk2wpb0216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4.1.3 MSc Biomathematics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7qjh29xn94l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4.1.4. MSc. Statistical Science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w4j90zdfbh9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4.1.5 MSc Data Science &amp; Analytics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fm6ik82cpp2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Other Cohorts (Backlog)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684534mbcf8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MSc Mathematical Finance &amp; Risk Analytics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Twentieth Century" w:cs="Twentieth Century" w:eastAsia="Twentieth Century" w:hAnsi="Twentieth Century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n5eailbh7yt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4.2.3 MSc Statistical Science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7"/>
            </w:tabs>
            <w:spacing w:after="0" w:before="0" w:line="360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fongqsunz2v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4.2.4 Biomathematics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240" w:before="24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  <w:sectPr>
          <w:footerReference r:id="rId7" w:type="default"/>
          <w:pgSz w:h="16839" w:w="11907" w:orient="portrait"/>
          <w:pgMar w:bottom="568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0" w:firstLine="0"/>
        <w:rPr>
          <w:vertAlign w:val="baseline"/>
        </w:rPr>
      </w:pPr>
      <w:bookmarkStart w:colFirst="0" w:colLast="0" w:name="_8pdwhpte25wu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1.0 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This report presents Master of Science graduating candidates from Strathmore Institute of Mathematical Sciences for the academic year 2024 – 2025. During this Academic Year, the Institute’s Board of Examiners approved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85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candidates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 for graduation from the four (4) graduate programs, namely: Master of Science in Mathematical Finance and Risk Analytics, Master of Science in Statistical Science, Master of Science in Biomathematics and Master of Science in Data Science and Analytics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bookmarkStart w:colFirst="0" w:colLast="0" w:name="_2lxvmkxv3fkm" w:id="2"/>
      <w:bookmarkEnd w:id="2"/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The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2025 Graduation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 will be the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9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 graduation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 ceremony for the Master of Science (MSc) programs. Inclusive of the 2025 graduands, the Institute will have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channeled out 218 graduates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 of which: 61 (28%) are Master of Science in Mathematical Finance &amp; Risk Analytics graduates, 54 (25%) Master of Science in Statistical Science graduates, 11(5%) are Master of Science in Biomathematics graduates and 92 (42%) are Master of Science in Data Science and Analytics graduates (third cohort to graduate)</w:t>
      </w:r>
    </w:p>
    <w:p w:rsidR="00000000" w:rsidDel="00000000" w:rsidP="00000000" w:rsidRDefault="00000000" w:rsidRPr="00000000" w14:paraId="00000038">
      <w:pPr>
        <w:pStyle w:val="Heading1"/>
        <w:rPr>
          <w:vertAlign w:val="baseline"/>
        </w:rPr>
      </w:pPr>
      <w:bookmarkStart w:colFirst="0" w:colLast="0" w:name="_2a3lw8rm7up5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1.1 TREND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240" w:before="240" w:lineRule="auto"/>
        <w:rPr>
          <w:rFonts w:ascii="Twentieth Century" w:cs="Twentieth Century" w:eastAsia="Twentieth Century" w:hAnsi="Twentieth Century"/>
          <w:color w:val="000000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vertAlign w:val="baseline"/>
          <w:rtl w:val="0"/>
        </w:rPr>
        <w:t xml:space="preserve">1.1.1 Number of Graduands 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The table &amp; graph below shows graduation numbers of the MSc programs for the last 9 years. </w:t>
      </w:r>
    </w:p>
    <w:tbl>
      <w:tblPr>
        <w:tblStyle w:val="Table2"/>
        <w:tblW w:w="9006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08"/>
        <w:gridCol w:w="1758"/>
        <w:gridCol w:w="85"/>
        <w:gridCol w:w="1332"/>
        <w:gridCol w:w="85"/>
        <w:gridCol w:w="1711"/>
        <w:gridCol w:w="85"/>
        <w:gridCol w:w="1253"/>
        <w:gridCol w:w="85"/>
        <w:gridCol w:w="1119"/>
        <w:gridCol w:w="85"/>
        <w:tblGridChange w:id="0">
          <w:tblGrid>
            <w:gridCol w:w="1408"/>
            <w:gridCol w:w="1758"/>
            <w:gridCol w:w="85"/>
            <w:gridCol w:w="1332"/>
            <w:gridCol w:w="85"/>
            <w:gridCol w:w="1711"/>
            <w:gridCol w:w="85"/>
            <w:gridCol w:w="1253"/>
            <w:gridCol w:w="85"/>
            <w:gridCol w:w="1119"/>
            <w:gridCol w:w="85"/>
          </w:tblGrid>
        </w:tblGridChange>
      </w:tblGrid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MSc. Mathematical Finance &amp; Risk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MSc. Statistical Science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MSc. Biomathematics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7030a0" w:val="clear"/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MSc. Data Science &amp;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gridSpan w:val="3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gridSpan w:val="3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gridSpan w:val="3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38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2025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52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vertAlign w:val="baseline"/>
        </w:rPr>
      </w:pPr>
      <w:bookmarkStart w:colFirst="0" w:colLast="0" w:name="_l0hjy8fw9iio" w:id="4"/>
      <w:bookmarkEnd w:id="4"/>
      <w:r w:rsidDel="00000000" w:rsidR="00000000" w:rsidRPr="00000000">
        <w:rPr>
          <w:vertAlign w:val="baseline"/>
        </w:rPr>
        <w:drawing>
          <wp:inline distB="0" distT="0" distL="114300" distR="114300">
            <wp:extent cx="560705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spacing w:after="240" w:before="240" w:lineRule="auto"/>
        <w:rPr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vertAlign w:val="baseline"/>
          <w:rtl w:val="0"/>
        </w:rPr>
        <w:t xml:space="preserve">1.1.2 Summary of 2023 Intake by Program and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before="24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The table below provides a summary of 2023 Intake by program and gender. In line with the student population in each program, Data Science and Analytics accounting for approximately 73% had the highest number of Intake, Statistical Science had approximately 12%, Mathematical Finance &amp; Risk Analytics had approximately 8% while Biomathematics had approximately 7%</w:t>
      </w:r>
    </w:p>
    <w:tbl>
      <w:tblPr>
        <w:tblStyle w:val="Table3"/>
        <w:tblW w:w="90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117"/>
        <w:gridCol w:w="1171"/>
        <w:gridCol w:w="1220"/>
        <w:gridCol w:w="1268"/>
        <w:gridCol w:w="1295"/>
        <w:tblGridChange w:id="0">
          <w:tblGrid>
            <w:gridCol w:w="4117"/>
            <w:gridCol w:w="1171"/>
            <w:gridCol w:w="1220"/>
            <w:gridCol w:w="1268"/>
            <w:gridCol w:w="129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Male Students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Female Students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Total no. of students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% Population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Mathematical Finance &amp; Risk Analytics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Statistical Science 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12%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Biomathematics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Data Science and Analytics 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73%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Overall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%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48%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52%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hd w:fill="ffffff" w:val="clear"/>
        <w:spacing w:after="0" w:before="240" w:line="24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As per the above statistics per Master’s program, we noted that 48% of the 2023 Intake are Male whilst the Female make up for 52%. The Gender Statistics is further summarized in the following pie chart.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Rule="auto"/>
        <w:jc w:val="both"/>
        <w:rPr>
          <w:rFonts w:ascii="Twentieth Century" w:cs="Twentieth Century" w:eastAsia="Twentieth Century" w:hAnsi="Twentieth Century"/>
          <w:vertAlign w:val="baseline"/>
        </w:rPr>
      </w:pPr>
      <w:bookmarkStart w:colFirst="0" w:colLast="0" w:name="_ytlt3i9lb4ar" w:id="5"/>
      <w:bookmarkEnd w:id="5"/>
      <w:r w:rsidDel="00000000" w:rsidR="00000000" w:rsidRPr="00000000">
        <w:rPr>
          <w:vertAlign w:val="baseline"/>
        </w:rPr>
        <w:drawing>
          <wp:inline distB="0" distT="0" distL="114300" distR="114300">
            <wp:extent cx="5048250" cy="24244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2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spacing w:after="240" w:before="240" w:lineRule="auto"/>
        <w:rPr>
          <w:rFonts w:ascii="Twentieth Century" w:cs="Twentieth Century" w:eastAsia="Twentieth Century" w:hAnsi="Twentieth Century"/>
          <w:b w:val="0"/>
          <w:color w:val="000000"/>
          <w:vertAlign w:val="baseline"/>
        </w:rPr>
      </w:pPr>
      <w:bookmarkStart w:colFirst="0" w:colLast="0" w:name="_swedl8rif0h3" w:id="6"/>
      <w:bookmarkEnd w:id="6"/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vertAlign w:val="baseline"/>
          <w:rtl w:val="0"/>
        </w:rPr>
        <w:t xml:space="preserve">1.1.3 Masters of Science Graduation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after="240" w:before="240" w:lineRule="auto"/>
        <w:rPr>
          <w:rFonts w:ascii="Twentieth Century" w:cs="Twentieth Century" w:eastAsia="Twentieth Century" w:hAnsi="Twentieth Century"/>
          <w:color w:val="000000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vertAlign w:val="baseline"/>
          <w:rtl w:val="0"/>
        </w:rPr>
        <w:t xml:space="preserve">2023 Cohort graduands Summary </w:t>
      </w:r>
    </w:p>
    <w:p w:rsidR="00000000" w:rsidDel="00000000" w:rsidP="00000000" w:rsidRDefault="00000000" w:rsidRPr="00000000" w14:paraId="000000E9">
      <w:pPr>
        <w:shd w:fill="ffffff" w:val="clear"/>
        <w:spacing w:after="240" w:before="240" w:lineRule="auto"/>
        <w:jc w:val="both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The percentage completion rate of the 2023 cohort is shown in the following two tables. The overall graduation rate/completion rate for all the students admitted in 2023 is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33% (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See table below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08"/>
        <w:gridCol w:w="1531"/>
        <w:gridCol w:w="1673"/>
        <w:gridCol w:w="1359"/>
        <w:tblGridChange w:id="0">
          <w:tblGrid>
            <w:gridCol w:w="4508"/>
            <w:gridCol w:w="1531"/>
            <w:gridCol w:w="1673"/>
            <w:gridCol w:w="1359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0EB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2022 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0EC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No. of Students Graduating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0ED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Completion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Mathematical Finance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25%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Statistical Science 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58%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Biomathematics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86%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Data Science and Analytics 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35%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after="240" w:line="240" w:lineRule="auto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Overall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hd w:fill="ffffff" w:val="clear"/>
        <w:spacing w:after="240" w:before="240" w:line="240" w:lineRule="auto"/>
        <w:jc w:val="both"/>
        <w:rPr>
          <w:rFonts w:ascii="Twentieth Century" w:cs="Twentieth Century" w:eastAsia="Twentieth Century" w:hAnsi="Twentieth Century"/>
          <w:vertAlign w:val="baseline"/>
        </w:rPr>
      </w:pPr>
      <w:bookmarkStart w:colFirst="0" w:colLast="0" w:name="_f5hfeeidews8" w:id="7"/>
      <w:bookmarkEnd w:id="7"/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The following graph shows the graduation rates since 2017 to 2025. Graduation rate is defined as the number of graduating students as a ratio of the number of students admitted in each cohort.</w:t>
      </w: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103">
      <w:pPr>
        <w:shd w:fill="ffffff" w:val="clear"/>
        <w:spacing w:after="240" w:before="24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53735" cy="29514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95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40" w:before="24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The Graduation Success Rate, that is, the ratio of the graduating students to the number of candidates who progress to Module IV/V shows steady performance over the years. The analysis is provided in the table below a</w:t>
      </w:r>
    </w:p>
    <w:tbl>
      <w:tblPr>
        <w:tblStyle w:val="Table5"/>
        <w:tblW w:w="93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10"/>
        <w:gridCol w:w="1014"/>
        <w:gridCol w:w="1057"/>
        <w:gridCol w:w="1417"/>
        <w:gridCol w:w="1537"/>
        <w:tblGridChange w:id="0">
          <w:tblGrid>
            <w:gridCol w:w="4310"/>
            <w:gridCol w:w="1014"/>
            <w:gridCol w:w="1057"/>
            <w:gridCol w:w="1417"/>
            <w:gridCol w:w="1537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05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06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2023 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07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Module V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08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Students Graduating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09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Success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Mathematical Finance &amp; Risk Analytics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25%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Statistical Science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64%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Biomathematics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86%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Data Science and Analytics 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48%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Overall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51%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after="0" w:lineRule="auto"/>
        <w:rPr>
          <w:vertAlign w:val="baseline"/>
        </w:rPr>
      </w:pPr>
      <w:bookmarkStart w:colFirst="0" w:colLast="0" w:name="_8dcyra7fezv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bookmarkStart w:colFirst="0" w:colLast="0" w:name="_ln1bnna1v9sn" w:id="9"/>
      <w:bookmarkEnd w:id="9"/>
      <w:r w:rsidDel="00000000" w:rsidR="00000000" w:rsidRPr="00000000">
        <w:rPr>
          <w:vertAlign w:val="baseline"/>
        </w:rPr>
        <w:drawing>
          <wp:inline distB="0" distT="0" distL="114300" distR="114300">
            <wp:extent cx="5834380" cy="2921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rPr>
          <w:vertAlign w:val="baseline"/>
        </w:rPr>
      </w:pPr>
      <w:bookmarkStart w:colFirst="0" w:colLast="0" w:name="_d7qnecm1t4ic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2.0 CLASS OF 2025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spacing w:after="240" w:before="240" w:lineRule="auto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2.1 Overall Number of MSc. 2025 Graduands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240" w:before="240" w:lineRule="auto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The number of graduands is as shown in the table below: </w:t>
      </w:r>
    </w:p>
    <w:tbl>
      <w:tblPr>
        <w:tblStyle w:val="Table6"/>
        <w:tblW w:w="90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2"/>
        <w:gridCol w:w="1702"/>
        <w:gridCol w:w="1196"/>
        <w:gridCol w:w="1337"/>
        <w:gridCol w:w="1304"/>
        <w:tblGridChange w:id="0">
          <w:tblGrid>
            <w:gridCol w:w="3532"/>
            <w:gridCol w:w="1702"/>
            <w:gridCol w:w="1196"/>
            <w:gridCol w:w="1337"/>
            <w:gridCol w:w="1304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2023 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Backlog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(previous Cohorts)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Mathematical Finance &amp; Risk Analytics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14%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Statistical Science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18%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Biomathematics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Data Science and Analytics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62%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2">
            <w:pPr>
              <w:spacing w:after="240" w:line="240" w:lineRule="auto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4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5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100 %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hd w:fill="ffffff" w:val="clear"/>
        <w:spacing w:after="240" w:lineRule="auto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240" w:lineRule="auto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2.1.1 Summary of MSc Graduands by Program and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240" w:before="24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The table below provides a summary of the graduands by program and gender. In line with the student population in each program: Data Science and Analytics accounting for approximately 62%, have the highest number of graduands, Statistical Science approximately 18% Mathematical Finance and Risk Analytics approximately 14%, and Biomathematics approximately 7%</w:t>
      </w:r>
    </w:p>
    <w:tbl>
      <w:tblPr>
        <w:tblStyle w:val="Table7"/>
        <w:tblW w:w="90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73"/>
        <w:gridCol w:w="1429"/>
        <w:gridCol w:w="1323"/>
        <w:gridCol w:w="1323"/>
        <w:gridCol w:w="1323"/>
        <w:tblGridChange w:id="0">
          <w:tblGrid>
            <w:gridCol w:w="3673"/>
            <w:gridCol w:w="1429"/>
            <w:gridCol w:w="1323"/>
            <w:gridCol w:w="1323"/>
            <w:gridCol w:w="1323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Male Graduands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Female Graduands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Total Graduands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% Graduands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Mathematical Finance &amp; Risk Analytics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18%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Statistical Science 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14%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Biomathematics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Data Science and Analytics 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62%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240" w:line="240" w:lineRule="auto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Overall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100 %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240" w:line="240" w:lineRule="auto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%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41%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59%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hd w:fill="ffffff" w:val="clear"/>
        <w:spacing w:after="240" w:before="24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bookmarkStart w:colFirst="0" w:colLast="0" w:name="_4rwyiprmznio" w:id="11"/>
      <w:bookmarkEnd w:id="11"/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Approximately 41% of those graduating from the MSc Program in June 2025 are Male whilst the Female make up for 59%. </w:t>
      </w:r>
    </w:p>
    <w:p w:rsidR="00000000" w:rsidDel="00000000" w:rsidP="00000000" w:rsidRDefault="00000000" w:rsidRPr="00000000" w14:paraId="0000016E">
      <w:pPr>
        <w:pStyle w:val="Heading1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vertAlign w:val="baseline"/>
        </w:rPr>
      </w:pPr>
      <w:bookmarkStart w:colFirst="0" w:colLast="0" w:name="_pse1eatmo0y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ind w:left="0" w:firstLine="0"/>
        <w:rPr>
          <w:b w:val="0"/>
          <w:vertAlign w:val="baseline"/>
        </w:rPr>
      </w:pPr>
      <w:bookmarkStart w:colFirst="0" w:colLast="0" w:name="_huh9hetnjaq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3.0 CLASS OF 2025 MASTERS GRADUATION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bookmarkStart w:colFirst="0" w:colLast="0" w:name="_z7xjapej0gkc" w:id="14"/>
      <w:bookmarkEnd w:id="14"/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3.1 MASTER OF SCIENCE IN DATA SCIENCE &amp;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I have the honour to present the following 52 candidates who during the 2024 – 2025 Academic Year satisfied the Board of Examiners of Strathmore Institute of Mathematical Sciences for the award of Master of Science in Data Science and Analytics of Strathmore University </w:t>
      </w:r>
    </w:p>
    <w:tbl>
      <w:tblPr>
        <w:tblStyle w:val="Table8"/>
        <w:tblW w:w="97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48"/>
        <w:gridCol w:w="1060"/>
        <w:gridCol w:w="3129"/>
        <w:gridCol w:w="63"/>
        <w:gridCol w:w="844"/>
        <w:gridCol w:w="104"/>
        <w:gridCol w:w="838"/>
        <w:gridCol w:w="142"/>
        <w:gridCol w:w="1022"/>
        <w:gridCol w:w="997"/>
        <w:gridCol w:w="841"/>
        <w:tblGridChange w:id="0">
          <w:tblGrid>
            <w:gridCol w:w="748"/>
            <w:gridCol w:w="1060"/>
            <w:gridCol w:w="3129"/>
            <w:gridCol w:w="63"/>
            <w:gridCol w:w="844"/>
            <w:gridCol w:w="104"/>
            <w:gridCol w:w="838"/>
            <w:gridCol w:w="142"/>
            <w:gridCol w:w="1022"/>
            <w:gridCol w:w="997"/>
            <w:gridCol w:w="841"/>
          </w:tblGrid>
        </w:tblGridChange>
      </w:tblGrid>
      <w:tr>
        <w:trPr>
          <w:cantSplit w:val="0"/>
          <w:trHeight w:val="411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vertAlign w:val="baseline"/>
                <w:rtl w:val="0"/>
              </w:rPr>
              <w:t xml:space="preserve">S/No.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7030a0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vertAlign w:val="baseline"/>
                <w:rtl w:val="0"/>
              </w:rPr>
              <w:t xml:space="preserve">Student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wentieth Century" w:cs="Twentieth Century" w:eastAsia="Twentieth Century" w:hAnsi="Twentieth Century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vertAlign w:val="baseline"/>
                <w:rtl w:val="0"/>
              </w:rPr>
              <w:t xml:space="preserve">Student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vertAlign w:val="baseline"/>
                <w:rtl w:val="0"/>
              </w:rPr>
              <w:t xml:space="preserve">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vertAlign w:val="baseline"/>
                <w:rtl w:val="0"/>
              </w:rPr>
              <w:t xml:space="preserve">Average 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vertAlign w:val="baseline"/>
                <w:rtl w:val="0"/>
              </w:rPr>
              <w:t xml:space="preserve">Average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vertAlign w:val="baseline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147513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AGONG, Norman Angel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64.21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3.09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145613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ASWANI, Allan Ademba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71.36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3.46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169522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BAARIU, Yvonne Makena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64.22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100054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BABU, Eddah Waruguru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59.04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2.84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CHANN, Isaac Otieno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65.06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3.16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CHEPKIRUI, Sharon Tonui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75.38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3.7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169375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CLAUDINE, Linda Wa Nciko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64.91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3.19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148454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EYINDA, Christine Lorraine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74.34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3.75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149796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GAMBO, Dawe David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68.38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3.34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GATHIMBA, Regina Wanjiru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61.46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2.95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169405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IMENDE, Michael Edward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62.02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3.01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150961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JEPKEMBOI, Jane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66.57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3.3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169701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KAMANU, David Nene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74.75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3.73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94328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KAMAU, Joyce Mukuhi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66.83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3.26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138536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KARIUKI, Martin Mwangi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66.04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3.21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KATHURE, Bessy Mukaria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69.83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3.45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KEMBOI, Stella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67.65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3.29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168209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KILONZO, Kelvin Ndambu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3.49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70707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KILYUNGI, Bonface Munyoki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69.69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3.39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92833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KIMANI, Wangari Ruth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65.32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3.17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149794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KINYUA, Caroline Nyaguthii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69.66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3.46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KIPRONO, Jepkoech Gladys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69.16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3.44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148988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KIRIMI, Dennis Mwenda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63.38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3.07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54667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KIRUKI, Ruth Wambui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61.81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2.97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LUBANGA, Derrick Nyangule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64.26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78624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MACHARIA, Crystal Njeri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73.84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3.69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77465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MAINA, Anthony Mwangi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3.52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95729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MAINA, George Kamau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65.54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168951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MAINGA, Cecilia Oketch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75.43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94946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MATANO, Allan Mutethiah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61.62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169540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MAVINDU, Ruth Mwende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66.42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3.32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149910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MBUTHU, Valentine Masungwa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64.84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3.17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152377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MUCHOKI, Eric Brian Muturo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66.91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3.24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MUKHANYA, Moses Wabwile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63.14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3.07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145063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MULE, Daniel Mbatha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64.72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3.13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151147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MWADIME, W Nicholas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63.34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3.12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94573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MWANGI, Morrine Nduta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62.94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3.03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169526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NGARUIYA, Esther Nduta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71.27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168403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NYABUTI, Sharon Kemunto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63.52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ODERA, Yvonne Juliana Dima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166895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OGADA, Joseph Ridge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67.74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100060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OGAMBA, Maria Bosibori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64.39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82706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OKERO, Michael Omondi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OLADIRAN, Monilade Omolola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68.03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149481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ONYANGO, Calvince Ogutu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64.85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150904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OPIYO, Carol Akinyi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67.44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54952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ORWARU, Rose Kwamboka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61.66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150683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OSORO, Faith Mirriam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66.24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OUMA, Munyendo Evans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169589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WAMALWA, Lindah Kelida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72.49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94306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WANYOIKE, Eunice Waruguru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Female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59.55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2.85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167860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WASWA, Paul Wekesa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May-23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63.91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3.15</w:t>
            </w:r>
          </w:p>
        </w:tc>
      </w:tr>
    </w:tbl>
    <w:p w:rsidR="00000000" w:rsidDel="00000000" w:rsidP="00000000" w:rsidRDefault="00000000" w:rsidRPr="00000000" w14:paraId="000003BC">
      <w:pPr>
        <w:rPr>
          <w:vertAlign w:val="baseline"/>
        </w:rPr>
      </w:pPr>
      <w:bookmarkStart w:colFirst="0" w:colLast="0" w:name="_oyxweciwro5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2"/>
        <w:spacing w:after="240" w:before="240" w:lineRule="auto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3.2 MASTER OF SCIENCE IN STATISTICAL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I have the honour to present the following 15 candidates who during the 2024 – 2025 Academic Year satisfied the Board of Examiners of Strathmore Institute of Mathematical Sciences for the award of Master of Science in Statistical Science of Strathmore University </w:t>
      </w:r>
    </w:p>
    <w:p w:rsidR="00000000" w:rsidDel="00000000" w:rsidP="00000000" w:rsidRDefault="00000000" w:rsidRPr="00000000" w14:paraId="000003BF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240" w:line="360" w:lineRule="auto"/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="240" w:lineRule="auto"/>
        <w:rPr>
          <w:rFonts w:ascii="Twentieth Century" w:cs="Twentieth Century" w:eastAsia="Twentieth Century" w:hAnsi="Twentieth Century"/>
          <w:b w:val="0"/>
          <w:vertAlign w:val="baseline"/>
        </w:rPr>
      </w:pPr>
      <w:bookmarkStart w:colFirst="0" w:colLast="0" w:name="_9dwjpj1j2lu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2"/>
        <w:spacing w:after="240" w:before="240" w:lineRule="auto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3.3 MASTER OF SCIENCE IN MATHEMATICAL FINANCE &amp; RISK ANALYTICS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I have the honour to present the following 12 candidates who during the 2024 – 2025 Academic Year satisfied the Board of Examiners of Strathmore Institute of Mathematical Sciences for the award of Master of Science in Mathematical Finance and Risk Analytics of Strathmore University </w:t>
      </w:r>
    </w:p>
    <w:p w:rsidR="00000000" w:rsidDel="00000000" w:rsidP="00000000" w:rsidRDefault="00000000" w:rsidRPr="00000000" w14:paraId="000003C4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vertAlign w:val="baseline"/>
        </w:rPr>
      </w:pPr>
      <w:bookmarkStart w:colFirst="0" w:colLast="0" w:name="_uspm2pl5joz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2"/>
        <w:spacing w:after="240" w:before="240" w:lineRule="auto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3.3 MASTER OF SCIENCE IN BIOMATHEMATICS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I have the honour to present the following 6 candidates who during the 2024 – 2025 Academic Year satisfied the Board of Examiners of Strathmore Institute of Mathematical Sciences for the award of Master of Science in Biomathematics of Strathmore University </w:t>
      </w:r>
    </w:p>
    <w:p w:rsidR="00000000" w:rsidDel="00000000" w:rsidP="00000000" w:rsidRDefault="00000000" w:rsidRPr="00000000" w14:paraId="000003CC">
      <w:pPr>
        <w:spacing w:after="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vertAlign w:val="baseline"/>
        </w:rPr>
      </w:pPr>
      <w:bookmarkStart w:colFirst="0" w:colLast="0" w:name="_5k3eq1uvjcr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1"/>
        <w:rPr>
          <w:vertAlign w:val="baseline"/>
        </w:rPr>
      </w:pPr>
      <w:bookmarkStart w:colFirst="0" w:colLast="0" w:name="_olgxx57yfzb0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4.0 2023 COHORT LIST OF BACKLOG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3"/>
        <w:spacing w:before="240" w:line="360" w:lineRule="auto"/>
        <w:rPr>
          <w:rFonts w:ascii="Twentieth Century" w:cs="Twentieth Century" w:eastAsia="Twentieth Century" w:hAnsi="Twentieth Century"/>
          <w:color w:val="000000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vertAlign w:val="baseline"/>
          <w:rtl w:val="0"/>
        </w:rPr>
        <w:t xml:space="preserve">4.1 Summary of 2023 Cohort Pending Students </w:t>
      </w:r>
    </w:p>
    <w:tbl>
      <w:tblPr>
        <w:tblStyle w:val="Table9"/>
        <w:tblW w:w="988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019"/>
        <w:gridCol w:w="1087"/>
        <w:gridCol w:w="1344"/>
        <w:gridCol w:w="1346"/>
        <w:gridCol w:w="1055"/>
        <w:gridCol w:w="1030"/>
        <w:tblGridChange w:id="0">
          <w:tblGrid>
            <w:gridCol w:w="4019"/>
            <w:gridCol w:w="1087"/>
            <w:gridCol w:w="1344"/>
            <w:gridCol w:w="1346"/>
            <w:gridCol w:w="1055"/>
            <w:gridCol w:w="103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3DD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3DE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2023 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3DF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No. Graduating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3E0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Dropped out/ Transferred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3E1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Pending Students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3E2">
            <w:pPr>
              <w:spacing w:after="24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% Pending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Mathematical Finance 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70%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Statistical Science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53%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Biomathematics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Master of Science in Data Science and Analytics 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63%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Overall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4"/>
                <w:szCs w:val="24"/>
                <w:vertAlign w:val="baseline"/>
                <w:rtl w:val="0"/>
              </w:rPr>
              <w:t xml:space="preserve">58%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1">
      <w:pPr>
        <w:shd w:fill="ffffff" w:val="clear"/>
        <w:spacing w:after="240" w:lineRule="auto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bookmarkStart w:colFirst="0" w:colLast="0" w:name="_cw4s2qijy6w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3"/>
        <w:spacing w:after="240" w:before="240" w:lineRule="auto"/>
        <w:rPr>
          <w:rFonts w:ascii="Twentieth Century" w:cs="Twentieth Century" w:eastAsia="Twentieth Century" w:hAnsi="Twentieth Century"/>
          <w:color w:val="000000"/>
          <w:vertAlign w:val="baseline"/>
        </w:rPr>
      </w:pPr>
      <w:bookmarkStart w:colFirst="0" w:colLast="0" w:name="_5bb1uuc2tmud" w:id="21"/>
      <w:bookmarkEnd w:id="21"/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vertAlign w:val="baseline"/>
          <w:rtl w:val="0"/>
        </w:rPr>
        <w:t xml:space="preserve">4.1.1 2023 Cohort List of Pending Students</w:t>
      </w:r>
      <w:r w:rsidDel="00000000" w:rsidR="00000000" w:rsidRPr="00000000">
        <w:rPr>
          <w:rFonts w:ascii="Twentieth Century" w:cs="Twentieth Century" w:eastAsia="Twentieth Century" w:hAnsi="Twentieth Century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3">
      <w:pPr>
        <w:pStyle w:val="Heading3"/>
        <w:rPr>
          <w:rFonts w:ascii="Twentieth Century" w:cs="Twentieth Century" w:eastAsia="Twentieth Century" w:hAnsi="Twentieth Century"/>
          <w:color w:val="000000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color w:val="000000"/>
          <w:vertAlign w:val="baseline"/>
          <w:rtl w:val="0"/>
        </w:rPr>
        <w:t xml:space="preserve">4.1.2 MSc. Mathematical Finance &amp; Risk Analytics</w:t>
      </w:r>
    </w:p>
    <w:tbl>
      <w:tblPr>
        <w:tblStyle w:val="Table10"/>
        <w:tblW w:w="96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3"/>
        <w:gridCol w:w="1386"/>
        <w:gridCol w:w="3981"/>
        <w:gridCol w:w="3528"/>
        <w:tblGridChange w:id="0">
          <w:tblGrid>
            <w:gridCol w:w="773"/>
            <w:gridCol w:w="1386"/>
            <w:gridCol w:w="3981"/>
            <w:gridCol w:w="352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04">
            <w:pPr>
              <w:pStyle w:val="Heading3"/>
              <w:rPr>
                <w:rFonts w:ascii="Twentieth Century" w:cs="Twentieth Century" w:eastAsia="Twentieth Century" w:hAnsi="Twentieth Century"/>
                <w:b w:val="0"/>
                <w:color w:val="000000"/>
                <w:vertAlign w:val="baseline"/>
              </w:rPr>
            </w:pPr>
            <w:bookmarkStart w:colFirst="0" w:colLast="0" w:name="_uw4j90zdfbh9" w:id="22"/>
            <w:bookmarkEnd w:id="22"/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000000"/>
                <w:vertAlign w:val="baseline"/>
                <w:rtl w:val="0"/>
              </w:rPr>
              <w:t xml:space="preserve">4.1.5 MSc Data Science &amp;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S/No.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40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Student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No. of Pending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168213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Mureithi, Esther Wanjiku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 Unit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Amule, Edward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 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80925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Ng'ang'a, Simon Kihara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69298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Wawire, Mercyline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96002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Gitonga, John Mwangi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150119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Theuri, John Gitonga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Ngetich, Abraham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Kigotho, Samuel Irungu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Wabwoba, S. Abigail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169274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Orege, Ian Kesohore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61596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Kihang'a, Solomon Wabacha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95244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Kirwa, Cherono Brenda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167209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Nyaberi, Graham Nyasoko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168952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Mbugua, Alex Gikaru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Sonye, Henry Ayah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100258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Gachoka, Eva Wanjiru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78377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Kitui, Paul John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168363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Ibrahim, Naima Mohamed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169376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Obunga, Jean Keith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121777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Simala, Odhiambo Leonard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152226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Obaga, Emmanuel Bongwe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5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168211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Ochieng, Atieno Mercy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169702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Otieno, Horace Ouma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63827</w:t>
            </w:r>
          </w:p>
        </w:tc>
        <w:tc>
          <w:tcPr/>
          <w:p w:rsidR="00000000" w:rsidDel="00000000" w:rsidP="00000000" w:rsidRDefault="00000000" w:rsidRPr="00000000" w14:paraId="0000046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Kiplagat, Beatrice Jelimo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8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168950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Kiprop, Jepkosgei Judith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8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Mohammed, Abdulaziz Rajab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8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169371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Aswani, Fridah Obuchela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101327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Sindayikengera, Lily Jorelle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76829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Ng'ang'a, Sheila Wambui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10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136686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Waithaka, Brooklyne Njeri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11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93938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Kiplagat, Kelvin Kimutai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12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168210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Mwaniki, Erastus Musili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13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78232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Kariuki, Francis Kabutu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Washiali, Mashere Susan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168332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Kandeya, Rutendo Julia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95381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Ototo, Alphonsinah Mogoi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17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Samoe, Stacey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17 Units ACADEMIC LEAVE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49618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Muriuki, Kevin Maina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18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166573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Peter, May Mumbua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18 Units ACADEMIC LEAVE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169411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Ooko, Hesbon Odhiambo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75786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Mbotela, Immanuel Malombe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21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152906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Sugut, Grace Jerono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21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167205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Kipkoech, Mark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7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21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169117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Odanga, Hilda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B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21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169374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Mwanza, Maurice Mutua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21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169529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Malu, Muamba Mylene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3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21 Units</w:t>
            </w:r>
          </w:p>
        </w:tc>
      </w:tr>
    </w:tbl>
    <w:p w:rsidR="00000000" w:rsidDel="00000000" w:rsidP="00000000" w:rsidRDefault="00000000" w:rsidRPr="00000000" w14:paraId="000004C4">
      <w:pPr>
        <w:pStyle w:val="Heading2"/>
        <w:rPr>
          <w:rFonts w:ascii="Twentieth Century" w:cs="Twentieth Century" w:eastAsia="Twentieth Century" w:hAnsi="Twentieth Century"/>
          <w:b w:val="0"/>
          <w:vertAlign w:val="baseline"/>
        </w:rPr>
      </w:pPr>
      <w:bookmarkStart w:colFirst="0" w:colLast="0" w:name="_jthhn0hg8m2u" w:id="23"/>
      <w:bookmarkEnd w:id="23"/>
      <w:r w:rsidDel="00000000" w:rsidR="00000000" w:rsidRPr="00000000">
        <w:rPr>
          <w:rFonts w:ascii="Twentieth Century" w:cs="Twentieth Century" w:eastAsia="Twentieth Century" w:hAnsi="Twentieth Century"/>
          <w:b w:val="1"/>
          <w:vertAlign w:val="baseline"/>
          <w:rtl w:val="0"/>
        </w:rPr>
        <w:t xml:space="preserve">4.2 Other Cohorts (Backlog)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4.2.1 MSc. Data Science and Analytics</w:t>
      </w:r>
      <w:r w:rsidDel="00000000" w:rsidR="00000000" w:rsidRPr="00000000">
        <w:rPr>
          <w:rtl w:val="0"/>
        </w:rPr>
      </w:r>
    </w:p>
    <w:tbl>
      <w:tblPr>
        <w:tblStyle w:val="Table11"/>
        <w:tblW w:w="96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3"/>
        <w:gridCol w:w="1386"/>
        <w:gridCol w:w="3976"/>
        <w:gridCol w:w="1131"/>
        <w:gridCol w:w="2402"/>
        <w:tblGridChange w:id="0">
          <w:tblGrid>
            <w:gridCol w:w="773"/>
            <w:gridCol w:w="1386"/>
            <w:gridCol w:w="3976"/>
            <w:gridCol w:w="1131"/>
            <w:gridCol w:w="240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S/No.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4C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4C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Student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4C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Class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030a0" w:val="clear"/>
            <w:vAlign w:val="center"/>
          </w:tcPr>
          <w:p w:rsidR="00000000" w:rsidDel="00000000" w:rsidP="00000000" w:rsidRDefault="00000000" w:rsidRPr="00000000" w14:paraId="000004C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No. of Pending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C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151148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Nderito, Kigen Gatere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E">
            <w:pPr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 Unit (Dissertation)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0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149076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Njogu, Charles Kabui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3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 unit (DSA 8302)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83303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7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Ramadhan, Khidir Ismail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A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69139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Awuor, Joyce Naomi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150684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Waithera, Richard Kabiru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2">
            <w:pPr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5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4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149978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Gichuki, Michael Mwangi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7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050953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Bodo, Joyce Anyango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C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E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F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78375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Otieno, Billy Opiyo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11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4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151384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Joseph, Anette Kerubo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6">
            <w:pPr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11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8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148987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Jaffery, Mwangi Ndisho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13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81757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Yogo, Lousa Sheenaz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 Units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102156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Papa, Blaise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Academic Leave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110445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Njimu, Stacy Waithera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Deferred 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46724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Kariuki, Michael Gichure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F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0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Deferred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151617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3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Migolo, Naboth Benjamin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4">
            <w:pPr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  <w:rtl w:val="0"/>
              </w:rPr>
              <w:t xml:space="preserve">Deferred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6">
      <w:pPr>
        <w:spacing w:after="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3"/>
        <w:gridCol w:w="59"/>
        <w:gridCol w:w="1323"/>
        <w:gridCol w:w="3969"/>
        <w:gridCol w:w="1134"/>
        <w:gridCol w:w="2410"/>
        <w:tblGridChange w:id="0">
          <w:tblGrid>
            <w:gridCol w:w="773"/>
            <w:gridCol w:w="59"/>
            <w:gridCol w:w="1323"/>
            <w:gridCol w:w="3969"/>
            <w:gridCol w:w="1134"/>
            <w:gridCol w:w="2410"/>
          </w:tblGrid>
        </w:tblGridChange>
      </w:tblGrid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8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Ndiritu, Timothy Wahome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C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 Unit (Dissertation)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144910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0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Onyango, James Oduor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2">
            <w:pPr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 Unit (Dissertation)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4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Mboya, Daisy Akinyi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7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8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 Unit (Dissertation)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C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Nguti, Lydia Mukii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 Unit (Dissertation)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145076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Muninzwa, Donstefano Afubwa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 Unit (Dissertation)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71167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8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Rugendo, Esther Muthoni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 Unit (Dissertation)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Makori, Joseph Orina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F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0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 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144894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4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Mugambi, Mike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6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 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8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78052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Simiyu, Barbara Lusike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B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C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106218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0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Gichuhi, Getrude Gathoni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2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4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144896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Juma, Joseph Matundura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7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8">
            <w:pPr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C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Ambutu, Joan Karimi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E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0">
            <w:pPr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2">
            <w:pPr>
              <w:rPr>
                <w:rFonts w:ascii="Twentieth Century" w:cs="Twentieth Century" w:eastAsia="Twentieth Century" w:hAnsi="Twentieth Century"/>
                <w:b w:val="0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Kyalo, Henry Muoki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rPr>
                <w:rFonts w:ascii="Twentieth Century" w:cs="Twentieth Century" w:eastAsia="Twentieth Century" w:hAnsi="Twentieth Century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145628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Mutugi, Antoinette Ndega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 Units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C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95227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Sime, Victor Omondi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F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0">
            <w:pPr>
              <w:spacing w:after="0" w:line="240" w:lineRule="auto"/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4 Units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84705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4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highlight w:val="yellow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Musombi, Christian Bruce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6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7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78952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Wanjiru, Sally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C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D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145616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0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Mise, Lucy Muhonja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8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3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4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145078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Sammy, Beritah Catherine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7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8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9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134000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C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Oyatsi, Adera Alexander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E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F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144893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Wanambuko, Emmanuel Mukhebo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91265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Gitahi, Stephen Kinyua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16 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71071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Oguda, Alex Onyino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Deferred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spacing w:after="0" w:line="240" w:lineRule="auto"/>
              <w:jc w:val="center"/>
              <w:rPr>
                <w:rFonts w:ascii="Twentieth Century" w:cs="Twentieth Century" w:eastAsia="Twentieth Century" w:hAnsi="Twentieth Centur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145108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Onyango, Victor Omondi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5">
            <w:pPr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rPr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color w:val="000000"/>
                <w:sz w:val="24"/>
                <w:szCs w:val="24"/>
                <w:vertAlign w:val="baseline"/>
                <w:rtl w:val="0"/>
              </w:rPr>
              <w:t xml:space="preserve">Deferred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7">
      <w:pPr>
        <w:tabs>
          <w:tab w:val="left" w:leader="none" w:pos="390"/>
        </w:tabs>
        <w:spacing w:after="240" w:line="360" w:lineRule="auto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="480" w:lineRule="auto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Approval of June 2025 MSc Graduation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line="72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This June 2025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Graduation List is approved by; </w:t>
      </w:r>
    </w:p>
    <w:p w:rsidR="00000000" w:rsidDel="00000000" w:rsidP="00000000" w:rsidRDefault="00000000" w:rsidRPr="00000000" w14:paraId="000005AA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The Examination Board: </w:t>
      </w:r>
    </w:p>
    <w:p w:rsidR="00000000" w:rsidDel="00000000" w:rsidP="00000000" w:rsidRDefault="00000000" w:rsidRPr="00000000" w14:paraId="000005AB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Strathmore Institute of Mathematical Sciences </w:t>
      </w:r>
    </w:p>
    <w:p w:rsidR="00000000" w:rsidDel="00000000" w:rsidP="00000000" w:rsidRDefault="00000000" w:rsidRPr="00000000" w14:paraId="000005AC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0" w:line="72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Dean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………………………………………… 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Date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0" w:line="72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Academic Council</w:t>
      </w:r>
    </w:p>
    <w:p w:rsidR="00000000" w:rsidDel="00000000" w:rsidP="00000000" w:rsidRDefault="00000000" w:rsidRPr="00000000" w14:paraId="000005B1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DVC, Academics and Student Affairs.</w:t>
      </w:r>
    </w:p>
    <w:p w:rsidR="00000000" w:rsidDel="00000000" w:rsidP="00000000" w:rsidRDefault="00000000" w:rsidRPr="00000000" w14:paraId="000005B2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0" w:line="72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Sign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……………..………………………………………. 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Date 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0" w:line="72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0" w:line="36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Vice Chancellor </w:t>
      </w:r>
    </w:p>
    <w:p w:rsidR="00000000" w:rsidDel="00000000" w:rsidP="00000000" w:rsidRDefault="00000000" w:rsidRPr="00000000" w14:paraId="000005B7">
      <w:pPr>
        <w:spacing w:after="0" w:line="72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0" w:line="720" w:lineRule="auto"/>
        <w:jc w:val="both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Sign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……………...……………………………………….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 Date</w:t>
      </w: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 ………………………</w:t>
      </w:r>
      <w:r w:rsidDel="00000000" w:rsidR="00000000" w:rsidRPr="00000000">
        <w:rPr>
          <w:rtl w:val="0"/>
        </w:rPr>
      </w:r>
    </w:p>
    <w:sectPr>
      <w:headerReference r:id="rId12" w:type="first"/>
      <w:footerReference r:id="rId13" w:type="first"/>
      <w:type w:val="nextPage"/>
      <w:pgSz w:h="16839" w:w="11907" w:orient="portrait"/>
      <w:pgMar w:bottom="568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720" w:hanging="720"/>
    </w:pPr>
    <w:rPr>
      <w:rFonts w:ascii="Twentieth Century" w:cs="Twentieth Century" w:eastAsia="Twentieth Century" w:hAnsi="Twentieth Century"/>
      <w:b w:val="1"/>
      <w:color w:val="0070c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color w:val="1f4d78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i w:val="1"/>
      <w:color w:val="2e74b5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  <w:vertAlign w:val="baseline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