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olor w:val="ED1C24"/>
        </w:rPr>
        <w:t>Brief Instructeur - Module 2 : Modélisation Avancée et Solutions Décisionnelles</w:t>
      </w:r>
    </w:p>
    <w:p>
      <w:r>
        <w:rPr>
          <w:rFonts w:ascii="Calibri" w:hAnsi="Calibri"/>
          <w:b/>
          <w:color w:val="282828"/>
        </w:rPr>
        <w:t>WEEK 1 | Relational Database Foundations &amp; Schema Design</w:t>
      </w:r>
    </w:p>
    <w:p>
      <w:r>
        <w:rPr>
          <w:rFonts w:ascii="Calibri" w:hAnsi="Calibri"/>
          <w:color w:val="282828"/>
        </w:rPr>
        <w:t>Durée : 120 Minutes | Ton : Smart-Fun (Geek) | Code Couleur : Minimalisme Premium</w:t>
      </w:r>
    </w:p>
    <w:p>
      <w:r>
        <w:br w:type="page"/>
      </w:r>
    </w:p>
    <w:p>
      <w:pPr>
        <w:pStyle w:val="Heading1"/>
      </w:pPr>
      <w:r>
        <w:rPr>
          <w:rFonts w:ascii="Calibri" w:hAnsi="Calibri"/>
          <w:color w:val="ED1C24"/>
        </w:rPr>
        <w:t>Objectif de la Session</w:t>
      </w:r>
    </w:p>
    <w:p>
      <w:r>
        <w:rPr>
          <w:rFonts w:ascii="Calibri" w:hAnsi="Calibri"/>
          <w:color w:val="282828"/>
        </w:rPr>
        <w:t>Transiter de la logique limitante de 'Tableur' vers la puissance des systèmes de gestion de bases de données relationnelles (RDBMS).</w:t>
      </w:r>
    </w:p>
    <w:p>
      <w:r>
        <w:rPr>
          <w:rFonts w:ascii="Calibri" w:hAnsi="Calibri"/>
          <w:color w:val="282828"/>
        </w:rPr>
        <w:t>Key Milestone : Capacité à lire, comprendre et concevoir un Database Schema relationnel normalisé.</w:t>
      </w:r>
    </w:p>
    <w:p>
      <w:pPr>
        <w:pStyle w:val="Heading1"/>
      </w:pPr>
      <w:r>
        <w:rPr>
          <w:rFonts w:ascii="Calibri" w:hAnsi="Calibri"/>
          <w:color w:val="ED1C24"/>
        </w:rPr>
        <w:t>🔴 BLOC 1 : CORE CONCEPTS (30 min) - Le choc des Titans</w:t>
      </w:r>
    </w:p>
    <w:p>
      <w:r>
        <w:rPr>
          <w:rFonts w:ascii="Calibri" w:hAnsi="Calibri"/>
          <w:b/>
          <w:color w:val="282828"/>
        </w:rPr>
        <w:t>Objectif :</w:t>
      </w:r>
    </w:p>
    <w:p>
      <w:r>
        <w:rPr>
          <w:rFonts w:ascii="Calibri" w:hAnsi="Calibri"/>
          <w:color w:val="282828"/>
        </w:rPr>
        <w:t>Faire comprendre POURQUOI on abandonne les vieilles habitudes sur Excel.</w:t>
      </w:r>
    </w:p>
    <w:p>
      <w:r>
        <w:rPr>
          <w:rFonts w:ascii="Calibri" w:hAnsi="Calibri"/>
          <w:b/>
          <w:color w:val="282828"/>
        </w:rPr>
        <w:t>Le Discours (Storytelling) :</w:t>
      </w:r>
    </w:p>
    <w:p>
      <w:r>
        <w:rPr>
          <w:rFonts w:ascii="Calibri" w:hAnsi="Calibri"/>
          <w:color w:val="282828"/>
        </w:rPr>
        <w:t>« Jusqu'ici, vous étiez des artisans sur Excel. Mais le tableur a un plafond de verre : le Excel Ceiling. À partir d'un million de lignes, le logiciel suffoque. Bienvenue dans l'ingénierie de la donnée. Aujourd'hui, nous passons aux RDBMS (Relational Database Management Systems). »</w:t>
      </w:r>
    </w:p>
    <w:p>
      <w:r>
        <w:rPr>
          <w:rFonts w:ascii="Calibri" w:hAnsi="Calibri"/>
          <w:b/>
          <w:color w:val="282828"/>
        </w:rPr>
        <w:t>Le Discours (Data Integrity &amp; Scalability) :</w:t>
      </w:r>
    </w:p>
    <w:p>
      <w:r>
        <w:rPr>
          <w:rFonts w:ascii="Calibri" w:hAnsi="Calibri"/>
          <w:color w:val="282828"/>
        </w:rPr>
        <w:t>« Pourquoi les banques n'utilisent pas Excel ? Pour la Data Integrity et la Scalability. Un RDBMS applique des règles strictes (ex: interdiction des doublons, atomicité des transactions) empêchant toute corruption. »</w:t>
      </w:r>
    </w:p>
    <w:p>
      <w:pPr>
        <w:pStyle w:val="Heading1"/>
      </w:pPr>
      <w:r>
        <w:rPr>
          <w:rFonts w:ascii="Calibri" w:hAnsi="Calibri"/>
          <w:color w:val="ED1C24"/>
        </w:rPr>
        <w:t>🔴 BLOC 2 : TECHNICAL VOCAB (30 min) - Parler le langage machine</w:t>
      </w:r>
    </w:p>
    <w:p>
      <w:r>
        <w:rPr>
          <w:rFonts w:ascii="Calibri" w:hAnsi="Calibri"/>
          <w:b/>
          <w:color w:val="282828"/>
        </w:rPr>
        <w:t>Le Discours (Tables, Fields &amp; Records) :</w:t>
      </w:r>
    </w:p>
    <w:p>
      <w:r>
        <w:rPr>
          <w:rFonts w:ascii="Calibri" w:hAnsi="Calibri"/>
          <w:color w:val="282828"/>
        </w:rPr>
        <w:t>« Oubliez le jargon bureautique. Dans le modèle relationnel, l'information est dans des Tables. Chaque ligne est un Record. Les colonnes sont des Fields. »</w:t>
      </w:r>
    </w:p>
    <w:p>
      <w:r>
        <w:rPr>
          <w:rFonts w:ascii="Calibri" w:hAnsi="Calibri"/>
          <w:b/>
          <w:color w:val="282828"/>
        </w:rPr>
        <w:t>Le Discours (PK &amp; FK) :</w:t>
      </w:r>
    </w:p>
    <w:p>
      <w:r>
        <w:rPr>
          <w:rFonts w:ascii="Calibri" w:hAnsi="Calibri"/>
          <w:color w:val="282828"/>
        </w:rPr>
        <w:t>« La Primary Key (PK) est l'identifiant absolu et unique de chaque Record. La Foreign Key (FK) pointe vers la PK de la table parente pour créer le lien. C'est le ciment de toute base de données ! »</w:t>
      </w:r>
    </w:p>
    <w:p>
      <w:pPr>
        <w:pStyle w:val="Heading1"/>
      </w:pPr>
      <w:r>
        <w:rPr>
          <w:rFonts w:ascii="Calibri" w:hAnsi="Calibri"/>
          <w:color w:val="ED1C24"/>
        </w:rPr>
        <w:t>🔴 BLOC 3 : WORKSHOP (30 min) - Les mains dans le cambouis</w:t>
      </w:r>
    </w:p>
    <w:p>
      <w:r>
        <w:rPr>
          <w:rFonts w:ascii="Calibri" w:hAnsi="Calibri"/>
          <w:b/>
          <w:color w:val="282828"/>
        </w:rPr>
        <w:t>Setup de l'environnement (Step-by-Step) :</w:t>
      </w:r>
    </w:p>
    <w:p>
      <w:r>
        <w:rPr>
          <w:rFonts w:ascii="Calibri" w:hAnsi="Calibri"/>
          <w:color w:val="282828"/>
        </w:rPr>
        <w:t>1. Demandez aux étudiants d'installer DBeaver ou SQLite Browser.</w:t>
        <w:br/>
        <w:t>2. [Placeholder Image : Capture interface anglaise DBeaver] (Expliquer l'interface en français).</w:t>
        <w:br/>
        <w:t>3. Créez une base vierge 'Kadea_Lab.db'.</w:t>
      </w:r>
    </w:p>
    <w:p>
      <w:r>
        <w:rPr>
          <w:rFonts w:ascii="Calibri" w:hAnsi="Calibri"/>
          <w:b/>
          <w:color w:val="282828"/>
        </w:rPr>
        <w:t>Initialisation et Crash Test :</w:t>
      </w:r>
    </w:p>
    <w:p>
      <w:r>
        <w:rPr>
          <w:rFonts w:ascii="Calibri" w:hAnsi="Calibri"/>
          <w:color w:val="282828"/>
        </w:rPr>
        <w:t>- Créer table 'Customers' (PK: ID client).</w:t>
        <w:br/>
        <w:t>- Créer table 'Orders' (FK: ID client).</w:t>
        <w:br/>
        <w:t>- Test d'intégrité : Faites-leur insérer une commande pour un client inexistant pour déclencher une erreur et prouver la Data Integrity.</w:t>
      </w:r>
    </w:p>
    <w:p>
      <w:pPr>
        <w:pStyle w:val="Heading1"/>
      </w:pPr>
      <w:r>
        <w:rPr>
          <w:rFonts w:ascii="Calibri" w:hAnsi="Calibri"/>
          <w:color w:val="ED1C24"/>
        </w:rPr>
        <w:t>🔴 BLOC 4 : EXERCISE (30 min) - Design Thinking (Contexte Kadea Telco)</w:t>
      </w:r>
    </w:p>
    <w:p>
      <w:r>
        <w:rPr>
          <w:rFonts w:ascii="Calibri" w:hAnsi="Calibri"/>
          <w:b/>
          <w:color w:val="282828"/>
        </w:rPr>
        <w:t>Le Discours (CDM/MCD) :</w:t>
      </w:r>
    </w:p>
    <w:p>
      <w:r>
        <w:rPr>
          <w:rFonts w:ascii="Calibri" w:hAnsi="Calibri"/>
          <w:color w:val="282828"/>
        </w:rPr>
        <w:t>« Un Data Analyst modélise toujours sur papier via un Conceptual Data Model (CDM). Abstrayons le monde réel ! »</w:t>
      </w:r>
    </w:p>
    <w:p>
      <w:r>
        <w:rPr>
          <w:rFonts w:ascii="Calibri" w:hAnsi="Calibri"/>
          <w:b/>
          <w:color w:val="282828"/>
        </w:rPr>
        <w:t>La Mission (Contexte Adapté) :</w:t>
      </w:r>
    </w:p>
    <w:p>
      <w:r>
        <w:rPr>
          <w:rFonts w:ascii="Calibri" w:hAnsi="Calibri"/>
          <w:color w:val="282828"/>
        </w:rPr>
        <w:t>Les étudiants doivent modéliser l'infrastructure réseau de Kadea Telco sur les 26 provinces de la RDC. Entités : Provinces, Cell_Towers (Antennes), Technicians.</w:t>
      </w:r>
    </w:p>
    <w:p>
      <w:r>
        <w:rPr>
          <w:rFonts w:ascii="Calibri" w:hAnsi="Calibri"/>
          <w:b/>
          <w:color w:val="282828"/>
        </w:rPr>
        <w:t>Le Piège Formateur (Many-to-Many) :</w:t>
      </w:r>
    </w:p>
    <w:p>
      <w:r>
        <w:rPr>
          <w:rFonts w:ascii="Calibri" w:hAnsi="Calibri"/>
          <w:color w:val="282828"/>
        </w:rPr>
        <w:t>Un technicien répare plusieurs antennes, et une antenne est maintenue par plusieurs techniciens. Solution attendue : création d'une table intermédiaire (ex: 'Maintenance_Logs' ou 'Assignments').</w:t>
      </w:r>
    </w:p>
    <w:p>
      <w:r>
        <w:br w:type="page"/>
      </w:r>
    </w:p>
    <w:p>
      <w:pPr>
        <w:pStyle w:val="Heading1"/>
      </w:pPr>
      <w:r>
        <w:rPr>
          <w:rFonts w:ascii="Calibri" w:hAnsi="Calibri"/>
          <w:color w:val="ED1C24"/>
        </w:rPr>
        <w:t>Grille d'évaluation (Grading Rubric) - Exercice Bloc 4</w:t>
      </w:r>
    </w:p>
    <w:tbl>
      <w:tblPr>
        <w:tblStyle w:val="TableGrid"/>
        <w:tblW w:type="auto" w:w="0"/>
        <w:tblLook w:firstColumn="1" w:firstRow="1" w:lastColumn="0" w:lastRow="0" w:noHBand="0" w:noVBand="1" w:val="04A0"/>
      </w:tblPr>
      <w:tblGrid>
        <w:gridCol w:w="2880"/>
        <w:gridCol w:w="2880"/>
        <w:gridCol w:w="2880"/>
      </w:tblGrid>
      <w:tr>
        <w:tc>
          <w:tcPr>
            <w:tcW w:type="dxa" w:w="2880"/>
          </w:tcPr>
          <w:p>
            <w:r>
              <w:t>Critère</w:t>
            </w:r>
          </w:p>
        </w:tc>
        <w:tc>
          <w:tcPr>
            <w:tcW w:type="dxa" w:w="2880"/>
          </w:tcPr>
          <w:p>
            <w:r>
              <w:t>Points</w:t>
            </w:r>
          </w:p>
        </w:tc>
        <w:tc>
          <w:tcPr>
            <w:tcW w:type="dxa" w:w="2880"/>
          </w:tcPr>
          <w:p>
            <w:r>
              <w:t>Description pour obtenir les points</w:t>
            </w:r>
          </w:p>
        </w:tc>
      </w:tr>
      <w:tr>
        <w:tc>
          <w:tcPr>
            <w:tcW w:type="dxa" w:w="2880"/>
          </w:tcPr>
          <w:p>
            <w:r>
              <w:t>Identification des Entités</w:t>
            </w:r>
          </w:p>
        </w:tc>
        <w:tc>
          <w:tcPr>
            <w:tcW w:type="dxa" w:w="2880"/>
          </w:tcPr>
          <w:p>
            <w:r>
              <w:t>3 pts</w:t>
            </w:r>
          </w:p>
        </w:tc>
        <w:tc>
          <w:tcPr>
            <w:tcW w:type="dxa" w:w="2880"/>
          </w:tcPr>
          <w:p>
            <w:r>
              <w:t>Les 3 entités (Provinces, Cell_Towers, Technicians) sont clairement identifiées comme des Tables.</w:t>
            </w:r>
          </w:p>
        </w:tc>
      </w:tr>
      <w:tr>
        <w:tc>
          <w:tcPr>
            <w:tcW w:type="dxa" w:w="2880"/>
          </w:tcPr>
          <w:p>
            <w:r>
              <w:t>Attribution des Primary Keys (PK)</w:t>
            </w:r>
          </w:p>
        </w:tc>
        <w:tc>
          <w:tcPr>
            <w:tcW w:type="dxa" w:w="2880"/>
          </w:tcPr>
          <w:p>
            <w:r>
              <w:t>3 pts</w:t>
            </w:r>
          </w:p>
        </w:tc>
        <w:tc>
          <w:tcPr>
            <w:tcW w:type="dxa" w:w="2880"/>
          </w:tcPr>
          <w:p>
            <w:r>
              <w:t>Chaque table possède un Field dédié comme identifiant unique (ex: Province_ID).</w:t>
            </w:r>
          </w:p>
        </w:tc>
      </w:tr>
      <w:tr>
        <w:tc>
          <w:tcPr>
            <w:tcW w:type="dxa" w:w="2880"/>
          </w:tcPr>
          <w:p>
            <w:r>
              <w:t>Gestion de la relation One-to-Many</w:t>
            </w:r>
          </w:p>
        </w:tc>
        <w:tc>
          <w:tcPr>
            <w:tcW w:type="dxa" w:w="2880"/>
          </w:tcPr>
          <w:p>
            <w:r>
              <w:t>2 pts</w:t>
            </w:r>
          </w:p>
        </w:tc>
        <w:tc>
          <w:tcPr>
            <w:tcW w:type="dxa" w:w="2880"/>
          </w:tcPr>
          <w:p>
            <w:r>
              <w:t>La table 'Cell_Towers' contient une Foreign Key (FK) pointant vers 'Province_ID'.</w:t>
            </w:r>
          </w:p>
        </w:tc>
      </w:tr>
      <w:tr>
        <w:tc>
          <w:tcPr>
            <w:tcW w:type="dxa" w:w="2880"/>
          </w:tcPr>
          <w:p>
            <w:r>
              <w:t>Résolution du piège Many-to-Many</w:t>
            </w:r>
          </w:p>
        </w:tc>
        <w:tc>
          <w:tcPr>
            <w:tcW w:type="dxa" w:w="2880"/>
          </w:tcPr>
          <w:p>
            <w:r>
              <w:t>2 pts</w:t>
            </w:r>
          </w:p>
        </w:tc>
        <w:tc>
          <w:tcPr>
            <w:tcW w:type="dxa" w:w="2880"/>
          </w:tcPr>
          <w:p>
            <w:r>
              <w:t>Création correcte d'une table intermédiaire liant Cell_Towers et Technicians via deux FKs.</w:t>
            </w:r>
          </w:p>
        </w:tc>
      </w:tr>
    </w:tbl>
    <w:p>
      <w:r>
        <w:rPr>
          <w:rFonts w:ascii="Calibri" w:hAnsi="Calibri"/>
          <w:b/>
          <w:color w:val="282828"/>
        </w:rPr>
        <w:br/>
        <w:t>Total : 10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