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 &amp; Calculation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Win Rate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percentage of closed opportunities that result in a signed deal.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Closed-Won Deals ÷ (Closed-Won + Closed-Lost Deals) × 100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Average Deal Size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typical contract value of a closed-won deal, used to gauge deal quality and forecast revenue.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Total Closed-Won Revenue ÷ Number of Closed-Won Deals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Sales Cycle Length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average time it takes to move an opportunity from creation to close.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Sum of Days from Open to Close ÷ Number of Closed Deals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Pipeline Coverage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ratio of open pipeline value to the remaining revenue target, indicating whether enough opportunity exists to hit goal.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Open Pipeline Value ÷ Remaining Quota Target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Quota Attainment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percentage of an individual or team's sales quota achieved in a given period.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Actual Revenue Closed ÷ Quota Target × 100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Lead-to-Opportunity Conversion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share of qualified leads that progress into a formal sales opportunity.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Opportunities Created ÷ Qualified Leads × 100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Customer Acquisition Cost (CAC)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The average fully-loaded cost to acquire one new customer, including sales and marketing spend.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Total Sales &amp; Marketing Spend ÷ New Customers Acquired</w:t>
            </w:r>
          </w:p>
        </w:tc>
      </w:tr>
      <w:tr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Net Revenue Retention (NRR)</w:t>
            </w:r>
          </w:p>
        </w:tc>
        <w:tc>
          <w:tcPr>
            <w:tcBorders>
              <w:top w:val="single" w:color="C9D2E0" w:sz="2"/>
              <w:left w:val="none"/>
              <w:bottom w:val="single" w:color="C9D2E0" w:sz="2"/>
              <w:right w:val="none"/>
            </w:tcBorders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  <w:szCs w:val="18"/>
              </w:rPr>
              <w:t xml:space="preserve">Revenue retained and expanded from the existing customer base over a period, excluding new logo revenue.</w:t>
            </w:r>
          </w:p>
          <w:p>
            <w:pPr>
              <w:spacing w:before="40"/>
            </w:pPr>
            <w:r>
              <w:rPr>
                <w:i/>
                <w:iCs/>
                <w:color w:val="44546A"/>
                <w:sz w:val="17"/>
                <w:szCs w:val="17"/>
              </w:rPr>
              <w:t xml:space="preserve">(Starting Revenue + Expansion − Contraction − Churn) ÷ Starting Revenue × 100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0" w:sz="4" w:space="6"/>
      </w:pBdr>
      <w:jc w:val="center"/>
    </w:pPr>
    <w:r>
      <w:rPr>
        <w:color w:val="44546A"/>
        <w:sz w:val="14"/>
        <w:szCs w:val="14"/>
      </w:rPr>
      <w:t xml:space="preserve">Confidential — for discussion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6"/>
      </w:pBdr>
      <w:spacing w:after="0"/>
    </w:pPr>
    <w:r>
      <w:rPr>
        <w:b/>
        <w:bCs/>
        <w:color w:val="1F3864"/>
        <w:sz w:val="30"/>
        <w:szCs w:val="30"/>
      </w:rPr>
      <w:t xml:space="preserve">Sales KPI Definitions</w:t>
    </w:r>
  </w:p>
  <w:p>
    <w:pPr>
      <w:spacing w:after="0" w:before="40"/>
    </w:pPr>
    <w:r>
      <w:rPr>
        <w:color w:val="44546A"/>
        <w:sz w:val="18"/>
        <w:szCs w:val="18"/>
      </w:rPr>
      <w:t xml:space="preserve">Prepared for </w:t>
    </w:r>
    <w:r>
      <w:rPr>
        <w:i/>
        <w:iCs/>
        <w:color w:val="44546A"/>
        <w:sz w:val="18"/>
        <w:szCs w:val="18"/>
      </w:rPr>
      <w:t xml:space="preserve">[Client Name]</w:t>
    </w:r>
    <w:r>
      <w:rPr>
        <w:color w:val="44546A"/>
        <w:sz w:val="18"/>
        <w:szCs w:val="18"/>
      </w:rPr>
      <w:t xml:space="preserve">  |  Reference guide to standard sales metrics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2026-08-23T09:57:11.571Z</dcterms:created>
  <dcterms:modified xsi:type="dcterms:W3CDTF">2026-08-23T09:57:11.583Z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