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3/8/2016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 8:45pm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Sasona Cooperative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Present: Corey Williams (At-Large), Genieva Croley (Chair), Joshua Noel Sabik (Treasurer), Gus Bova (Secretary), Abby Tatkow (Community At-Large)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called to order by Genieva Croley @ 8:46pm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#1: Approving Old Minutes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Motion: to approve old minutes. Moved by Abby. Seconded by Corey. Vote: 4-0-0.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#2: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990 is done!!! Financial Working Group met.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Motion: to use our vacancy overflow check to pay down our NASCO loan. Gus moves. Abby Seconds. Vote: 5-0-0.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#3: Annual Meeting of the Members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Need to have call for Agenda Items.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Genieva will send email and Corey will research.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Beer. Snacks. 2-ish in the afternoon.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Abby will come back as Community Rep when we’re finally ready to expand.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Snoop Dogg.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Abby’s making a poster.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Gus will make an FB event.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Music?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#4: Community Representative Update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FB post “reached” 1,500 people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Maybe Alexa; Abby will reach out to her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Abby will email ACBA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Gus will make a flyer and post in Wheatsville South and send flyer out to all so they can also distribute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Corey is making calendar of co-op house meetings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Genieva will go after REI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#5: Grievance Policy Update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Genieva is working on incorporating Daniel’s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Business: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NASCO approved funding for staff position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But so what do we want?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Contract Rewrite Update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Sasona Archivist position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Corey working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Sasona Upcoming Membership Review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Corey interested in attending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CHEA Board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3/21/16 @ 7:40pm at La Reunion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Adjourned @ 10:18pm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Agenda for 3/21/16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Approve Old Minutes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Reimburse Josh for Postage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Make paying down NASCO loan with vacancy reserve overflow a standing rule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AMM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Comm Rep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Grievance Policy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Contract Rewrite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Staff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