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Friday</w:t>
      </w:r>
      <w:r>
        <w:t xml:space="preserve"> </w:t>
      </w:r>
      <w:r>
        <w:t xml:space="preserve">Quiz</w:t>
      </w:r>
      <w:r>
        <w:t xml:space="preserve"> </w:t>
      </w:r>
      <w:r>
        <w:t xml:space="preserve">8</w:t>
      </w:r>
      <w:r>
        <w:t xml:space="preserve"> </w:t>
      </w:r>
      <w:r>
        <w:t xml:space="preserve">-</w:t>
      </w:r>
      <w:r>
        <w:t xml:space="preserve"> </w:t>
      </w:r>
      <w:r>
        <w:t xml:space="preserve">Solutions</w:t>
      </w:r>
      <w:r>
        <w:t xml:space="preserve"> </w:t>
      </w:r>
      <w:r>
        <w:t xml:space="preserve">-</w:t>
      </w:r>
      <w:r>
        <w:t xml:space="preserve"> </w:t>
      </w:r>
      <w:r>
        <w:t xml:space="preserve">STAT</w:t>
      </w:r>
      <w:r>
        <w:t xml:space="preserve"> </w:t>
      </w:r>
      <w:r>
        <w:t xml:space="preserve">252</w:t>
      </w:r>
    </w:p>
    <w:bookmarkStart w:id="20" w:name="question-10"/>
    <w:p>
      <w:pPr>
        <w:pStyle w:val="Heading2"/>
      </w:pPr>
      <w:r>
        <w:t xml:space="preserve">Question 10</w:t>
      </w:r>
    </w:p>
    <w:p>
      <w:pPr>
        <w:pStyle w:val="FirstParagraph"/>
      </w:pPr>
      <w:r>
        <w:t xml:space="preserve">An educator wants to test whether three different teaching methods (Method A, Method B, Method C) lead to the same mean exam score for students. Formulate the null and alternative hypotheses for the one-way ANOVA test of this research question. (Provide your answers in words or symbols.)</w:t>
      </w:r>
    </w:p>
    <w:bookmarkEnd w:id="20"/>
    <w:bookmarkStart w:id="23" w:name="solution"/>
    <w:p>
      <w:pPr>
        <w:pStyle w:val="Heading2"/>
      </w:pPr>
      <w:r>
        <w:rPr>
          <w:b/>
          <w:bCs/>
        </w:rPr>
        <w:t xml:space="preserve">Solution</w:t>
      </w:r>
    </w:p>
    <w:bookmarkStart w:id="21" w:name="null-hypothesis-h₀"/>
    <w:p>
      <w:pPr>
        <w:pStyle w:val="Heading3"/>
      </w:pPr>
      <w:r>
        <w:rPr>
          <w:b/>
          <w:bCs/>
        </w:rPr>
        <w:t xml:space="preserve">Null Hypothesis (H₀):</w:t>
      </w:r>
    </w:p>
    <w:p>
      <w:pPr>
        <w:pStyle w:val="FirstParagraph"/>
      </w:pPr>
      <w:r>
        <w:t xml:space="preserve">The</w:t>
      </w:r>
      <w:r>
        <w:t xml:space="preserve"> </w:t>
      </w:r>
      <w:r>
        <w:rPr>
          <w:b/>
          <w:bCs/>
        </w:rPr>
        <w:t xml:space="preserve">population mean exam scores are the same</w:t>
      </w:r>
      <w:r>
        <w:t xml:space="preserve"> </w:t>
      </w:r>
      <w:r>
        <w:t xml:space="preserve">for all three teaching methods.</w:t>
      </w:r>
      <w:r>
        <w:t xml:space="preserve"> </w:t>
      </w:r>
      <w:r>
        <w:t xml:space="preserve">In symbols:</w:t>
      </w:r>
    </w:p>
    <w:p>
      <w:pPr>
        <w:pStyle w:val="BodyText"/>
      </w:pPr>
      <m:oMathPara>
        <m:oMathParaPr>
          <m:jc m:val="center"/>
        </m:oMathParaPr>
        <m:oMath>
          <m:sSub>
            <m:e>
              <m:r>
                <m:t>H</m:t>
              </m:r>
            </m:e>
            <m:sub>
              <m:r>
                <m:t>0</m:t>
              </m:r>
            </m:sub>
          </m:sSub>
          <m:r>
            <m:rPr>
              <m:sty m:val="p"/>
            </m:rPr>
            <m:t>:</m:t>
          </m:r>
          <m:sSub>
            <m:e>
              <m:r>
                <m:t>μ</m:t>
              </m:r>
            </m:e>
            <m:sub>
              <m:r>
                <m:t>A</m:t>
              </m:r>
            </m:sub>
          </m:sSub>
          <m:r>
            <m:rPr>
              <m:sty m:val="p"/>
            </m:rPr>
            <m:t>=</m:t>
          </m:r>
          <m:sSub>
            <m:e>
              <m:r>
                <m:t>μ</m:t>
              </m:r>
            </m:e>
            <m:sub>
              <m:r>
                <m:t>B</m:t>
              </m:r>
            </m:sub>
          </m:sSub>
          <m:r>
            <m:rPr>
              <m:sty m:val="p"/>
            </m:rPr>
            <m:t>=</m:t>
          </m:r>
          <m:sSub>
            <m:e>
              <m:r>
                <m:t>μ</m:t>
              </m:r>
            </m:e>
            <m:sub>
              <m:r>
                <m:t>C</m:t>
              </m:r>
            </m:sub>
          </m:sSub>
        </m:oMath>
      </m:oMathPara>
    </w:p>
    <w:bookmarkEnd w:id="21"/>
    <w:bookmarkStart w:id="22" w:name="alternative-hypothesis-h₁"/>
    <w:p>
      <w:pPr>
        <w:pStyle w:val="Heading3"/>
      </w:pPr>
      <w:r>
        <w:rPr>
          <w:b/>
          <w:bCs/>
        </w:rPr>
        <w:t xml:space="preserve">Alternative Hypothesis (H₁):</w:t>
      </w:r>
    </w:p>
    <w:p>
      <w:pPr>
        <w:pStyle w:val="FirstParagraph"/>
      </w:pPr>
      <w:r>
        <w:rPr>
          <w:b/>
          <w:bCs/>
        </w:rPr>
        <w:t xml:space="preserve">At least one</w:t>
      </w:r>
      <w:r>
        <w:t xml:space="preserve"> </w:t>
      </w:r>
      <w:r>
        <w:t xml:space="preserve">teaching method has a</w:t>
      </w:r>
      <w:r>
        <w:t xml:space="preserve"> </w:t>
      </w:r>
      <w:r>
        <w:rPr>
          <w:b/>
          <w:bCs/>
        </w:rPr>
        <w:t xml:space="preserve">different population mean exam score</w:t>
      </w:r>
      <w:r>
        <w:t xml:space="preserve">.</w:t>
      </w:r>
      <w:r>
        <w:t xml:space="preserve"> </w:t>
      </w:r>
      <w:r>
        <w:t xml:space="preserve">In symbols:</w:t>
      </w:r>
    </w:p>
    <w:p>
      <w:pPr>
        <w:pStyle w:val="BodyText"/>
      </w:pPr>
      <m:oMathPara>
        <m:oMathParaPr>
          <m:jc m:val="center"/>
        </m:oMathParaPr>
        <m:oMath>
          <m:sSub>
            <m:e>
              <m:r>
                <m:t>H</m:t>
              </m:r>
            </m:e>
            <m:sub>
              <m:r>
                <m:t>1</m:t>
              </m:r>
            </m:sub>
          </m:sSub>
          <m:r>
            <m:rPr>
              <m:sty m:val="p"/>
            </m:rPr>
            <m:t>:</m:t>
          </m:r>
          <m:r>
            <m:rPr>
              <m:nor/>
              <m:sty m:val="p"/>
            </m:rPr>
            <m:t>At least one </m:t>
          </m:r>
          <m:r>
            <m:t>μ</m:t>
          </m:r>
          <m:r>
            <m:rPr>
              <m:nor/>
              <m:sty m:val="p"/>
            </m:rPr>
            <m:t> is different</m:t>
          </m:r>
        </m:oMath>
      </m:oMathPara>
    </w:p>
    <w:bookmarkEnd w:id="22"/>
    <w:bookmarkEnd w:id="23"/>
    <w:bookmarkStart w:id="24" w:name="rubric"/>
    <w:p>
      <w:pPr>
        <w:pStyle w:val="Heading2"/>
      </w:pPr>
      <w:r>
        <w:rPr>
          <w:b/>
          <w:bCs/>
        </w:rPr>
        <w:t xml:space="preserve">Rubric</w:t>
      </w:r>
    </w:p>
    <w:tbl>
      <w:tblPr>
        <w:tblStyle w:val="Table"/>
        <w:tblW w:type="pct" w:w="5000"/>
        <w:tblLayout w:type="fixed"/>
        <w:tblLook w:firstRow="1" w:lastRow="0" w:firstColumn="0" w:lastColumn="0" w:noHBand="0" w:noVBand="0" w:val="0020"/>
      </w:tblPr>
      <w:tblGrid>
        <w:gridCol w:w="1966"/>
        <w:gridCol w:w="5407"/>
        <w:gridCol w:w="546"/>
      </w:tblGrid>
      <w:tr>
        <w:trPr>
          <w:tblHeader w:val="on"/>
        </w:trPr>
        <w:tc>
          <w:tcPr/>
          <w:p>
            <w:pPr>
              <w:pStyle w:val="Compact"/>
              <w:jc w:val="left"/>
            </w:pPr>
            <w:r>
              <w:rPr>
                <w:b/>
                <w:bCs/>
              </w:rPr>
              <w:t xml:space="preserve">Component</w:t>
            </w:r>
          </w:p>
        </w:tc>
        <w:tc>
          <w:tcPr/>
          <w:p>
            <w:pPr>
              <w:pStyle w:val="Compact"/>
              <w:jc w:val="left"/>
            </w:pPr>
            <w:r>
              <w:rPr>
                <w:b/>
                <w:bCs/>
              </w:rPr>
              <w:t xml:space="preserve">Criteria</w:t>
            </w:r>
          </w:p>
        </w:tc>
        <w:tc>
          <w:tcPr/>
          <w:p>
            <w:pPr>
              <w:pStyle w:val="Compact"/>
              <w:jc w:val="left"/>
            </w:pPr>
            <w:r>
              <w:rPr>
                <w:b/>
                <w:bCs/>
              </w:rPr>
              <w:t xml:space="preserve">Points</w:t>
            </w:r>
          </w:p>
        </w:tc>
      </w:tr>
      <w:tr>
        <w:tc>
          <w:tcPr/>
          <w:p>
            <w:pPr>
              <w:pStyle w:val="Compact"/>
              <w:jc w:val="left"/>
            </w:pPr>
            <w:r>
              <w:rPr>
                <w:b/>
                <w:bCs/>
              </w:rPr>
              <w:t xml:space="preserve">Correct Null Hypothesis</w:t>
            </w:r>
          </w:p>
        </w:tc>
        <w:tc>
          <w:tcPr/>
          <w:p>
            <w:pPr>
              <w:pStyle w:val="Compact"/>
              <w:jc w:val="left"/>
            </w:pPr>
            <w:r>
              <w:t xml:space="preserve">States that</w:t>
            </w:r>
            <w:r>
              <w:t xml:space="preserve"> </w:t>
            </w:r>
            <w:r>
              <w:rPr>
                <w:b/>
                <w:bCs/>
              </w:rPr>
              <w:t xml:space="preserve">all population means are equal</w:t>
            </w:r>
            <w:r>
              <w:t xml:space="preserve"> </w:t>
            </w:r>
            <w:r>
              <w:t xml:space="preserve">(either in words or symbols)</w:t>
            </w:r>
          </w:p>
        </w:tc>
        <w:tc>
          <w:tcPr/>
          <w:p>
            <w:pPr>
              <w:pStyle w:val="Compact"/>
              <w:jc w:val="left"/>
            </w:pPr>
            <w:r>
              <w:t xml:space="preserve">1.0</w:t>
            </w:r>
          </w:p>
        </w:tc>
      </w:tr>
      <w:tr>
        <w:tc>
          <w:tcPr/>
          <w:p>
            <w:pPr>
              <w:pStyle w:val="Compact"/>
              <w:jc w:val="left"/>
            </w:pPr>
            <w:r>
              <w:rPr>
                <w:b/>
                <w:bCs/>
              </w:rPr>
              <w:t xml:space="preserve">Correct Alternative Hypothesis</w:t>
            </w:r>
          </w:p>
        </w:tc>
        <w:tc>
          <w:tcPr/>
          <w:p>
            <w:pPr>
              <w:pStyle w:val="Compact"/>
              <w:jc w:val="left"/>
            </w:pPr>
            <w:r>
              <w:t xml:space="preserve">States that</w:t>
            </w:r>
            <w:r>
              <w:t xml:space="preserve"> </w:t>
            </w:r>
            <w:r>
              <w:rPr>
                <w:b/>
                <w:bCs/>
              </w:rPr>
              <w:t xml:space="preserve">at least one population mean is different</w:t>
            </w:r>
            <w:r>
              <w:t xml:space="preserve"> </w:t>
            </w:r>
            <w:r>
              <w:t xml:space="preserve">(not all equal)</w:t>
            </w:r>
          </w:p>
        </w:tc>
        <w:tc>
          <w:tcPr/>
          <w:p>
            <w:pPr>
              <w:pStyle w:val="Compact"/>
              <w:jc w:val="left"/>
            </w:pPr>
            <w:r>
              <w:t xml:space="preserve">1.0</w:t>
            </w:r>
          </w:p>
        </w:tc>
      </w:tr>
      <w:tr>
        <w:tc>
          <w:tcPr/>
          <w:p>
            <w:pPr>
              <w:pStyle w:val="Compact"/>
              <w:jc w:val="left"/>
            </w:pPr>
            <w:r>
              <w:rPr>
                <w:b/>
                <w:bCs/>
              </w:rPr>
              <w:t xml:space="preserve">Contextual Clarity or Symbol Use</w:t>
            </w:r>
          </w:p>
        </w:tc>
        <w:tc>
          <w:tcPr/>
          <w:p>
            <w:pPr>
              <w:pStyle w:val="Compact"/>
              <w:jc w:val="left"/>
            </w:pPr>
            <w:r>
              <w:t xml:space="preserve">Uses either</w:t>
            </w:r>
            <w:r>
              <w:t xml:space="preserve"> </w:t>
            </w:r>
            <w:r>
              <w:rPr>
                <w:b/>
                <w:bCs/>
              </w:rPr>
              <w:t xml:space="preserve">clear context (exam scores, methods)</w:t>
            </w:r>
            <w:r>
              <w:t xml:space="preserve"> </w:t>
            </w:r>
            <w:r>
              <w:t xml:space="preserve">or correct</w:t>
            </w:r>
            <w:r>
              <w:t xml:space="preserve"> </w:t>
            </w:r>
            <w:r>
              <w:rPr>
                <w:b/>
                <w:bCs/>
              </w:rPr>
              <w:t xml:space="preserve">symbols (</w:t>
            </w:r>
            <m:oMath>
              <m:sSub>
                <m:e>
                  <m:r>
                    <m:t>μ</m:t>
                  </m:r>
                </m:e>
                <m:sub>
                  <m:r>
                    <m:t>A</m:t>
                  </m:r>
                </m:sub>
              </m:sSub>
              <m:r>
                <m:rPr>
                  <m:sty m:val="p"/>
                </m:rPr>
                <m:t>,</m:t>
              </m:r>
              <m:sSub>
                <m:e>
                  <m:r>
                    <m:t>μ</m:t>
                  </m:r>
                </m:e>
                <m:sub>
                  <m:r>
                    <m:t>B</m:t>
                  </m:r>
                </m:sub>
              </m:sSub>
              <m:r>
                <m:rPr>
                  <m:sty m:val="p"/>
                </m:rPr>
                <m:t>,</m:t>
              </m:r>
              <m:sSub>
                <m:e>
                  <m:r>
                    <m:t>μ</m:t>
                  </m:r>
                </m:e>
                <m:sub>
                  <m:r>
                    <m:t>C</m:t>
                  </m:r>
                </m:sub>
              </m:sSub>
            </m:oMath>
            <w:r>
              <w:rPr>
                <w:b/>
                <w:bCs/>
              </w:rPr>
              <w:t xml:space="preserve">)</w:t>
            </w:r>
          </w:p>
        </w:tc>
        <w:tc>
          <w:tcPr/>
          <w:p>
            <w:pPr>
              <w:pStyle w:val="Compact"/>
              <w:jc w:val="left"/>
            </w:pPr>
            <w:r>
              <w:t xml:space="preserve">1.0</w:t>
            </w:r>
          </w:p>
        </w:tc>
      </w:tr>
    </w:tbl>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Friday Quiz 8 - Solutions - STAT 252</dc:title>
  <dc:creator/>
  <cp:keywords/>
  <dcterms:created xsi:type="dcterms:W3CDTF">2025-05-30T23:39:32Z</dcterms:created>
  <dcterms:modified xsi:type="dcterms:W3CDTF">2025-05-30T23:39:32Z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