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1D3243"/>
            <w:tcMar>
              <w:top w:w="320" w:type="dxa"/>
              <w:start w:w="220" w:type="dxa"/>
              <w:bottom w:w="320" w:type="dxa"/>
              <w:end w:w="220" w:type="dxa"/>
            </w:tcMar>
          </w:tcPr>
          <w:p>
            <w:pPr>
              <w:jc w:val="center"/>
            </w:pPr>
            <w:r>
              <w:rPr>
                <w:b/>
                <w:color w:val="FFB240"/>
                <w:sz w:val="64"/>
              </w:rPr>
              <w:t>StepCat</w:t>
            </w:r>
          </w:p>
          <w:p>
            <w:pPr>
              <w:jc w:val="center"/>
            </w:pPr>
            <w:r>
              <w:rPr>
                <w:b/>
                <w:color w:val="FFFFFF"/>
                <w:sz w:val="38"/>
              </w:rPr>
              <w:t>Payout Calculator - Quick Start Guide</w:t>
            </w:r>
          </w:p>
          <w:p>
            <w:pPr>
              <w:jc w:val="center"/>
            </w:pPr>
            <w:r>
              <w:t>StepCat Calculator v253.1 + Profitability Workbook v253.4</w:t>
            </w:r>
          </w:p>
          <w:p>
            <w:pPr>
              <w:jc w:val="center"/>
            </w:pPr>
            <w:r>
              <w:rPr>
                <w:color w:val="FFD791"/>
                <w:sz w:val="21"/>
              </w:rPr>
              <w:t>September 1, 2026 workbook v253.4 completion-cue and validation update</w:t>
            </w:r>
          </w:p>
        </w:tc>
      </w:tr>
    </w:tbl>
    <w:p/>
    <w:tbl>
      <w:tblPr>
        <w:tblW w:type="auto" w:w="0"/>
        <w:jc w:val="center"/>
        <w:tblLook w:firstColumn="1" w:firstRow="1" w:lastColumn="0" w:lastRow="0" w:noHBand="0" w:noVBand="1" w:val="04A0"/>
      </w:tblPr>
      <w:tblGrid>
        <w:gridCol w:w="10368"/>
      </w:tblGrid>
      <w:tr>
        <w:tc>
          <w:tcPr>
            <w:tcW w:type="dxa" w:w="10368"/>
            <w:shd w:fill="E2F0D9"/>
            <w:tcMar>
              <w:top w:w="80" w:type="dxa"/>
              <w:start w:w="100" w:type="dxa"/>
              <w:bottom w:w="80" w:type="dxa"/>
              <w:end w:w="100" w:type="dxa"/>
            </w:tcMar>
          </w:tcPr>
          <w:p>
            <w:pPr>
              <w:spacing w:after="0"/>
            </w:pPr>
            <w:r>
              <w:t>Release note: Workbook v253.4 is the current recommended workbook with StepCat Calculator v253.1. Profitability calculations and report layouts are unchanged; v253.4 adds normalized Payment / Record Type validation, burnt-orange / bronze completion cues for applicable missing A:L inputs, matching Record Review guidance, and continued backward compatibility with older Subscription-style membership records. N:Z retain the pale-blue calculated/protected background; result meaning is shown by text color: green for Profit, dark/black for Draw or zero, and red for Loss, including a paid disqualification.</w:t>
            </w:r>
          </w:p>
        </w:tc>
      </w:tr>
    </w:tbl>
    <w:p>
      <w:pPr>
        <w:jc w:val="center"/>
      </w:pPr>
      <w:r>
        <w:t>This guide uses the current StepCat v253.1 workflow and Workbook v253.4 public-blank workbook illustrations. Workbook images contain no personal records. The two What's New illustrations in the migration section are retained only as clearly labeled v253.3 layout examples; the v253.4 release text in this guide is current.</w:t>
      </w:r>
    </w:p>
    <w:p>
      <w:r>
        <w:br w:type="page"/>
      </w:r>
    </w:p>
    <w:p>
      <w:pPr>
        <w:pStyle w:val="Heading1"/>
        <w:keepNext/>
      </w:pPr>
      <w:r>
        <w:rPr>
          <w:color w:val="D06600"/>
        </w:rPr>
        <w:t>Contents</w:t>
      </w:r>
    </w:p>
    <w:p>
      <w:pPr>
        <w:pStyle w:val="ListBullet"/>
        <w:spacing w:after="20"/>
      </w:pPr>
      <w:r>
        <w:t>1. Four-step entry workflow</w:t>
      </w:r>
    </w:p>
    <w:p>
      <w:pPr>
        <w:pStyle w:val="ListBullet"/>
        <w:spacing w:after="20"/>
      </w:pPr>
      <w:r>
        <w:t>2. Game Details and Calculation Information</w:t>
      </w:r>
    </w:p>
    <w:p>
      <w:pPr>
        <w:pStyle w:val="ListBullet"/>
        <w:spacing w:after="20"/>
      </w:pPr>
      <w:r>
        <w:t>3. Review, Calculate &amp; Save</w:t>
      </w:r>
    </w:p>
    <w:p>
      <w:pPr>
        <w:pStyle w:val="ListBullet"/>
        <w:spacing w:after="20"/>
      </w:pPr>
      <w:r>
        <w:t>4. Settings</w:t>
      </w:r>
    </w:p>
    <w:p>
      <w:pPr>
        <w:pStyle w:val="ListBullet"/>
        <w:spacing w:after="20"/>
      </w:pPr>
      <w:r>
        <w:t>5. Help &amp; Resources</w:t>
      </w:r>
    </w:p>
    <w:p>
      <w:pPr>
        <w:pStyle w:val="ListBullet"/>
        <w:spacing w:after="20"/>
      </w:pPr>
      <w:r>
        <w:t>6. Using the workbook</w:t>
      </w:r>
    </w:p>
    <w:p>
      <w:pPr>
        <w:pStyle w:val="ListBullet"/>
        <w:spacing w:after="20"/>
      </w:pPr>
      <w:r>
        <w:t>7. Workbook update and migration</w:t>
      </w:r>
    </w:p>
    <w:p>
      <w:pPr>
        <w:pStyle w:val="ListBullet"/>
        <w:spacing w:after="20"/>
      </w:pPr>
      <w:r>
        <w:t>8. Move Existing Records dialog</w:t>
      </w:r>
    </w:p>
    <w:p>
      <w:pPr>
        <w:pStyle w:val="ListBullet"/>
        <w:spacing w:after="20"/>
      </w:pPr>
      <w:r>
        <w:t>9. Google Sheets workbook structure</w:t>
      </w:r>
    </w:p>
    <w:p>
      <w:pPr>
        <w:pStyle w:val="ListBullet"/>
        <w:spacing w:after="20"/>
      </w:pPr>
      <w:r>
        <w:t>10. Record Review, Summary and Best Results</w:t>
      </w:r>
    </w:p>
    <w:p>
      <w:pPr>
        <w:pStyle w:val="ListBullet"/>
        <w:spacing w:after="20"/>
      </w:pPr>
      <w:r>
        <w:t>11. Installation, feedback, and troubleshooting</w:t>
      </w:r>
    </w:p>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Fastest workflow: </w:t>
            </w:r>
            <w:r>
              <w:t>Choose Entry Mode (Step 1), confirm Membership Type (Step 2), complete Game Entry (Step 3), open Review Entry (Step 4), then choose Calculate &amp; Save.</w:t>
            </w:r>
          </w:p>
        </w:tc>
      </w:tr>
    </w:tbl>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rPr>
                <w:b/>
              </w:rPr>
              <w:t xml:space="preserve">Record-copy rule: </w:t>
            </w:r>
            <w:r>
              <w:t>When moving existing records, copy only A5:M through the last actual record row. Do not copy unused yellow rows down to the red boundary, and never copy N:Z.</w:t>
            </w:r>
          </w:p>
        </w:tc>
      </w:tr>
    </w:tbl>
    <w:p>
      <w:r>
        <w:br w:type="page"/>
      </w:r>
    </w:p>
    <w:p>
      <w:pPr>
        <w:pStyle w:val="Heading1"/>
        <w:keepNext/>
      </w:pPr>
      <w:r>
        <w:rPr>
          <w:color w:val="D06600"/>
        </w:rPr>
        <w:t>1. Four-step entry workflow</w:t>
      </w:r>
    </w:p>
    <w:p>
      <w:r>
        <w:t>Choose Estimate for a projection or Finalized for a completed result. Membership Type is Step 2 and becomes available after Step 1 is confirmed. Gold indicates the current action; completed steps move to the completed state.</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743200" cy="2599577"/>
                  <wp:docPr id="1" name="Picture 1"/>
                  <wp:cNvGraphicFramePr>
                    <a:graphicFrameLocks noChangeAspect="1"/>
                  </wp:cNvGraphicFramePr>
                  <a:graphic>
                    <a:graphicData uri="http://schemas.openxmlformats.org/drawingml/2006/picture">
                      <pic:pic>
                        <pic:nvPicPr>
                          <pic:cNvPr id="0" name="01-game-record-information.jpg"/>
                          <pic:cNvPicPr/>
                        </pic:nvPicPr>
                        <pic:blipFill>
                          <a:blip r:embed="rId9"/>
                          <a:stretch>
                            <a:fillRect/>
                          </a:stretch>
                        </pic:blipFill>
                        <pic:spPr>
                          <a:xfrm>
                            <a:off x="0" y="0"/>
                            <a:ext cx="2743200" cy="2599577"/>
                          </a:xfrm>
                          <a:prstGeom prst="rect"/>
                        </pic:spPr>
                      </pic:pic>
                    </a:graphicData>
                  </a:graphic>
                </wp:inline>
              </w:drawing>
            </w:r>
          </w:p>
          <w:p>
            <w:pPr>
              <w:spacing w:before="0" w:after="20"/>
              <w:jc w:val="center"/>
            </w:pPr>
            <w:r>
              <w:rPr>
                <w:i/>
                <w:color w:val="555555"/>
                <w:sz w:val="15"/>
              </w:rPr>
              <w:t>Entry Mode - Step 1, before a selection.</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743200" cy="2908366"/>
                  <wp:docPr id="2" name="Picture 2"/>
                  <wp:cNvGraphicFramePr>
                    <a:graphicFrameLocks noChangeAspect="1"/>
                  </wp:cNvGraphicFramePr>
                  <a:graphic>
                    <a:graphicData uri="http://schemas.openxmlformats.org/drawingml/2006/picture">
                      <pic:pic>
                        <pic:nvPicPr>
                          <pic:cNvPr id="0" name="02-membership-confirmation.jpg"/>
                          <pic:cNvPicPr/>
                        </pic:nvPicPr>
                        <pic:blipFill>
                          <a:blip r:embed="rId10"/>
                          <a:stretch>
                            <a:fillRect/>
                          </a:stretch>
                        </pic:blipFill>
                        <pic:spPr>
                          <a:xfrm>
                            <a:off x="0" y="0"/>
                            <a:ext cx="2743200" cy="2908366"/>
                          </a:xfrm>
                          <a:prstGeom prst="rect"/>
                        </pic:spPr>
                      </pic:pic>
                    </a:graphicData>
                  </a:graphic>
                </wp:inline>
              </w:drawing>
            </w:r>
          </w:p>
          <w:p>
            <w:pPr>
              <w:spacing w:before="0" w:after="20"/>
              <w:jc w:val="center"/>
            </w:pPr>
            <w:r>
              <w:rPr>
                <w:i/>
                <w:color w:val="555555"/>
                <w:sz w:val="15"/>
              </w:rPr>
              <w:t>Membership Type - Step 2 after Estimate is selected.</w:t>
            </w:r>
          </w:p>
        </w:tc>
      </w:tr>
    </w:tbl>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rPr>
                <w:b/>
              </w:rPr>
              <w:t xml:space="preserve">Current Settings labels: </w:t>
            </w:r>
            <w:r>
              <w:t>Remember Estimate / Finalized Mode, Remember Game Entry Layout, Remember Membership Choice, and Remember Payment / Record Type.</w:t>
            </w:r>
          </w:p>
        </w:tc>
      </w:tr>
    </w:tbl>
    <w:p>
      <w:r>
        <w:br w:type="page"/>
      </w:r>
    </w:p>
    <w:p>
      <w:pPr>
        <w:pStyle w:val="Heading1"/>
        <w:keepNext/>
      </w:pPr>
      <w:r>
        <w:rPr>
          <w:color w:val="D06600"/>
        </w:rPr>
        <w:t>2. Game Details and Calculation Information</w:t>
      </w:r>
    </w:p>
    <w:p>
      <w:r>
        <w:t>Step 3 uses focused subsections in Guided Sections mode. Use Continue to move to the next subsection and Back to return to the previous one. Your entered values remain in place as you move between sections. Show All Fields displays the complete Step 3 form. Amount fields accept no more than two digits after the decimal. The example below is an Estimate for Step Marathon.</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59" cy="6319140"/>
                  <wp:docPr id="3" name="Picture 3"/>
                  <wp:cNvGraphicFramePr>
                    <a:graphicFrameLocks noChangeAspect="1"/>
                  </wp:cNvGraphicFramePr>
                  <a:graphic>
                    <a:graphicData uri="http://schemas.openxmlformats.org/drawingml/2006/picture">
                      <pic:pic>
                        <pic:nvPicPr>
                          <pic:cNvPr id="0" name="03-filled-record-details.jpg"/>
                          <pic:cNvPicPr/>
                        </pic:nvPicPr>
                        <pic:blipFill>
                          <a:blip r:embed="rId11"/>
                          <a:stretch>
                            <a:fillRect/>
                          </a:stretch>
                        </pic:blipFill>
                        <pic:spPr>
                          <a:xfrm>
                            <a:off x="0" y="0"/>
                            <a:ext cx="2423159" cy="6319140"/>
                          </a:xfrm>
                          <a:prstGeom prst="rect"/>
                        </pic:spPr>
                      </pic:pic>
                    </a:graphicData>
                  </a:graphic>
                </wp:inline>
              </w:drawing>
            </w:r>
          </w:p>
          <w:p>
            <w:pPr>
              <w:spacing w:before="0" w:after="20"/>
              <w:jc w:val="center"/>
            </w:pPr>
            <w:r>
              <w:t>Game Details for the $100 Step Battle example. Continue moves forward without clearing entered values.</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4478909"/>
                  <wp:docPr id="4" name="Picture 4"/>
                  <wp:cNvGraphicFramePr>
                    <a:graphicFrameLocks noChangeAspect="1"/>
                  </wp:cNvGraphicFramePr>
                  <a:graphic>
                    <a:graphicData uri="http://schemas.openxmlformats.org/drawingml/2006/picture">
                      <pic:pic>
                        <pic:nvPicPr>
                          <pic:cNvPr id="0" name="04-calculation-information.jpg"/>
                          <pic:cNvPicPr/>
                        </pic:nvPicPr>
                        <pic:blipFill>
                          <a:blip r:embed="rId12"/>
                          <a:stretch>
                            <a:fillRect/>
                          </a:stretch>
                        </pic:blipFill>
                        <pic:spPr>
                          <a:xfrm>
                            <a:off x="0" y="0"/>
                            <a:ext cx="2423160" cy="4478909"/>
                          </a:xfrm>
                          <a:prstGeom prst="rect"/>
                        </pic:spPr>
                      </pic:pic>
                    </a:graphicData>
                  </a:graphic>
                </wp:inline>
              </w:drawing>
            </w:r>
          </w:p>
          <w:p>
            <w:pPr>
              <w:spacing w:before="0" w:after="20"/>
              <w:jc w:val="center"/>
            </w:pPr>
            <w:r>
              <w:t>Calculation Information for the same finalized example: 50,700 pot, $100 fee, 460 eligible players, and 507 total players.</w:t>
            </w:r>
          </w:p>
        </w:tc>
      </w:tr>
    </w:tbl>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Estimate rule: </w:t>
            </w:r>
            <w:r>
              <w:t>An Estimate does not require Final Earned / Chips. Finalized entries require the completed result unless Disqualified / Lost Entry Fee is selected.</w:t>
            </w:r>
          </w:p>
        </w:tc>
      </w:tr>
    </w:tbl>
    <w:p>
      <w:r>
        <w:br w:type="page"/>
      </w:r>
    </w:p>
    <w:p>
      <w:pPr>
        <w:pStyle w:val="Heading1"/>
        <w:keepNext/>
      </w:pPr>
      <w:r>
        <w:rPr>
          <w:color w:val="D06600"/>
        </w:rPr>
        <w:t>3. Review, Calculate &amp; Save</w:t>
      </w:r>
    </w:p>
    <w:p>
      <w:r>
        <w:t>When required Step 3 values are ready, choose Review Entry. In Guided Sections, Step 3 collapses and dims as a completed group so Step 4 Review becomes the visual focus. Step 4 shows the complete record before anything is saved. Use Edit beside any review group to return to the exact section that needs a correction, or Continue Editing to reopen the current Step 3 subsection.</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2145458" cy="6411332"/>
                  <wp:docPr id="5" name="Picture 5"/>
                  <wp:cNvGraphicFramePr>
                    <a:graphicFrameLocks noChangeAspect="1"/>
                  </wp:cNvGraphicFramePr>
                  <a:graphic>
                    <a:graphicData uri="http://schemas.openxmlformats.org/drawingml/2006/picture">
                      <pic:pic>
                        <pic:nvPicPr>
                          <pic:cNvPr id="0" name="08-calculate-and-save.jpg"/>
                          <pic:cNvPicPr/>
                        </pic:nvPicPr>
                        <pic:blipFill>
                          <a:blip r:embed="rId13"/>
                          <a:stretch>
                            <a:fillRect/>
                          </a:stretch>
                        </pic:blipFill>
                        <pic:spPr>
                          <a:xfrm>
                            <a:off x="0" y="0"/>
                            <a:ext cx="2145458" cy="6411332"/>
                          </a:xfrm>
                          <a:prstGeom prst="rect"/>
                        </pic:spPr>
                      </pic:pic>
                    </a:graphicData>
                  </a:graphic>
                </wp:inline>
              </w:drawing>
            </w:r>
          </w:p>
          <w:p>
            <w:pPr>
              <w:spacing w:before="0" w:after="20"/>
              <w:jc w:val="center"/>
            </w:pPr>
            <w:r>
              <w:rPr>
                <w:i/>
                <w:color w:val="555555"/>
                <w:sz w:val="15"/>
              </w:rPr>
              <w:t>Step 4 Review shows all completed values together before Calculate &amp; Save creates the Saved History record.</w:t>
            </w:r>
          </w:p>
        </w:tc>
      </w:tr>
    </w:tbl>
    <w:p>
      <w:r>
        <w:rPr>
          <w:b/>
        </w:rPr>
        <w:t xml:space="preserve">After a successful save: </w:t>
      </w:r>
      <w:r>
        <w:t>the completed fields remain visible for review during the current session, while that completed record is removed from unfinished-draft recovery. Use Start New Entry when you are ready to reset the form.</w:t>
      </w:r>
    </w:p>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t>Before you save: Opening Review Entry does not save anything. A Saved History record is created only after you choose Calculate &amp; Save.</w:t>
            </w:r>
          </w:p>
        </w:tc>
      </w:tr>
    </w:tbl>
    <w:p>
      <w:r>
        <w:br w:type="page"/>
      </w:r>
    </w:p>
    <w:p>
      <w:pPr>
        <w:pStyle w:val="Heading1"/>
        <w:keepNext/>
      </w:pPr>
      <w:r>
        <w:rPr>
          <w:color w:val="D06600"/>
        </w:rPr>
        <w:t>4. Settings</w:t>
      </w:r>
    </w:p>
    <w:p>
      <w:r>
        <w:t>Ordinary setting changes save automatically. Restore Defaults is the bulk reset action. These are the current v253.1 Settings groups and labels.</w:t>
      </w:r>
    </w:p>
    <w:tbl>
      <w:tblPr>
        <w:tblW w:type="auto" w:w="0"/>
        <w:jc w:val="center"/>
        <w:tblLayout w:type="fixed"/>
        <w:tblLook w:firstColumn="1" w:firstRow="1" w:lastColumn="0" w:lastRow="0" w:noHBand="0" w:noVBand="1" w:val="04A0"/>
      </w:tblPr>
      <w:tblGrid>
        <w:gridCol w:w="3456"/>
        <w:gridCol w:w="3456"/>
        <w:gridCol w:w="3456"/>
      </w:tblGrid>
      <w:tr>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2890467"/>
                  <wp:docPr id="6" name="Picture 6"/>
                  <wp:cNvGraphicFramePr>
                    <a:graphicFrameLocks noChangeAspect="1"/>
                  </wp:cNvGraphicFramePr>
                  <a:graphic>
                    <a:graphicData uri="http://schemas.openxmlformats.org/drawingml/2006/picture">
                      <pic:pic>
                        <pic:nvPicPr>
                          <pic:cNvPr id="0" name="24-settings-page-sections.jpg"/>
                          <pic:cNvPicPr/>
                        </pic:nvPicPr>
                        <pic:blipFill>
                          <a:blip r:embed="rId14"/>
                          <a:stretch>
                            <a:fillRect/>
                          </a:stretch>
                        </pic:blipFill>
                        <pic:spPr>
                          <a:xfrm>
                            <a:off x="0" y="0"/>
                            <a:ext cx="1536192" cy="2890467"/>
                          </a:xfrm>
                          <a:prstGeom prst="rect"/>
                        </pic:spPr>
                      </pic:pic>
                    </a:graphicData>
                  </a:graphic>
                </wp:inline>
              </w:drawing>
            </w:r>
          </w:p>
          <w:p>
            <w:pPr>
              <w:spacing w:before="0" w:after="20"/>
              <w:jc w:val="center"/>
            </w:pPr>
            <w:r>
              <w:rPr>
                <w:i/>
                <w:color w:val="555555"/>
                <w:sz w:val="15"/>
              </w:rPr>
              <w:t>Page Sections &amp; Starting State.</w:t>
            </w:r>
          </w:p>
        </w:tc>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2558972"/>
                  <wp:docPr id="7" name="Picture 7"/>
                  <wp:cNvGraphicFramePr>
                    <a:graphicFrameLocks noChangeAspect="1"/>
                  </wp:cNvGraphicFramePr>
                  <a:graphic>
                    <a:graphicData uri="http://schemas.openxmlformats.org/drawingml/2006/picture">
                      <pic:pic>
                        <pic:nvPicPr>
                          <pic:cNvPr id="0" name="24-settings-panel.jpg"/>
                          <pic:cNvPicPr/>
                        </pic:nvPicPr>
                        <pic:blipFill>
                          <a:blip r:embed="rId15"/>
                          <a:stretch>
                            <a:fillRect/>
                          </a:stretch>
                        </pic:blipFill>
                        <pic:spPr>
                          <a:xfrm>
                            <a:off x="0" y="0"/>
                            <a:ext cx="1536192" cy="2558972"/>
                          </a:xfrm>
                          <a:prstGeom prst="rect"/>
                        </pic:spPr>
                      </pic:pic>
                    </a:graphicData>
                  </a:graphic>
                </wp:inline>
              </w:drawing>
            </w:r>
          </w:p>
          <w:p>
            <w:pPr>
              <w:spacing w:before="0" w:after="20"/>
              <w:jc w:val="center"/>
            </w:pPr>
            <w:r>
              <w:rPr>
                <w:i/>
                <w:color w:val="555555"/>
                <w:sz w:val="15"/>
              </w:rPr>
              <w:t>Entry Preferences and Entry Safeguards.</w:t>
            </w:r>
          </w:p>
        </w:tc>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3411689"/>
                  <wp:docPr id="8" name="Picture 8"/>
                  <wp:cNvGraphicFramePr>
                    <a:graphicFrameLocks noChangeAspect="1"/>
                  </wp:cNvGraphicFramePr>
                  <a:graphic>
                    <a:graphicData uri="http://schemas.openxmlformats.org/drawingml/2006/picture">
                      <pic:pic>
                        <pic:nvPicPr>
                          <pic:cNvPr id="0" name="24-settings-lower.jpg"/>
                          <pic:cNvPicPr/>
                        </pic:nvPicPr>
                        <pic:blipFill>
                          <a:blip r:embed="rId16"/>
                          <a:stretch>
                            <a:fillRect/>
                          </a:stretch>
                        </pic:blipFill>
                        <pic:spPr>
                          <a:xfrm>
                            <a:off x="0" y="0"/>
                            <a:ext cx="1536192" cy="3411689"/>
                          </a:xfrm>
                          <a:prstGeom prst="rect"/>
                        </pic:spPr>
                      </pic:pic>
                    </a:graphicData>
                  </a:graphic>
                </wp:inline>
              </w:drawing>
            </w:r>
          </w:p>
          <w:p>
            <w:pPr>
              <w:spacing w:before="0" w:after="20"/>
              <w:jc w:val="center"/>
            </w:pPr>
            <w:r>
              <w:rPr>
                <w:i/>
                <w:color w:val="555555"/>
                <w:sz w:val="15"/>
              </w:rPr>
              <w:t>Help &amp; Guides, Haptic Feedback, and Restore Defaults.</w:t>
            </w:r>
          </w:p>
        </w:tc>
      </w:tr>
    </w:tbl>
    <w:p>
      <w:r>
        <w:br w:type="page"/>
      </w:r>
    </w:p>
    <w:p>
      <w:pPr>
        <w:pStyle w:val="Heading1"/>
        <w:keepNext/>
      </w:pPr>
      <w:r>
        <w:rPr>
          <w:color w:val="D06600"/>
        </w:rPr>
        <w:t>5. Help &amp; Resources</w:t>
      </w:r>
    </w:p>
    <w:p>
      <w:r>
        <w:t>Quick Explanations use the current topic name Using the Workbook. Guides &amp; Workbook contains the current HTML guides, the Workbook v253.4 Google Sheets link, migration dialog, PDF, and editable DOCX.</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514600" cy="3613212"/>
                  <wp:docPr id="9" name="Picture 9"/>
                  <wp:cNvGraphicFramePr>
                    <a:graphicFrameLocks noChangeAspect="1"/>
                  </wp:cNvGraphicFramePr>
                  <a:graphic>
                    <a:graphicData uri="http://schemas.openxmlformats.org/drawingml/2006/picture">
                      <pic:pic>
                        <pic:nvPicPr>
                          <pic:cNvPr id="0" name="25-help-main.jpg"/>
                          <pic:cNvPicPr/>
                        </pic:nvPicPr>
                        <pic:blipFill>
                          <a:blip r:embed="rId17"/>
                          <a:stretch>
                            <a:fillRect/>
                          </a:stretch>
                        </pic:blipFill>
                        <pic:spPr>
                          <a:xfrm>
                            <a:off x="0" y="0"/>
                            <a:ext cx="2514600" cy="3613212"/>
                          </a:xfrm>
                          <a:prstGeom prst="rect"/>
                        </pic:spPr>
                      </pic:pic>
                    </a:graphicData>
                  </a:graphic>
                </wp:inline>
              </w:drawing>
            </w:r>
          </w:p>
          <w:p>
            <w:pPr>
              <w:spacing w:before="0" w:after="20"/>
              <w:jc w:val="center"/>
            </w:pPr>
            <w:r>
              <w:rPr>
                <w:i/>
                <w:color w:val="555555"/>
                <w:sz w:val="15"/>
              </w:rPr>
              <w:t>Quick Explanations overview.</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1995860" cy="3950569"/>
                  <wp:docPr id="10" name="Picture 10"/>
                  <wp:cNvGraphicFramePr>
                    <a:graphicFrameLocks noChangeAspect="1"/>
                  </wp:cNvGraphicFramePr>
                  <a:graphic>
                    <a:graphicData uri="http://schemas.openxmlformats.org/drawingml/2006/picture">
                      <pic:pic>
                        <pic:nvPicPr>
                          <pic:cNvPr id="0" name="26-help-guides-downloads.jpg"/>
                          <pic:cNvPicPr/>
                        </pic:nvPicPr>
                        <pic:blipFill>
                          <a:blip r:embed="rId18"/>
                          <a:stretch>
                            <a:fillRect/>
                          </a:stretch>
                        </pic:blipFill>
                        <pic:spPr>
                          <a:xfrm>
                            <a:off x="0" y="0"/>
                            <a:ext cx="1995860" cy="3950569"/>
                          </a:xfrm>
                          <a:prstGeom prst="rect"/>
                        </pic:spPr>
                      </pic:pic>
                    </a:graphicData>
                  </a:graphic>
                </wp:inline>
              </w:drawing>
            </w:r>
          </w:p>
          <w:p>
            <w:pPr>
              <w:spacing w:before="0" w:after="20"/>
              <w:jc w:val="center"/>
            </w:pPr>
            <w:r>
              <w:t>Guides &amp; Workbook with the current Workbook v253.4 link, migration help, PDF, and editable DOCX.</w:t>
            </w:r>
          </w:p>
        </w:tc>
      </w:tr>
    </w:tbl>
    <w:p>
      <w:r>
        <w:br w:type="page"/>
      </w:r>
    </w:p>
    <w:p>
      <w:pPr>
        <w:pStyle w:val="Heading1"/>
        <w:keepNext/>
      </w:pPr>
      <w:r>
        <w:rPr>
          <w:color w:val="D06600"/>
        </w:rPr>
        <w:t>6. Using the workbook</w:t>
      </w:r>
    </w:p>
    <w:p>
      <w:r>
        <w:t>The Google Sheet is the permanent cross-device record. Enter or paste A:M only. Leave N:Z untouched so protected formulas calculate results and reports automatically.</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4538111"/>
                  <wp:docPr id="11" name="Picture 11"/>
                  <wp:cNvGraphicFramePr>
                    <a:graphicFrameLocks noChangeAspect="1"/>
                  </wp:cNvGraphicFramePr>
                  <a:graphic>
                    <a:graphicData uri="http://schemas.openxmlformats.org/drawingml/2006/picture">
                      <pic:pic>
                        <pic:nvPicPr>
                          <pic:cNvPr id="0" name="25-using-workbook-1.jpg"/>
                          <pic:cNvPicPr/>
                        </pic:nvPicPr>
                        <pic:blipFill>
                          <a:blip r:embed="rId19"/>
                          <a:stretch>
                            <a:fillRect/>
                          </a:stretch>
                        </pic:blipFill>
                        <pic:spPr>
                          <a:xfrm>
                            <a:off x="0" y="0"/>
                            <a:ext cx="2423160" cy="4538111"/>
                          </a:xfrm>
                          <a:prstGeom prst="rect"/>
                        </pic:spPr>
                      </pic:pic>
                    </a:graphicData>
                  </a:graphic>
                </wp:inline>
              </w:drawing>
            </w:r>
          </w:p>
          <w:p>
            <w:pPr>
              <w:spacing w:before="0" w:after="20"/>
              <w:jc w:val="center"/>
            </w:pPr>
            <w:r>
              <w:rPr>
                <w:i/>
                <w:color w:val="555555"/>
                <w:sz w:val="15"/>
              </w:rPr>
              <w:t>Direct workbook use, devices, and mobile row insertion.</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1293392" cy="3547591"/>
                  <wp:docPr id="12" name="Picture 12"/>
                  <wp:cNvGraphicFramePr>
                    <a:graphicFrameLocks noChangeAspect="1"/>
                  </wp:cNvGraphicFramePr>
                  <a:graphic>
                    <a:graphicData uri="http://schemas.openxmlformats.org/drawingml/2006/picture">
                      <pic:pic>
                        <pic:nvPicPr>
                          <pic:cNvPr id="0" name="25-using-workbook-2.jpg"/>
                          <pic:cNvPicPr/>
                        </pic:nvPicPr>
                        <pic:blipFill>
                          <a:blip r:embed="rId20"/>
                          <a:stretch>
                            <a:fillRect/>
                          </a:stretch>
                        </pic:blipFill>
                        <pic:spPr>
                          <a:xfrm>
                            <a:off x="0" y="0"/>
                            <a:ext cx="1293392" cy="3547591"/>
                          </a:xfrm>
                          <a:prstGeom prst="rect"/>
                        </pic:spPr>
                      </pic:pic>
                    </a:graphicData>
                  </a:graphic>
                </wp:inline>
              </w:drawing>
            </w:r>
          </w:p>
          <w:p>
            <w:pPr>
              <w:spacing w:before="0" w:after="20"/>
              <w:jc w:val="center"/>
            </w:pPr>
            <w:r>
              <w:t>Current Move Existing Records guidance for transferring A5:M safely into Workbook v253.4.</w:t>
            </w:r>
          </w:p>
        </w:tc>
      </w:tr>
    </w:tbl>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Mobile insertion: </w:t>
            </w:r>
            <w:r>
              <w:t>Insert a whole worksheet row above the desired position, enter or paste A:M, then remove the same number of unused blank rows immediately above the red boundary so it returns to row 505. Never delete the red boundary itself.</w:t>
            </w:r>
          </w:p>
        </w:tc>
      </w:tr>
    </w:tbl>
    <w:p>
      <w:r>
        <w:br w:type="page"/>
      </w:r>
    </w:p>
    <w:p>
      <w:pPr>
        <w:pStyle w:val="Heading1"/>
        <w:keepNext/>
      </w:pPr>
      <w:r>
        <w:rPr>
          <w:color w:val="D06600"/>
        </w:rPr>
        <w:t>7. Workbook update and migration</w:t>
      </w:r>
    </w:p>
    <w:p>
      <w:r>
        <w:t>Workbook v253.4 is recommended. Profitability calculations and report layouts remain unchanged. v253.4 normalizes Payment / Record Type validation, adds burnt-orange / bronze completion cues for applicable missing A:L inputs after a record is started, and aligns Record Review with the same applicable field checks. N:Z keep their pale-blue calculated/protected background; result meaning is shown by number/text color: green for Profit, dark/black for Draw or zero, and red for Loss, including a paid disqualification. Membership Fee and Free Game / Chips exceptions remain intact, and older Subscription-style membership records remain backward-compatible.</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1900596" cy="1689007"/>
                  <wp:docPr id="13" name="Picture 13"/>
                  <wp:cNvGraphicFramePr>
                    <a:graphicFrameLocks noChangeAspect="1"/>
                  </wp:cNvGraphicFramePr>
                  <a:graphic>
                    <a:graphicData uri="http://schemas.openxmlformats.org/drawingml/2006/picture">
                      <pic:pic>
                        <pic:nvPicPr>
                          <pic:cNvPr id="0" name="whats-new-v2531-collapsed.jpg"/>
                          <pic:cNvPicPr/>
                        </pic:nvPicPr>
                        <pic:blipFill>
                          <a:blip r:embed="rId21"/>
                          <a:stretch>
                            <a:fillRect/>
                          </a:stretch>
                        </pic:blipFill>
                        <pic:spPr>
                          <a:xfrm>
                            <a:off x="0" y="0"/>
                            <a:ext cx="1900596" cy="1689007"/>
                          </a:xfrm>
                          <a:prstGeom prst="rect"/>
                        </pic:spPr>
                      </pic:pic>
                    </a:graphicData>
                  </a:graphic>
                </wp:inline>
              </w:drawing>
            </w:r>
          </w:p>
          <w:p>
            <w:pPr>
              <w:spacing w:before="0" w:after="20"/>
              <w:jc w:val="center"/>
            </w:pPr>
            <w:r>
              <w:t>Previous v253.3 What's New card layout example. The current v253.4 update text is reproduced in this guide rather than altering the historical screenshot.</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240280" cy="5622663"/>
                  <wp:docPr id="14" name="Picture 14"/>
                  <wp:cNvGraphicFramePr>
                    <a:graphicFrameLocks noChangeAspect="1"/>
                  </wp:cNvGraphicFramePr>
                  <a:graphic>
                    <a:graphicData uri="http://schemas.openxmlformats.org/drawingml/2006/picture">
                      <pic:pic>
                        <pic:nvPicPr>
                          <pic:cNvPr id="0" name="whats-new-v2531-expanded.jpg"/>
                          <pic:cNvPicPr/>
                        </pic:nvPicPr>
                        <pic:blipFill>
                          <a:blip r:embed="rId22"/>
                          <a:stretch>
                            <a:fillRect/>
                          </a:stretch>
                        </pic:blipFill>
                        <pic:spPr>
                          <a:xfrm>
                            <a:off x="0" y="0"/>
                            <a:ext cx="2240280" cy="5622663"/>
                          </a:xfrm>
                          <a:prstGeom prst="rect"/>
                        </pic:spPr>
                      </pic:pic>
                    </a:graphicData>
                  </a:graphic>
                </wp:inline>
              </w:drawing>
            </w:r>
          </w:p>
          <w:p>
            <w:pPr>
              <w:spacing w:before="0" w:after="20"/>
              <w:jc w:val="center"/>
            </w:pPr>
            <w:r>
              <w:t>Previous v253.3 expanded What's New layout example. Workbook v253.4 now describes completion cues, normalized validation, Record Review alignment, and unchanged profitability reporting.</w:t>
            </w:r>
          </w:p>
        </w:tc>
      </w:tr>
    </w:tbl>
    <w:p>
      <w:pPr>
        <w:pStyle w:val="ListBullet"/>
        <w:spacing w:after="20"/>
      </w:pPr>
      <w:r>
        <w:t>Copy A5:M through the last actual record row (for example A5:M198 if row 198 is the last record).</w:t>
      </w:r>
    </w:p>
    <w:p>
      <w:pPr>
        <w:pStyle w:val="ListBullet"/>
        <w:spacing w:after="20"/>
      </w:pPr>
      <w:r>
        <w:t>Do not select unused yellow rows down to the red boundary. Include blank rows that occur between existing records.</w:t>
      </w:r>
    </w:p>
    <w:p>
      <w:pPr>
        <w:pStyle w:val="ListBullet"/>
        <w:spacing w:after="20"/>
      </w:pPr>
      <w:r>
        <w:t>Computer: Paste special -&gt; Values only. Mobile: regular Paste is acceptable when only A:M are selected.</w:t>
      </w:r>
    </w:p>
    <w:p>
      <w:pPr>
        <w:pStyle w:val="ListBullet"/>
        <w:spacing w:after="20"/>
      </w:pPr>
      <w:r>
        <w:t>Do not copy N:Z, headers, entire rows, entire sheets, reports, charts, or the red boundary.</w:t>
      </w:r>
    </w:p>
    <w:p>
      <w:pPr>
        <w:pStyle w:val="ListBullet"/>
        <w:spacing w:after="20"/>
      </w:pPr>
      <w:r>
        <w:t>No Carryover is needed merely to update. Carryover is for a fresh workbook after all 500 active record positions are actually filled.</w:t>
      </w:r>
    </w:p>
    <w:p>
      <w:r>
        <w:br w:type="page"/>
      </w:r>
    </w:p>
    <w:p>
      <w:pPr>
        <w:pStyle w:val="Heading1"/>
        <w:keepNext/>
      </w:pPr>
      <w:r>
        <w:rPr>
          <w:color w:val="D06600"/>
        </w:rPr>
        <w:t>8. Move Existing Records dialog</w:t>
      </w:r>
    </w:p>
    <w:p>
      <w:r>
        <w:t>The corrected mobile dialog opens at its true top, scrolls to its true bottom, keeps an accessible close control, and browser/Android Back closes the dialog before leaving StepCat.</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2466265" cy="6764614"/>
                  <wp:docPr id="15" name="Picture 15"/>
                  <wp:cNvGraphicFramePr>
                    <a:graphicFrameLocks noChangeAspect="1"/>
                  </wp:cNvGraphicFramePr>
                  <a:graphic>
                    <a:graphicData uri="http://schemas.openxmlformats.org/drawingml/2006/picture">
                      <pic:pic>
                        <pic:nvPicPr>
                          <pic:cNvPr id="0" name="35-move-existing-records.jpg"/>
                          <pic:cNvPicPr/>
                        </pic:nvPicPr>
                        <pic:blipFill>
                          <a:blip r:embed="rId23"/>
                          <a:stretch>
                            <a:fillRect/>
                          </a:stretch>
                        </pic:blipFill>
                        <pic:spPr>
                          <a:xfrm>
                            <a:off x="0" y="0"/>
                            <a:ext cx="2466265" cy="6764614"/>
                          </a:xfrm>
                          <a:prstGeom prst="rect"/>
                        </pic:spPr>
                      </pic:pic>
                    </a:graphicData>
                  </a:graphic>
                </wp:inline>
              </w:drawing>
            </w:r>
          </w:p>
          <w:p>
            <w:pPr>
              <w:spacing w:before="0" w:after="20"/>
              <w:jc w:val="center"/>
            </w:pPr>
            <w:r>
              <w:t>Current Move Existing Records dialog with A5:M transfer guidance and the N-Z warning.</w:t>
            </w:r>
          </w:p>
        </w:tc>
      </w:tr>
    </w:tbl>
    <w:p>
      <w:r>
        <w:br w:type="page"/>
      </w:r>
    </w:p>
    <w:p>
      <w:pPr>
        <w:pStyle w:val="Heading1"/>
        <w:keepNext/>
      </w:pPr>
      <w:r>
        <w:rPr>
          <w:color w:val="D06600"/>
        </w:rPr>
        <w:t>9. Google Sheets workbook - Instructions</w:t>
      </w:r>
    </w:p>
    <w:p>
      <w:r>
        <w:t>Workbook screenshots use the current public blank Workbook v253.4 export and contain no personal records.</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4114800" cy="7053942"/>
                  <wp:docPr id="16" name="Picture 16"/>
                  <wp:cNvGraphicFramePr>
                    <a:graphicFrameLocks noChangeAspect="1"/>
                  </wp:cNvGraphicFramePr>
                  <a:graphic>
                    <a:graphicData uri="http://schemas.openxmlformats.org/drawingml/2006/picture">
                      <pic:pic>
                        <pic:nvPicPr>
                          <pic:cNvPr id="0" name="13-workbook-instructions.jpg"/>
                          <pic:cNvPicPr/>
                        </pic:nvPicPr>
                        <pic:blipFill>
                          <a:blip r:embed="rId24"/>
                          <a:stretch>
                            <a:fillRect/>
                          </a:stretch>
                        </pic:blipFill>
                        <pic:spPr>
                          <a:xfrm>
                            <a:off x="0" y="0"/>
                            <a:ext cx="4114800" cy="7053942"/>
                          </a:xfrm>
                          <a:prstGeom prst="rect"/>
                        </pic:spPr>
                      </pic:pic>
                    </a:graphicData>
                  </a:graphic>
                </wp:inline>
              </w:drawing>
            </w:r>
          </w:p>
          <w:p>
            <w:pPr>
              <w:spacing w:before="0" w:after="20"/>
              <w:jc w:val="center"/>
            </w:pPr>
            <w:r>
              <w:t>Workbook v253.4 upper Instructions section showing the bronze missing-input cue, calculated/result color key, Membership Fee wording, and workbook safeguards.</w:t>
            </w:r>
          </w:p>
        </w:tc>
      </w:tr>
    </w:tbl>
    <w:p>
      <w:r>
        <w:br w:type="page"/>
      </w:r>
    </w:p>
    <w:p>
      <w:pPr>
        <w:pStyle w:val="Heading1"/>
        <w:keepNext/>
      </w:pPr>
      <w:r>
        <w:t>9A. Lower Instructions and Carryover alternative</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5303520" cy="5369945"/>
                  <wp:docPr id="17" name="Picture 17"/>
                  <wp:cNvGraphicFramePr>
                    <a:graphicFrameLocks noChangeAspect="1"/>
                  </wp:cNvGraphicFramePr>
                  <a:graphic>
                    <a:graphicData uri="http://schemas.openxmlformats.org/drawingml/2006/picture">
                      <pic:pic>
                        <pic:nvPicPr>
                          <pic:cNvPr id="0" name="13-workbook-instructions-lower.jpg"/>
                          <pic:cNvPicPr/>
                        </pic:nvPicPr>
                        <pic:blipFill>
                          <a:blip r:embed="rId25"/>
                          <a:stretch>
                            <a:fillRect/>
                          </a:stretch>
                        </pic:blipFill>
                        <pic:spPr>
                          <a:xfrm>
                            <a:off x="0" y="0"/>
                            <a:ext cx="5303520" cy="5369945"/>
                          </a:xfrm>
                          <a:prstGeom prst="rect"/>
                        </pic:spPr>
                      </pic:pic>
                    </a:graphicData>
                  </a:graphic>
                </wp:inline>
              </w:drawing>
            </w:r>
          </w:p>
          <w:p>
            <w:pPr>
              <w:spacing w:before="0" w:after="20"/>
              <w:jc w:val="center"/>
            </w:pPr>
            <w:r>
              <w:t>Workbook v253.4 lower Instructions section showing the September 1 release note, calculation definitions, compatibility notes, and protected-formula safeguards.</w:t>
            </w:r>
          </w:p>
        </w:tc>
      </w:tr>
    </w:tbl>
    <w:tbl>
      <w:tblPr>
        <w:tblW w:type="auto" w:w="0"/>
        <w:jc w:val="center"/>
        <w:tblLook w:firstColumn="1" w:firstRow="1" w:lastColumn="0" w:lastRow="0" w:noHBand="0" w:noVBand="1" w:val="04A0"/>
      </w:tblPr>
      <w:tblGrid>
        <w:gridCol w:w="10368"/>
      </w:tblGrid>
      <w:tr>
        <w:tc>
          <w:tcPr>
            <w:tcW w:type="dxa" w:w="10368"/>
            <w:shd w:fill="FCE4D6"/>
            <w:tcMar>
              <w:top w:w="80" w:type="dxa"/>
              <w:start w:w="100" w:type="dxa"/>
              <w:bottom w:w="80" w:type="dxa"/>
              <w:end w:w="100" w:type="dxa"/>
            </w:tcMar>
          </w:tcPr>
          <w:p>
            <w:pPr>
              <w:spacing w:after="0"/>
            </w:pPr>
            <w:r>
              <w:rPr>
                <w:b/>
              </w:rPr>
              <w:t xml:space="preserve">Carryover is an alternative, not an update step: If you transfer prior A:M records into the current workbook, leave Carryover values at zero. Use Carryover only when starting a fresh record list without transferring the prior rows. Prior Game Count includes completed games only; exclude Membership Fee rows and unfinished Estimate rows.</w:t>
            </w:r>
            <w:r>
              <w:t/>
            </w:r>
          </w:p>
        </w:tc>
      </w:tr>
    </w:tbl>
    <w:p>
      <w:pPr>
        <w:sectPr>
          <w:footerReference w:type="default" r:id="rId32"/>
          <w:headerReference w:type="default" r:id="rId37"/>
          <w:headerReference w:type="first" r:id="rId38"/>
          <w:headerReference w:type="even" r:id="rId39"/>
          <w:footerReference w:type="first" r:id="rId40"/>
          <w:footerReference w:type="even" r:id="rId41"/>
          <w:pgSz w:w="12240" w:h="15840"/>
          <w:pgMar w:top="720" w:right="936" w:bottom="720" w:left="936" w:header="360" w:footer="360" w:gutter="0"/>
          <w:cols w:space="720"/>
          <w:docGrid w:linePitch="360"/>
        </w:sectPr>
      </w:pPr>
    </w:p>
    <w:p>
      <w:pPr>
        <w:pStyle w:val="Heading1"/>
        <w:keepNext/>
      </w:pPr>
      <w:r>
        <w:rPr>
          <w:color w:val="D06600"/>
        </w:rPr>
        <w:t>10. Game Records A:M and N:Z</w:t>
      </w:r>
    </w:p>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4961302" cy="2164110"/>
                  <wp:docPr id="18" name="Picture 18"/>
                  <wp:cNvGraphicFramePr>
                    <a:graphicFrameLocks noChangeAspect="1"/>
                  </wp:cNvGraphicFramePr>
                  <a:graphic>
                    <a:graphicData uri="http://schemas.openxmlformats.org/drawingml/2006/picture">
                      <pic:pic>
                        <pic:nvPicPr>
                          <pic:cNvPr id="0" name="14-game-records-top.jpg"/>
                          <pic:cNvPicPr/>
                        </pic:nvPicPr>
                        <pic:blipFill>
                          <a:blip r:embed="rId26"/>
                          <a:stretch>
                            <a:fillRect/>
                          </a:stretch>
                        </pic:blipFill>
                        <pic:spPr>
                          <a:xfrm>
                            <a:off x="0" y="0"/>
                            <a:ext cx="4961302" cy="2164110"/>
                          </a:xfrm>
                          <a:prstGeom prst="rect"/>
                        </pic:spPr>
                      </pic:pic>
                    </a:graphicData>
                  </a:graphic>
                </wp:inline>
              </w:drawing>
            </w:r>
          </w:p>
          <w:p>
            <w:pPr>
              <w:spacing w:before="0" w:after="20"/>
              <w:jc w:val="center"/>
            </w:pPr>
            <w:r>
              <w:rPr>
                <w:i/>
                <w:color w:val="555555"/>
                <w:sz w:val="15"/>
              </w:rPr>
              <w:t>Game Records A:M - input columns only.</w:t>
            </w:r>
          </w:p>
        </w:tc>
      </w:tr>
    </w:tbl>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3154852" cy="2175123"/>
                  <wp:docPr id="19" name="Picture 19"/>
                  <wp:cNvGraphicFramePr>
                    <a:graphicFrameLocks noChangeAspect="1"/>
                  </wp:cNvGraphicFramePr>
                  <a:graphic>
                    <a:graphicData uri="http://schemas.openxmlformats.org/drawingml/2006/picture">
                      <pic:pic>
                        <pic:nvPicPr>
                          <pic:cNvPr id="0" name="15-game-records-scrolled.jpg"/>
                          <pic:cNvPicPr/>
                        </pic:nvPicPr>
                        <pic:blipFill>
                          <a:blip r:embed="rId27"/>
                          <a:stretch>
                            <a:fillRect/>
                          </a:stretch>
                        </pic:blipFill>
                        <pic:spPr>
                          <a:xfrm>
                            <a:off x="0" y="0"/>
                            <a:ext cx="3154852" cy="2175123"/>
                          </a:xfrm>
                          <a:prstGeom prst="rect"/>
                        </pic:spPr>
                      </pic:pic>
                    </a:graphicData>
                  </a:graphic>
                </wp:inline>
              </w:drawing>
            </w:r>
          </w:p>
          <w:p>
            <w:pPr>
              <w:spacing w:before="0" w:after="20"/>
              <w:jc w:val="center"/>
            </w:pPr>
            <w:r>
              <w:rPr>
                <w:i/>
                <w:color w:val="555555"/>
                <w:sz w:val="15"/>
              </w:rPr>
              <w:t>Game Records A:M farther down the sheet with rows 1-4 frozen.</w:t>
            </w:r>
          </w:p>
        </w:tc>
      </w:tr>
    </w:tbl>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4310324" cy="2191643"/>
                  <wp:docPr id="20" name="Picture 20"/>
                  <wp:cNvGraphicFramePr>
                    <a:graphicFrameLocks noChangeAspect="1"/>
                  </wp:cNvGraphicFramePr>
                  <a:graphic>
                    <a:graphicData uri="http://schemas.openxmlformats.org/drawingml/2006/picture">
                      <pic:pic>
                        <pic:nvPicPr>
                          <pic:cNvPr id="0" name="16-formula-columns.jpg"/>
                          <pic:cNvPicPr/>
                        </pic:nvPicPr>
                        <pic:blipFill>
                          <a:blip r:embed="rId28"/>
                          <a:stretch>
                            <a:fillRect/>
                          </a:stretch>
                        </pic:blipFill>
                        <pic:spPr>
                          <a:xfrm>
                            <a:off x="0" y="0"/>
                            <a:ext cx="4310324" cy="2191643"/>
                          </a:xfrm>
                          <a:prstGeom prst="rect"/>
                        </pic:spPr>
                      </pic:pic>
                    </a:graphicData>
                  </a:graphic>
                </wp:inline>
              </w:drawing>
            </w:r>
          </w:p>
          <w:p>
            <w:pPr>
              <w:spacing w:before="0" w:after="20"/>
              <w:jc w:val="center"/>
            </w:pPr>
            <w:r>
              <w:rPr>
                <w:i/>
                <w:color w:val="555555"/>
                <w:sz w:val="15"/>
              </w:rPr>
              <w:t>N:Z protected formula columns. Do not edit or paste into these columns.</w:t>
            </w:r>
          </w:p>
        </w:tc>
      </w:tr>
    </w:tbl>
    <w:p>
      <w:r>
        <w:br w:type="page"/>
      </w:r>
    </w:p>
    <w:p>
      <w:pPr>
        <w:pStyle w:val="Heading1"/>
        <w:keepNext/>
      </w:pPr>
      <w:r>
        <w:t>11. Record Review, Summary and Best Results</w:t>
      </w:r>
    </w:p>
    <w:tbl>
      <w:tblPr>
        <w:tblW w:type="auto" w:w="0"/>
        <w:jc w:val="center"/>
        <w:tblLayout w:type="fixed"/>
        <w:tblLook w:firstColumn="1" w:firstRow="1" w:lastColumn="0" w:lastRow="0" w:noHBand="0" w:noVBand="1" w:val="04A0"/>
      </w:tblPr>
      <w:tblGrid>
        <w:gridCol w:w="7200"/>
        <w:gridCol w:w="7200"/>
      </w:tblGrid>
      <w:tr>
        <w:tc>
          <w:tcPr>
            <w:tcW w:type="dxa" w:w="7200"/>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4114800" cy="898182"/>
                  <wp:docPr id="21" name="Picture 21"/>
                  <wp:cNvGraphicFramePr>
                    <a:graphicFrameLocks noChangeAspect="1"/>
                  </wp:cNvGraphicFramePr>
                  <a:graphic>
                    <a:graphicData uri="http://schemas.openxmlformats.org/drawingml/2006/picture">
                      <pic:pic>
                        <pic:nvPicPr>
                          <pic:cNvPr id="0" name="20-summary.jpg"/>
                          <pic:cNvPicPr/>
                        </pic:nvPicPr>
                        <pic:blipFill>
                          <a:blip r:embed="rId29"/>
                          <a:stretch>
                            <a:fillRect/>
                          </a:stretch>
                        </pic:blipFill>
                        <pic:spPr>
                          <a:xfrm>
                            <a:off x="0" y="0"/>
                            <a:ext cx="4114800" cy="898182"/>
                          </a:xfrm>
                          <a:prstGeom prst="rect"/>
                        </pic:spPr>
                      </pic:pic>
                    </a:graphicData>
                  </a:graphic>
                </wp:inline>
              </w:drawing>
            </w:r>
          </w:p>
          <w:p>
            <w:pPr>
              <w:spacing w:before="0" w:after="20"/>
              <w:jc w:val="center"/>
            </w:pPr>
            <w:r>
              <w:rPr>
                <w:i/>
                <w:color w:val="555555"/>
                <w:sz w:val="15"/>
              </w:rPr>
              <w:t>Summary dashboard with exact counts and financial totals.</w:t>
            </w:r>
          </w:p>
        </w:tc>
        <w:tc>
          <w:tcPr>
            <w:tcW w:type="dxa" w:w="7200"/>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4114800" cy="934919"/>
                  <wp:docPr id="22" name="Picture 22"/>
                  <wp:cNvGraphicFramePr>
                    <a:graphicFrameLocks noChangeAspect="1"/>
                  </wp:cNvGraphicFramePr>
                  <a:graphic>
                    <a:graphicData uri="http://schemas.openxmlformats.org/drawingml/2006/picture">
                      <pic:pic>
                        <pic:nvPicPr>
                          <pic:cNvPr id="0" name="21-summary-tally.jpg"/>
                          <pic:cNvPicPr/>
                        </pic:nvPicPr>
                        <pic:blipFill>
                          <a:blip r:embed="rId30"/>
                          <a:stretch>
                            <a:fillRect/>
                          </a:stretch>
                        </pic:blipFill>
                        <pic:spPr>
                          <a:xfrm>
                            <a:off x="0" y="0"/>
                            <a:ext cx="4114800" cy="934919"/>
                          </a:xfrm>
                          <a:prstGeom prst="rect"/>
                        </pic:spPr>
                      </pic:pic>
                    </a:graphicData>
                  </a:graphic>
                </wp:inline>
              </w:drawing>
            </w:r>
          </w:p>
          <w:p>
            <w:pPr>
              <w:spacing w:before="0" w:after="20"/>
              <w:jc w:val="center"/>
            </w:pPr>
            <w:r>
              <w:rPr>
                <w:i/>
                <w:color w:val="555555"/>
                <w:sz w:val="15"/>
              </w:rPr>
              <w:t>Running Tally with exact counts and shares.</w:t>
            </w:r>
          </w:p>
        </w:tc>
      </w:tr>
    </w:tbl>
    <w:p>
      <w:r>
        <w:br w:type="page"/>
      </w:r>
    </w:p>
    <w:tbl>
      <w:tblPr>
        <w:tblW w:type="auto" w:w="0"/>
        <w:tblLayout w:type="fixed"/>
        <w:tblLook w:firstColumn="1" w:firstRow="1" w:lastColumn="0" w:lastRow="0" w:noHBand="0" w:noVBand="1" w:val="04A0"/>
      </w:tblPr>
      <w:tblGrid>
        <w:gridCol w:w="14400"/>
      </w:tblGrid>
      <w:tr>
        <w:trPr>
          <w:cantSplit/>
        </w:trPr>
        <w:tc>
          <w:tcPr>
            <w:tcW w:type="dxa" w:w="14400"/>
            <w:vAlign w:val="center"/>
          </w:tcPr>
          <w:p>
            <w:pPr>
              <w:jc w:val="center"/>
            </w:pPr>
            <w:r>
              <w:drawing>
                <wp:inline xmlns:a="http://schemas.openxmlformats.org/drawingml/2006/main" xmlns:pic="http://schemas.openxmlformats.org/drawingml/2006/picture">
                  <wp:extent cx="7863840" cy="1569597"/>
                  <wp:docPr id="24" name="Picture 24"/>
                  <wp:cNvGraphicFramePr>
                    <a:graphicFrameLocks noChangeAspect="1"/>
                  </wp:cNvGraphicFramePr>
                  <a:graphic>
                    <a:graphicData uri="http://schemas.openxmlformats.org/drawingml/2006/picture">
                      <pic:pic>
                        <pic:nvPicPr>
                          <pic:cNvPr id="0" name="Screenshot_20260824_044629_Sheets.jpg"/>
                          <pic:cNvPicPr/>
                        </pic:nvPicPr>
                        <pic:blipFill>
                          <a:blip r:embed="rId36"/>
                          <a:stretch>
                            <a:fillRect/>
                          </a:stretch>
                        </pic:blipFill>
                        <pic:spPr>
                          <a:xfrm>
                            <a:off x="0" y="0"/>
                            <a:ext cx="7863840" cy="1569597"/>
                          </a:xfrm>
                          <a:prstGeom prst="rect"/>
                        </pic:spPr>
                      </pic:pic>
                    </a:graphicData>
                  </a:graphic>
                </wp:inline>
              </w:drawing>
            </w:r>
          </w:p>
          <w:p>
            <w:pPr>
              <w:jc w:val="center"/>
            </w:pPr>
            <w:r>
              <w:t>Record Review v253.4 with result totals, Estimate timing status, and the same applicable missing-field checks used by the Game Records completion cues.</w:t>
            </w:r>
          </w:p>
        </w:tc>
      </w:tr>
    </w:tbl>
    <w:p>
      <w:r>
        <w:br w:type="page"/>
      </w:r>
    </w:p>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7863840" cy="4480560"/>
                  <wp:docPr id="23" name="Picture 23"/>
                  <wp:cNvGraphicFramePr>
                    <a:graphicFrameLocks noChangeAspect="1"/>
                  </wp:cNvGraphicFramePr>
                  <a:graphic>
                    <a:graphicData uri="http://schemas.openxmlformats.org/drawingml/2006/picture">
                      <pic:pic>
                        <pic:nvPicPr>
                          <pic:cNvPr id="0" name="Screenshot_20260824_044215_Sheets.jpg"/>
                          <pic:cNvPicPr/>
                        </pic:nvPicPr>
                        <pic:blipFill>
                          <a:blip r:embed="rId35"/>
                          <a:stretch>
                            <a:fillRect/>
                          </a:stretch>
                        </pic:blipFill>
                        <pic:spPr>
                          <a:xfrm>
                            <a:off x="0" y="0"/>
                            <a:ext cx="7863840" cy="4480560"/>
                          </a:xfrm>
                          <a:prstGeom prst="rect"/>
                        </pic:spPr>
                      </pic:pic>
                    </a:graphicData>
                  </a:graphic>
                </wp:inline>
              </w:drawing>
            </w:r>
          </w:p>
          <w:p>
            <w:pPr>
              <w:spacing w:before="0" w:after="20"/>
              <w:jc w:val="center"/>
            </w:pPr>
            <w:r>
              <w:t>Best Results v253.4 live reference table.</w:t>
            </w:r>
          </w:p>
        </w:tc>
      </w:tr>
    </w:tbl>
    <w:p>
      <w:pPr>
        <w:sectPr>
          <w:footerReference w:type="default" r:id="rId33"/>
          <w:pgSz w:w="15840" w:h="12240" w:orient="landscape"/>
          <w:pgMar w:top="648" w:right="720" w:bottom="648" w:left="720" w:header="360" w:footer="360" w:gutter="0"/>
          <w:cols w:space="720"/>
          <w:docGrid w:linePitch="360"/>
        </w:sectPr>
      </w:pPr>
    </w:p>
    <w:p>
      <w:pPr>
        <w:pStyle w:val="Heading1"/>
        <w:keepNext/>
      </w:pPr>
      <w:r>
        <w:rPr>
          <w:color w:val="D06600"/>
        </w:rPr>
        <w:t>12. Installation, feedback, and troubleshooting</w:t>
      </w:r>
    </w:p>
    <w:p>
      <w:pPr>
        <w:pStyle w:val="Heading2"/>
        <w:keepNext/>
      </w:pPr>
      <w:r>
        <w:rPr>
          <w:color w:val="2D2D2D"/>
        </w:rPr>
        <w:t>Installation</w:t>
      </w:r>
    </w:p>
    <w:p>
      <w:r>
        <w:t>Use the hosted StepCat page in a supported browser. When installation is unavailable, use the Installation information and Add to Home Screen guidance. A local test page may not offer the same installation controls as the hosted site.</w:t>
      </w:r>
    </w:p>
    <w:p>
      <w:pPr>
        <w:pStyle w:val="Heading2"/>
        <w:keepNext/>
      </w:pPr>
      <w:r>
        <w:rPr>
          <w:color w:val="2D2D2D"/>
        </w:rPr>
        <w:t>Feedback</w:t>
      </w:r>
    </w:p>
    <w:p>
      <w:r>
        <w:t>Write Feedback prepares a message for your email app. Review the recipient, subject, and message before sending.</w:t>
      </w:r>
    </w:p>
    <w:p>
      <w:pPr>
        <w:pStyle w:val="Heading2"/>
        <w:keepNext/>
      </w:pPr>
      <w:r>
        <w:rPr>
          <w:color w:val="2D2D2D"/>
        </w:rPr>
        <w:t>Troubleshooting</w:t>
      </w:r>
    </w:p>
    <w:p>
      <w:pPr>
        <w:spacing w:after="80"/>
      </w:pPr>
      <w:r>
        <w:rPr>
          <w:b/>
        </w:rPr>
        <w:t xml:space="preserve">Calculate does not continue: </w:t>
      </w:r>
      <w:r>
        <w:t>Correct the highlighted field. StepCat identifies the first blocking value.</w:t>
      </w:r>
    </w:p>
    <w:p>
      <w:pPr>
        <w:spacing w:after="80"/>
      </w:pPr>
      <w:r>
        <w:rPr>
          <w:b/>
        </w:rPr>
        <w:t xml:space="preserve">Free Game fee is rejected: </w:t>
      </w:r>
      <w:r>
        <w:t>Use Entry Fee 0 for Free Game / Chips, or choose another Payment / Record Type.</w:t>
      </w:r>
    </w:p>
    <w:p>
      <w:pPr>
        <w:spacing w:after="80"/>
      </w:pPr>
      <w:r>
        <w:rPr>
          <w:b/>
        </w:rPr>
        <w:t xml:space="preserve">Membership or Entry Mode resets: </w:t>
      </w:r>
      <w:r>
        <w:t>Enable the matching Remember setting or make a fresh selection.</w:t>
      </w:r>
    </w:p>
    <w:p>
      <w:pPr>
        <w:spacing w:after="80"/>
      </w:pPr>
      <w:r>
        <w:rPr>
          <w:b/>
        </w:rPr>
        <w:t xml:space="preserve">Saved entry appears as unfinished work: </w:t>
      </w:r>
      <w:r>
        <w:t>Current v253.1 removes a completed saved record from unfinished-draft recovery while leaving the completed fields visible for review during the current session.</w:t>
      </w:r>
    </w:p>
    <w:p>
      <w:pPr>
        <w:spacing w:after="80"/>
      </w:pPr>
      <w:r>
        <w:rPr>
          <w:b/>
        </w:rPr>
        <w:t xml:space="preserve">Copied row does not calculate: </w:t>
      </w:r>
      <w:r>
        <w:t>Paste into the destination column-A cell and only across A:M. N:Z should calculate automatically.</w:t>
      </w:r>
    </w:p>
    <w:p>
      <w:pPr>
        <w:spacing w:after="80"/>
      </w:pPr>
      <w:r>
        <w:rPr>
          <w:b/>
        </w:rPr>
        <w:t xml:space="preserve">Switching devices: </w:t>
      </w:r>
      <w:r>
        <w:t>Open the same Google Sheet on the other device. StepCat Saved History, settings, and unfinished fields do not automatically transfer.</w:t>
      </w:r>
    </w:p>
    <w:p>
      <w:pPr>
        <w:spacing w:after="80"/>
      </w:pPr>
      <w:r>
        <w:rPr>
          <w:b/>
        </w:rPr>
        <w:t xml:space="preserve">Move Existing Records behavior: </w:t>
      </w:r>
      <w:r>
        <w:t>The current dialog keeps Close reachable, supports full scrolling, and browser/Android Back closes the dialog before navigating away.</w:t>
      </w:r>
    </w:p>
    <w:tbl>
      <w:tblPr>
        <w:tblW w:type="auto" w:w="0"/>
        <w:jc w:val="center"/>
        <w:tblLook w:firstColumn="1" w:firstRow="1" w:lastColumn="0" w:lastRow="0" w:noHBand="0" w:noVBand="1" w:val="04A0"/>
      </w:tblPr>
      <w:tblGrid>
        <w:gridCol w:w="10368"/>
      </w:tblGrid>
      <w:tr>
        <w:tc>
          <w:tcPr>
            <w:tcW w:type="dxa" w:w="10368"/>
            <w:shd w:fill="E2F0D9"/>
            <w:tcMar>
              <w:top w:w="80" w:type="dxa"/>
              <w:start w:w="100" w:type="dxa"/>
              <w:bottom w:w="80" w:type="dxa"/>
              <w:end w:w="100" w:type="dxa"/>
            </w:tcMar>
          </w:tcPr>
          <w:p>
            <w:pPr>
              <w:spacing w:after="0"/>
            </w:pPr>
            <w:r>
              <w:t>Release check: After deployment, close old StepCat tabs/apps, reopen the hosted site, confirm StepCat v253.1 is displayed, open the public Workbook v253.4 link, and verify that the current v253.4 downloadable guides load.</w:t>
            </w:r>
          </w:p>
        </w:tc>
      </w:tr>
    </w:tbl>
    <w:sectPr w:rsidR="00FC693F" w:rsidRPr="0006063C" w:rsidSect="00034616">
      <w:footerReference w:type="default" r:id="rId34"/>
      <w:pgSz w:w="12240" w:h="15840"/>
      <w:pgMar w:top="720" w:right="936" w:bottom="720"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Calculator v253.1 + Workbook v253.4 - Quick Start Guide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Calculator v253.1 + Workbook v253.4 - Quick Start Guide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Calculator v253.1 + Workbook v253.4 - Quick Start Guide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image" Target="media/image24.jpg"/><Relationship Id="rId36" Type="http://schemas.openxmlformats.org/officeDocument/2006/relationships/image" Target="media/image25.jpg"/><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footer" Target="footer4.xml"/><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StepCat Calculator v253.1 + Workbook v253.3 - Quick Start Guide</dc:title>
  <dc:subject>StepCat Calculator v253.1 and Profitability Workbook v253.3 quick start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