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368"/>
      </w:tblGrid>
      <w:tr>
        <w:tc>
          <w:tcPr>
            <w:tcW w:type="dxa" w:w="10368"/>
            <w:shd w:fill="1D3243"/>
            <w:tcMar>
              <w:top w:w="320" w:type="dxa"/>
              <w:start w:w="220" w:type="dxa"/>
              <w:bottom w:w="320" w:type="dxa"/>
              <w:end w:w="220" w:type="dxa"/>
            </w:tcMar>
          </w:tcPr>
          <w:p>
            <w:pPr>
              <w:jc w:val="center"/>
            </w:pPr>
            <w:r>
              <w:rPr>
                <w:b/>
                <w:color w:val="FFB240"/>
                <w:sz w:val="64"/>
              </w:rPr>
              <w:t>StepCat</w:t>
            </w:r>
          </w:p>
          <w:p>
            <w:pPr>
              <w:jc w:val="center"/>
            </w:pPr>
            <w:r>
              <w:rPr>
                <w:b/>
                <w:color w:val="FFFFFF"/>
                <w:sz w:val="38"/>
              </w:rPr>
              <w:t>Payout Calculator - Quick Start Guide</w:t>
            </w:r>
          </w:p>
          <w:p>
            <w:pPr>
              <w:jc w:val="center"/>
            </w:pPr>
            <w:r>
              <w:rPr>
                <w:color w:val="EBEBEB"/>
                <w:sz w:val="24"/>
              </w:rPr>
              <w:t>App v253.1 and Profitability Workbook v253.1</w:t>
            </w:r>
          </w:p>
          <w:p>
            <w:pPr>
              <w:jc w:val="center"/>
            </w:pPr>
            <w:r>
              <w:rPr>
                <w:color w:val="FFD791"/>
                <w:sz w:val="21"/>
              </w:rPr>
              <w:t>August 22, 2026 workbook and reporting update</w:t>
            </w:r>
          </w:p>
        </w:tc>
      </w:tr>
    </w:tbl>
    <w:p/>
    <w:tbl>
      <w:tblPr>
        <w:tblW w:type="auto" w:w="0"/>
        <w:jc w:val="center"/>
        <w:tblLook w:firstColumn="1" w:firstRow="1" w:lastColumn="0" w:lastRow="0" w:noHBand="0" w:noVBand="1" w:val="04A0"/>
      </w:tblPr>
      <w:tblGrid>
        <w:gridCol w:w="10368"/>
      </w:tblGrid>
      <w:tr>
        <w:tc>
          <w:tcPr>
            <w:tcW w:type="dxa" w:w="10368"/>
            <w:shd w:fill="E2F0D9"/>
            <w:tcMar>
              <w:top w:w="80" w:type="dxa"/>
              <w:start w:w="100" w:type="dxa"/>
              <w:bottom w:w="80" w:type="dxa"/>
              <w:end w:w="100" w:type="dxa"/>
            </w:tcMar>
          </w:tcPr>
          <w:p>
            <w:pPr>
              <w:spacing w:after="0"/>
            </w:pPr>
            <w:r>
              <w:rPr>
                <w:b/>
              </w:rPr>
              <w:t xml:space="preserve">Release note: </w:t>
            </w:r>
            <w:r>
              <w:t>v253.1 is the current recommended workbook. An August 11 corrected v253.0 workbook may continue to perform the core calculations if it is calculating normally. Update to v253.1 for the latest reporting, mobile row-insertion guidance, shorter special-record labels, and alignment refinements.</w:t>
            </w:r>
          </w:p>
        </w:tc>
      </w:tr>
    </w:tbl>
    <w:p>
      <w:pPr>
        <w:jc w:val="center"/>
      </w:pPr>
      <w:r>
        <w:rPr>
          <w:i/>
        </w:rPr>
        <w:t>All screenshots in this guide reflect the current v253.1 interface or the current public blank v253.1 workbook.</w:t>
      </w:r>
    </w:p>
    <w:p>
      <w:r>
        <w:br w:type="page"/>
      </w:r>
    </w:p>
    <w:p>
      <w:pPr>
        <w:pStyle w:val="Heading1"/>
        <w:keepNext/>
      </w:pPr>
      <w:r>
        <w:rPr>
          <w:color w:val="D06600"/>
        </w:rPr>
        <w:t>Contents</w:t>
      </w:r>
    </w:p>
    <w:p>
      <w:pPr>
        <w:pStyle w:val="ListBullet"/>
        <w:spacing w:after="20"/>
      </w:pPr>
      <w:r>
        <w:t>1. Four-step entry workflow</w:t>
      </w:r>
    </w:p>
    <w:p>
      <w:pPr>
        <w:pStyle w:val="ListBullet"/>
        <w:spacing w:after="20"/>
      </w:pPr>
      <w:r>
        <w:t>2. Game Details and Calculation Information</w:t>
      </w:r>
    </w:p>
    <w:p>
      <w:pPr>
        <w:pStyle w:val="ListBullet"/>
        <w:spacing w:after="20"/>
      </w:pPr>
      <w:r>
        <w:t>3. Review, Calculate &amp; Save</w:t>
      </w:r>
    </w:p>
    <w:p>
      <w:pPr>
        <w:pStyle w:val="ListBullet"/>
        <w:spacing w:after="20"/>
      </w:pPr>
      <w:r>
        <w:t>4. Settings</w:t>
      </w:r>
    </w:p>
    <w:p>
      <w:pPr>
        <w:pStyle w:val="ListBullet"/>
        <w:spacing w:after="20"/>
      </w:pPr>
      <w:r>
        <w:t>5. Help &amp; Resources</w:t>
      </w:r>
    </w:p>
    <w:p>
      <w:pPr>
        <w:pStyle w:val="ListBullet"/>
        <w:spacing w:after="20"/>
      </w:pPr>
      <w:r>
        <w:t>6. Using the workbook</w:t>
      </w:r>
    </w:p>
    <w:p>
      <w:pPr>
        <w:pStyle w:val="ListBullet"/>
        <w:spacing w:after="20"/>
      </w:pPr>
      <w:r>
        <w:t>7. Workbook update and migration</w:t>
      </w:r>
    </w:p>
    <w:p>
      <w:pPr>
        <w:pStyle w:val="ListBullet"/>
        <w:spacing w:after="20"/>
      </w:pPr>
      <w:r>
        <w:t>8. Move Existing Records dialog</w:t>
      </w:r>
    </w:p>
    <w:p>
      <w:pPr>
        <w:pStyle w:val="ListBullet"/>
        <w:spacing w:after="20"/>
      </w:pPr>
      <w:r>
        <w:t>9. Google Sheets workbook structure</w:t>
      </w:r>
    </w:p>
    <w:p>
      <w:pPr>
        <w:pStyle w:val="ListBullet"/>
        <w:spacing w:after="20"/>
      </w:pPr>
      <w:r>
        <w:t>10. Summary and Best Results</w:t>
      </w:r>
    </w:p>
    <w:p>
      <w:pPr>
        <w:pStyle w:val="ListBullet"/>
        <w:spacing w:after="20"/>
      </w:pPr>
      <w:r>
        <w:t>11. Installation, feedback, and troubleshooting</w:t>
      </w:r>
    </w:p>
    <w:tbl>
      <w:tblPr>
        <w:tblW w:type="auto" w:w="0"/>
        <w:jc w:val="center"/>
        <w:tblLook w:firstColumn="1" w:firstRow="1" w:lastColumn="0" w:lastRow="0" w:noHBand="0" w:noVBand="1" w:val="04A0"/>
      </w:tblPr>
      <w:tblGrid>
        <w:gridCol w:w="10368"/>
      </w:tblGrid>
      <w:tr>
        <w:tc>
          <w:tcPr>
            <w:tcW w:type="dxa" w:w="10368"/>
            <w:shd w:fill="FFF2CC"/>
            <w:tcMar>
              <w:top w:w="80" w:type="dxa"/>
              <w:start w:w="100" w:type="dxa"/>
              <w:bottom w:w="80" w:type="dxa"/>
              <w:end w:w="100" w:type="dxa"/>
            </w:tcMar>
          </w:tcPr>
          <w:p>
            <w:pPr>
              <w:spacing w:after="0"/>
            </w:pPr>
            <w:r>
              <w:rPr>
                <w:b/>
              </w:rPr>
              <w:t xml:space="preserve">Fastest workflow: </w:t>
            </w:r>
            <w:r>
              <w:t>Choose Entry Mode (Step 1), confirm Membership Type (Step 2), complete Game Entry (Step 3), open Review Entry (Step 4), then choose Calculate &amp; Save.</w:t>
            </w:r>
          </w:p>
        </w:tc>
      </w:tr>
    </w:tbl>
    <w:tbl>
      <w:tblPr>
        <w:tblW w:type="auto" w:w="0"/>
        <w:jc w:val="center"/>
        <w:tblLook w:firstColumn="1" w:firstRow="1" w:lastColumn="0" w:lastRow="0" w:noHBand="0" w:noVBand="1" w:val="04A0"/>
      </w:tblPr>
      <w:tblGrid>
        <w:gridCol w:w="10368"/>
      </w:tblGrid>
      <w:tr>
        <w:tc>
          <w:tcPr>
            <w:tcW w:type="dxa" w:w="10368"/>
            <w:shd w:fill="EAF2F8"/>
            <w:tcMar>
              <w:top w:w="80" w:type="dxa"/>
              <w:start w:w="100" w:type="dxa"/>
              <w:bottom w:w="80" w:type="dxa"/>
              <w:end w:w="100" w:type="dxa"/>
            </w:tcMar>
          </w:tcPr>
          <w:p>
            <w:pPr>
              <w:spacing w:after="0"/>
            </w:pPr>
            <w:r>
              <w:rPr>
                <w:b/>
              </w:rPr>
              <w:t xml:space="preserve">Record-copy rule: </w:t>
            </w:r>
            <w:r>
              <w:t>When moving existing records, copy only A5:M through the last actual record row. Do not copy unused yellow rows down to the red boundary, and never copy N:Z.</w:t>
            </w:r>
          </w:p>
        </w:tc>
      </w:tr>
    </w:tbl>
    <w:p>
      <w:r>
        <w:br w:type="page"/>
      </w:r>
    </w:p>
    <w:p>
      <w:pPr>
        <w:pStyle w:val="Heading1"/>
        <w:keepNext/>
      </w:pPr>
      <w:r>
        <w:rPr>
          <w:color w:val="D06600"/>
        </w:rPr>
        <w:t>1. Four-step entry workflow</w:t>
      </w:r>
    </w:p>
    <w:p>
      <w:r>
        <w:t>Choose Estimate for a projection or Finalized for a completed result. Membership Type is Step 2 and becomes available after Step 1 is confirmed. Gold indicates the current action; completed steps move to the completed state.</w:t>
      </w:r>
    </w:p>
    <w:tbl>
      <w:tblPr>
        <w:tblW w:type="auto" w:w="0"/>
        <w:jc w:val="center"/>
        <w:tblLayout w:type="fixed"/>
        <w:tblLook w:firstColumn="1" w:firstRow="1" w:lastColumn="0" w:lastRow="0" w:noHBand="0" w:noVBand="1" w:val="04A0"/>
      </w:tblPr>
      <w:tblGrid>
        <w:gridCol w:w="5184"/>
        <w:gridCol w:w="5184"/>
      </w:tblGrid>
      <w:tr>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2743200" cy="2599577"/>
                  <wp:docPr id="1" name="Picture 1"/>
                  <wp:cNvGraphicFramePr>
                    <a:graphicFrameLocks noChangeAspect="1"/>
                  </wp:cNvGraphicFramePr>
                  <a:graphic>
                    <a:graphicData uri="http://schemas.openxmlformats.org/drawingml/2006/picture">
                      <pic:pic>
                        <pic:nvPicPr>
                          <pic:cNvPr id="0" name="01-game-record-information.jpg"/>
                          <pic:cNvPicPr/>
                        </pic:nvPicPr>
                        <pic:blipFill>
                          <a:blip r:embed="rId9"/>
                          <a:stretch>
                            <a:fillRect/>
                          </a:stretch>
                        </pic:blipFill>
                        <pic:spPr>
                          <a:xfrm>
                            <a:off x="0" y="0"/>
                            <a:ext cx="2743200" cy="2599577"/>
                          </a:xfrm>
                          <a:prstGeom prst="rect"/>
                        </pic:spPr>
                      </pic:pic>
                    </a:graphicData>
                  </a:graphic>
                </wp:inline>
              </w:drawing>
            </w:r>
          </w:p>
          <w:p>
            <w:pPr>
              <w:spacing w:before="0" w:after="20"/>
              <w:jc w:val="center"/>
            </w:pPr>
            <w:r>
              <w:rPr>
                <w:i/>
                <w:color w:val="555555"/>
                <w:sz w:val="15"/>
              </w:rPr>
              <w:t>Entry Mode - Step 1, before a selection.</w:t>
            </w:r>
          </w:p>
        </w:tc>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2743200" cy="2908366"/>
                  <wp:docPr id="2" name="Picture 2"/>
                  <wp:cNvGraphicFramePr>
                    <a:graphicFrameLocks noChangeAspect="1"/>
                  </wp:cNvGraphicFramePr>
                  <a:graphic>
                    <a:graphicData uri="http://schemas.openxmlformats.org/drawingml/2006/picture">
                      <pic:pic>
                        <pic:nvPicPr>
                          <pic:cNvPr id="0" name="02-membership-confirmation.jpg"/>
                          <pic:cNvPicPr/>
                        </pic:nvPicPr>
                        <pic:blipFill>
                          <a:blip r:embed="rId10"/>
                          <a:stretch>
                            <a:fillRect/>
                          </a:stretch>
                        </pic:blipFill>
                        <pic:spPr>
                          <a:xfrm>
                            <a:off x="0" y="0"/>
                            <a:ext cx="2743200" cy="2908366"/>
                          </a:xfrm>
                          <a:prstGeom prst="rect"/>
                        </pic:spPr>
                      </pic:pic>
                    </a:graphicData>
                  </a:graphic>
                </wp:inline>
              </w:drawing>
            </w:r>
          </w:p>
          <w:p>
            <w:pPr>
              <w:spacing w:before="0" w:after="20"/>
              <w:jc w:val="center"/>
            </w:pPr>
            <w:r>
              <w:rPr>
                <w:i/>
                <w:color w:val="555555"/>
                <w:sz w:val="15"/>
              </w:rPr>
              <w:t>Membership Type - Step 2 after Estimate is selected.</w:t>
            </w:r>
          </w:p>
        </w:tc>
      </w:tr>
    </w:tbl>
    <w:tbl>
      <w:tblPr>
        <w:tblW w:type="auto" w:w="0"/>
        <w:jc w:val="center"/>
        <w:tblLook w:firstColumn="1" w:firstRow="1" w:lastColumn="0" w:lastRow="0" w:noHBand="0" w:noVBand="1" w:val="04A0"/>
      </w:tblPr>
      <w:tblGrid>
        <w:gridCol w:w="10368"/>
      </w:tblGrid>
      <w:tr>
        <w:tc>
          <w:tcPr>
            <w:tcW w:type="dxa" w:w="10368"/>
            <w:shd w:fill="EAF2F8"/>
            <w:tcMar>
              <w:top w:w="80" w:type="dxa"/>
              <w:start w:w="100" w:type="dxa"/>
              <w:bottom w:w="80" w:type="dxa"/>
              <w:end w:w="100" w:type="dxa"/>
            </w:tcMar>
          </w:tcPr>
          <w:p>
            <w:pPr>
              <w:spacing w:after="0"/>
            </w:pPr>
            <w:r>
              <w:rPr>
                <w:b/>
              </w:rPr>
              <w:t xml:space="preserve">Current Settings labels: </w:t>
            </w:r>
            <w:r>
              <w:t>Remember Estimate / Finalized Mode, Remember Game Entry Layout, Remember Membership Choice, and Remember Payment / Record Type.</w:t>
            </w:r>
          </w:p>
        </w:tc>
      </w:tr>
    </w:tbl>
    <w:p>
      <w:r>
        <w:br w:type="page"/>
      </w:r>
    </w:p>
    <w:p>
      <w:pPr>
        <w:pStyle w:val="Heading1"/>
        <w:keepNext/>
      </w:pPr>
      <w:r>
        <w:rPr>
          <w:color w:val="D06600"/>
        </w:rPr>
        <w:t>2. Game Details and Calculation Information</w:t>
      </w:r>
    </w:p>
    <w:p>
      <w:r>
        <w:t>Step 3 uses focused subsections in Guided Sections mode. Show All Fields can be used when you prefer the complete Step 3 form together. The example below is an Estimate for Step Marathon.</w:t>
      </w:r>
    </w:p>
    <w:tbl>
      <w:tblPr>
        <w:tblW w:type="auto" w:w="0"/>
        <w:jc w:val="center"/>
        <w:tblLayout w:type="fixed"/>
        <w:tblLook w:firstColumn="1" w:firstRow="1" w:lastColumn="0" w:lastRow="0" w:noHBand="0" w:noVBand="1" w:val="04A0"/>
      </w:tblPr>
      <w:tblGrid>
        <w:gridCol w:w="5184"/>
        <w:gridCol w:w="5184"/>
      </w:tblGrid>
      <w:tr>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2423160" cy="6649922"/>
                  <wp:docPr id="3" name="Picture 3"/>
                  <wp:cNvGraphicFramePr>
                    <a:graphicFrameLocks noChangeAspect="1"/>
                  </wp:cNvGraphicFramePr>
                  <a:graphic>
                    <a:graphicData uri="http://schemas.openxmlformats.org/drawingml/2006/picture">
                      <pic:pic>
                        <pic:nvPicPr>
                          <pic:cNvPr id="0" name="03-filled-record-details.jpg"/>
                          <pic:cNvPicPr/>
                        </pic:nvPicPr>
                        <pic:blipFill>
                          <a:blip r:embed="rId11"/>
                          <a:stretch>
                            <a:fillRect/>
                          </a:stretch>
                        </pic:blipFill>
                        <pic:spPr>
                          <a:xfrm>
                            <a:off x="0" y="0"/>
                            <a:ext cx="2423160" cy="6649922"/>
                          </a:xfrm>
                          <a:prstGeom prst="rect"/>
                        </pic:spPr>
                      </pic:pic>
                    </a:graphicData>
                  </a:graphic>
                </wp:inline>
              </w:drawing>
            </w:r>
          </w:p>
          <w:p>
            <w:pPr>
              <w:spacing w:before="0" w:after="20"/>
              <w:jc w:val="center"/>
            </w:pPr>
            <w:r>
              <w:rPr>
                <w:i/>
                <w:color w:val="555555"/>
                <w:sz w:val="15"/>
              </w:rPr>
              <w:t>Game Details: Step Marathon, 08/13/2026 to 09/06/2026, Points.</w:t>
            </w:r>
          </w:p>
        </w:tc>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2423160" cy="4743060"/>
                  <wp:docPr id="4" name="Picture 4"/>
                  <wp:cNvGraphicFramePr>
                    <a:graphicFrameLocks noChangeAspect="1"/>
                  </wp:cNvGraphicFramePr>
                  <a:graphic>
                    <a:graphicData uri="http://schemas.openxmlformats.org/drawingml/2006/picture">
                      <pic:pic>
                        <pic:nvPicPr>
                          <pic:cNvPr id="0" name="04-calculation-information.jpg"/>
                          <pic:cNvPicPr/>
                        </pic:nvPicPr>
                        <pic:blipFill>
                          <a:blip r:embed="rId12"/>
                          <a:stretch>
                            <a:fillRect/>
                          </a:stretch>
                        </pic:blipFill>
                        <pic:spPr>
                          <a:xfrm>
                            <a:off x="0" y="0"/>
                            <a:ext cx="2423160" cy="4743060"/>
                          </a:xfrm>
                          <a:prstGeom prst="rect"/>
                        </pic:spPr>
                      </pic:pic>
                    </a:graphicData>
                  </a:graphic>
                </wp:inline>
              </w:drawing>
            </w:r>
          </w:p>
          <w:p>
            <w:pPr>
              <w:spacing w:before="0" w:after="20"/>
              <w:jc w:val="center"/>
            </w:pPr>
            <w:r>
              <w:rPr>
                <w:i/>
                <w:color w:val="555555"/>
                <w:sz w:val="15"/>
              </w:rPr>
              <w:t>Calculation Information: Gross Pot 46,440; Entry Fee 60; Eligible 656; Total 774.</w:t>
            </w:r>
          </w:p>
        </w:tc>
      </w:tr>
    </w:tbl>
    <w:tbl>
      <w:tblPr>
        <w:tblW w:type="auto" w:w="0"/>
        <w:jc w:val="center"/>
        <w:tblLook w:firstColumn="1" w:firstRow="1" w:lastColumn="0" w:lastRow="0" w:noHBand="0" w:noVBand="1" w:val="04A0"/>
      </w:tblPr>
      <w:tblGrid>
        <w:gridCol w:w="10368"/>
      </w:tblGrid>
      <w:tr>
        <w:tc>
          <w:tcPr>
            <w:tcW w:type="dxa" w:w="10368"/>
            <w:shd w:fill="FFF2CC"/>
            <w:tcMar>
              <w:top w:w="80" w:type="dxa"/>
              <w:start w:w="100" w:type="dxa"/>
              <w:bottom w:w="80" w:type="dxa"/>
              <w:end w:w="100" w:type="dxa"/>
            </w:tcMar>
          </w:tcPr>
          <w:p>
            <w:pPr>
              <w:spacing w:after="0"/>
            </w:pPr>
            <w:r>
              <w:rPr>
                <w:b/>
              </w:rPr>
              <w:t xml:space="preserve">Estimate rule: </w:t>
            </w:r>
            <w:r>
              <w:t>An Estimate does not require Final Earned / Chips. Finalized entries require the completed result unless Disqualified / Lost Entry Fee is selected.</w:t>
            </w:r>
          </w:p>
        </w:tc>
      </w:tr>
    </w:tbl>
    <w:p>
      <w:r>
        <w:br w:type="page"/>
      </w:r>
    </w:p>
    <w:p>
      <w:pPr>
        <w:pStyle w:val="Heading1"/>
        <w:keepNext/>
      </w:pPr>
      <w:r>
        <w:rPr>
          <w:color w:val="D06600"/>
        </w:rPr>
        <w:t>3. Review, Calculate &amp; Save</w:t>
      </w:r>
    </w:p>
    <w:p>
      <w:r>
        <w:t>When required Step 3 values are ready, choose Review Entry. Step 4 shows the complete record before anything is saved. Use Edit beside any review group to return to the exact section that needs a correction.</w:t>
      </w:r>
    </w:p>
    <w:tbl>
      <w:tblPr>
        <w:tblW w:type="auto" w:w="0"/>
        <w:jc w:val="center"/>
        <w:tblLook w:firstColumn="1" w:firstRow="1" w:lastColumn="0" w:lastRow="0" w:noHBand="0" w:noVBand="1" w:val="04A0"/>
      </w:tblPr>
      <w:tblGrid>
        <w:gridCol w:w="10368"/>
      </w:tblGrid>
      <w:tr>
        <w:tc>
          <w:tcPr>
            <w:tcW w:type="dxa" w:w="10368"/>
            <w:tcBorders>
              <w:top w:val="nil"/>
              <w:left w:val="nil"/>
              <w:bottom w:val="nil"/>
              <w:right w:val="nil"/>
              <w:insideH w:val="nil"/>
              <w:insideV w:val="nil"/>
            </w:tcBorders>
            <w:tcMar>
              <w:top w:w="10" w:type="dxa"/>
              <w:start w:w="20" w:type="dxa"/>
              <w:bottom w:w="10" w:type="dxa"/>
              <w:end w:w="20" w:type="dxa"/>
            </w:tcMar>
          </w:tcPr>
          <w:p>
            <w:pPr>
              <w:spacing w:after="20"/>
              <w:jc w:val="center"/>
            </w:pPr>
            <w:r>
              <w:drawing>
                <wp:inline xmlns:a="http://schemas.openxmlformats.org/drawingml/2006/main" xmlns:pic="http://schemas.openxmlformats.org/drawingml/2006/picture">
                  <wp:extent cx="2834640" cy="6411332"/>
                  <wp:docPr id="5" name="Picture 5"/>
                  <wp:cNvGraphicFramePr>
                    <a:graphicFrameLocks noChangeAspect="1"/>
                  </wp:cNvGraphicFramePr>
                  <a:graphic>
                    <a:graphicData uri="http://schemas.openxmlformats.org/drawingml/2006/picture">
                      <pic:pic>
                        <pic:nvPicPr>
                          <pic:cNvPr id="0" name="08-calculate-and-save.jpg"/>
                          <pic:cNvPicPr/>
                        </pic:nvPicPr>
                        <pic:blipFill>
                          <a:blip r:embed="rId13"/>
                          <a:stretch>
                            <a:fillRect/>
                          </a:stretch>
                        </pic:blipFill>
                        <pic:spPr>
                          <a:xfrm>
                            <a:off x="0" y="0"/>
                            <a:ext cx="2834640" cy="6411332"/>
                          </a:xfrm>
                          <a:prstGeom prst="rect"/>
                        </pic:spPr>
                      </pic:pic>
                    </a:graphicData>
                  </a:graphic>
                </wp:inline>
              </w:drawing>
            </w:r>
          </w:p>
          <w:p>
            <w:pPr>
              <w:spacing w:before="0" w:after="20"/>
              <w:jc w:val="center"/>
            </w:pPr>
            <w:r>
              <w:rPr>
                <w:i/>
                <w:color w:val="555555"/>
                <w:sz w:val="15"/>
              </w:rPr>
              <w:t>Step 4 Review Entry with Calculate &amp; Save ready.</w:t>
            </w:r>
          </w:p>
        </w:tc>
      </w:tr>
    </w:tbl>
    <w:p>
      <w:r>
        <w:rPr>
          <w:b/>
        </w:rPr>
        <w:t xml:space="preserve">After a successful save: </w:t>
      </w:r>
      <w:r>
        <w:t>the completed fields remain visible for review during the current session, while that completed record is removed from unfinished-draft recovery. Use Start New Entry when you are ready to reset the form.</w:t>
      </w:r>
    </w:p>
    <w:tbl>
      <w:tblPr>
        <w:tblW w:type="auto" w:w="0"/>
        <w:jc w:val="center"/>
        <w:tblLook w:firstColumn="1" w:firstRow="1" w:lastColumn="0" w:lastRow="0" w:noHBand="0" w:noVBand="1" w:val="04A0"/>
      </w:tblPr>
      <w:tblGrid>
        <w:gridCol w:w="10368"/>
      </w:tblGrid>
      <w:tr>
        <w:tc>
          <w:tcPr>
            <w:tcW w:type="dxa" w:w="10368"/>
            <w:shd w:fill="EAF2F8"/>
            <w:tcMar>
              <w:top w:w="80" w:type="dxa"/>
              <w:start w:w="100" w:type="dxa"/>
              <w:bottom w:w="80" w:type="dxa"/>
              <w:end w:w="100" w:type="dxa"/>
            </w:tcMar>
          </w:tcPr>
          <w:p>
            <w:pPr>
              <w:spacing w:after="0"/>
            </w:pPr>
            <w:r>
              <w:rPr>
                <w:b/>
              </w:rPr>
              <w:t xml:space="preserve">Device storage: </w:t>
            </w:r>
            <w:r>
              <w:t>Saved History, Settings, and unfinished StepCat fields remain in the current browser/device. Completed records become cross-device records only after they are entered in the Google Sheet.</w:t>
            </w:r>
          </w:p>
        </w:tc>
      </w:tr>
    </w:tbl>
    <w:p>
      <w:r>
        <w:br w:type="page"/>
      </w:r>
    </w:p>
    <w:p>
      <w:pPr>
        <w:pStyle w:val="Heading1"/>
        <w:keepNext/>
      </w:pPr>
      <w:r>
        <w:rPr>
          <w:color w:val="D06600"/>
        </w:rPr>
        <w:t>4. Settings</w:t>
      </w:r>
    </w:p>
    <w:p>
      <w:r>
        <w:t>Ordinary setting changes save automatically. Restore Defaults is the bulk reset action. These are the current v253.1 Settings groups and labels.</w:t>
      </w:r>
    </w:p>
    <w:tbl>
      <w:tblPr>
        <w:tblW w:type="auto" w:w="0"/>
        <w:jc w:val="center"/>
        <w:tblLayout w:type="fixed"/>
        <w:tblLook w:firstColumn="1" w:firstRow="1" w:lastColumn="0" w:lastRow="0" w:noHBand="0" w:noVBand="1" w:val="04A0"/>
      </w:tblPr>
      <w:tblGrid>
        <w:gridCol w:w="3456"/>
        <w:gridCol w:w="3456"/>
        <w:gridCol w:w="3456"/>
      </w:tblGrid>
      <w:tr>
        <w:tc>
          <w:tcPr>
            <w:tcW w:type="dxa" w:w="3456"/>
            <w:tcBorders>
              <w:top w:val="nil"/>
              <w:left w:val="nil"/>
              <w:bottom w:val="nil"/>
              <w:right w:val="nil"/>
              <w:insideH w:val="nil"/>
              <w:insideV w:val="nil"/>
            </w:tcBorders>
            <w:tcMar>
              <w:top w:w="10" w:type="dxa"/>
              <w:start w:w="15" w:type="dxa"/>
              <w:bottom w:w="10" w:type="dxa"/>
              <w:end w:w="15" w:type="dxa"/>
            </w:tcMar>
            <w:vAlign w:val="top"/>
          </w:tcPr>
          <w:p>
            <w:pPr>
              <w:spacing w:after="20"/>
              <w:jc w:val="center"/>
            </w:pPr>
            <w:r>
              <w:drawing>
                <wp:inline xmlns:a="http://schemas.openxmlformats.org/drawingml/2006/main" xmlns:pic="http://schemas.openxmlformats.org/drawingml/2006/picture">
                  <wp:extent cx="1536192" cy="2890467"/>
                  <wp:docPr id="6" name="Picture 6"/>
                  <wp:cNvGraphicFramePr>
                    <a:graphicFrameLocks noChangeAspect="1"/>
                  </wp:cNvGraphicFramePr>
                  <a:graphic>
                    <a:graphicData uri="http://schemas.openxmlformats.org/drawingml/2006/picture">
                      <pic:pic>
                        <pic:nvPicPr>
                          <pic:cNvPr id="0" name="24-settings-page-sections.jpg"/>
                          <pic:cNvPicPr/>
                        </pic:nvPicPr>
                        <pic:blipFill>
                          <a:blip r:embed="rId14"/>
                          <a:stretch>
                            <a:fillRect/>
                          </a:stretch>
                        </pic:blipFill>
                        <pic:spPr>
                          <a:xfrm>
                            <a:off x="0" y="0"/>
                            <a:ext cx="1536192" cy="2890467"/>
                          </a:xfrm>
                          <a:prstGeom prst="rect"/>
                        </pic:spPr>
                      </pic:pic>
                    </a:graphicData>
                  </a:graphic>
                </wp:inline>
              </w:drawing>
            </w:r>
          </w:p>
          <w:p>
            <w:pPr>
              <w:spacing w:before="0" w:after="20"/>
              <w:jc w:val="center"/>
            </w:pPr>
            <w:r>
              <w:rPr>
                <w:i/>
                <w:color w:val="555555"/>
                <w:sz w:val="15"/>
              </w:rPr>
              <w:t>Page Sections &amp; Starting State.</w:t>
            </w:r>
          </w:p>
        </w:tc>
        <w:tc>
          <w:tcPr>
            <w:tcW w:type="dxa" w:w="3456"/>
            <w:tcBorders>
              <w:top w:val="nil"/>
              <w:left w:val="nil"/>
              <w:bottom w:val="nil"/>
              <w:right w:val="nil"/>
              <w:insideH w:val="nil"/>
              <w:insideV w:val="nil"/>
            </w:tcBorders>
            <w:tcMar>
              <w:top w:w="10" w:type="dxa"/>
              <w:start w:w="15" w:type="dxa"/>
              <w:bottom w:w="10" w:type="dxa"/>
              <w:end w:w="15" w:type="dxa"/>
            </w:tcMar>
            <w:vAlign w:val="top"/>
          </w:tcPr>
          <w:p>
            <w:pPr>
              <w:spacing w:after="20"/>
              <w:jc w:val="center"/>
            </w:pPr>
            <w:r>
              <w:drawing>
                <wp:inline xmlns:a="http://schemas.openxmlformats.org/drawingml/2006/main" xmlns:pic="http://schemas.openxmlformats.org/drawingml/2006/picture">
                  <wp:extent cx="1536192" cy="2558972"/>
                  <wp:docPr id="7" name="Picture 7"/>
                  <wp:cNvGraphicFramePr>
                    <a:graphicFrameLocks noChangeAspect="1"/>
                  </wp:cNvGraphicFramePr>
                  <a:graphic>
                    <a:graphicData uri="http://schemas.openxmlformats.org/drawingml/2006/picture">
                      <pic:pic>
                        <pic:nvPicPr>
                          <pic:cNvPr id="0" name="24-settings-panel.jpg"/>
                          <pic:cNvPicPr/>
                        </pic:nvPicPr>
                        <pic:blipFill>
                          <a:blip r:embed="rId15"/>
                          <a:stretch>
                            <a:fillRect/>
                          </a:stretch>
                        </pic:blipFill>
                        <pic:spPr>
                          <a:xfrm>
                            <a:off x="0" y="0"/>
                            <a:ext cx="1536192" cy="2558972"/>
                          </a:xfrm>
                          <a:prstGeom prst="rect"/>
                        </pic:spPr>
                      </pic:pic>
                    </a:graphicData>
                  </a:graphic>
                </wp:inline>
              </w:drawing>
            </w:r>
          </w:p>
          <w:p>
            <w:pPr>
              <w:spacing w:before="0" w:after="20"/>
              <w:jc w:val="center"/>
            </w:pPr>
            <w:r>
              <w:rPr>
                <w:i/>
                <w:color w:val="555555"/>
                <w:sz w:val="15"/>
              </w:rPr>
              <w:t>Entry Preferences and Entry Safeguards.</w:t>
            </w:r>
          </w:p>
        </w:tc>
        <w:tc>
          <w:tcPr>
            <w:tcW w:type="dxa" w:w="3456"/>
            <w:tcBorders>
              <w:top w:val="nil"/>
              <w:left w:val="nil"/>
              <w:bottom w:val="nil"/>
              <w:right w:val="nil"/>
              <w:insideH w:val="nil"/>
              <w:insideV w:val="nil"/>
            </w:tcBorders>
            <w:tcMar>
              <w:top w:w="10" w:type="dxa"/>
              <w:start w:w="15" w:type="dxa"/>
              <w:bottom w:w="10" w:type="dxa"/>
              <w:end w:w="15" w:type="dxa"/>
            </w:tcMar>
            <w:vAlign w:val="top"/>
          </w:tcPr>
          <w:p>
            <w:pPr>
              <w:spacing w:after="20"/>
              <w:jc w:val="center"/>
            </w:pPr>
            <w:r>
              <w:drawing>
                <wp:inline xmlns:a="http://schemas.openxmlformats.org/drawingml/2006/main" xmlns:pic="http://schemas.openxmlformats.org/drawingml/2006/picture">
                  <wp:extent cx="1536192" cy="3411689"/>
                  <wp:docPr id="8" name="Picture 8"/>
                  <wp:cNvGraphicFramePr>
                    <a:graphicFrameLocks noChangeAspect="1"/>
                  </wp:cNvGraphicFramePr>
                  <a:graphic>
                    <a:graphicData uri="http://schemas.openxmlformats.org/drawingml/2006/picture">
                      <pic:pic>
                        <pic:nvPicPr>
                          <pic:cNvPr id="0" name="24-settings-lower.jpg"/>
                          <pic:cNvPicPr/>
                        </pic:nvPicPr>
                        <pic:blipFill>
                          <a:blip r:embed="rId16"/>
                          <a:stretch>
                            <a:fillRect/>
                          </a:stretch>
                        </pic:blipFill>
                        <pic:spPr>
                          <a:xfrm>
                            <a:off x="0" y="0"/>
                            <a:ext cx="1536192" cy="3411689"/>
                          </a:xfrm>
                          <a:prstGeom prst="rect"/>
                        </pic:spPr>
                      </pic:pic>
                    </a:graphicData>
                  </a:graphic>
                </wp:inline>
              </w:drawing>
            </w:r>
          </w:p>
          <w:p>
            <w:pPr>
              <w:spacing w:before="0" w:after="20"/>
              <w:jc w:val="center"/>
            </w:pPr>
            <w:r>
              <w:rPr>
                <w:i/>
                <w:color w:val="555555"/>
                <w:sz w:val="15"/>
              </w:rPr>
              <w:t>Help &amp; Guides, Haptic Feedback, and Restore Defaults.</w:t>
            </w:r>
          </w:p>
        </w:tc>
      </w:tr>
    </w:tbl>
    <w:p>
      <w:r>
        <w:br w:type="page"/>
      </w:r>
    </w:p>
    <w:p>
      <w:pPr>
        <w:pStyle w:val="Heading1"/>
        <w:keepNext/>
      </w:pPr>
      <w:r>
        <w:rPr>
          <w:color w:val="D06600"/>
        </w:rPr>
        <w:t>5. Help &amp; Resources</w:t>
      </w:r>
    </w:p>
    <w:p>
      <w:r>
        <w:t>Quick Explanations use the current topic name Using the Workbook. Guides &amp; Workbook contains the current HTML guides, Google Sheets copy link, migration dialog, PDF, and editable DOCX.</w:t>
      </w:r>
    </w:p>
    <w:tbl>
      <w:tblPr>
        <w:tblW w:type="auto" w:w="0"/>
        <w:jc w:val="center"/>
        <w:tblLayout w:type="fixed"/>
        <w:tblLook w:firstColumn="1" w:firstRow="1" w:lastColumn="0" w:lastRow="0" w:noHBand="0" w:noVBand="1" w:val="04A0"/>
      </w:tblPr>
      <w:tblGrid>
        <w:gridCol w:w="5184"/>
        <w:gridCol w:w="5184"/>
      </w:tblGrid>
      <w:tr>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2514600" cy="3613212"/>
                  <wp:docPr id="9" name="Picture 9"/>
                  <wp:cNvGraphicFramePr>
                    <a:graphicFrameLocks noChangeAspect="1"/>
                  </wp:cNvGraphicFramePr>
                  <a:graphic>
                    <a:graphicData uri="http://schemas.openxmlformats.org/drawingml/2006/picture">
                      <pic:pic>
                        <pic:nvPicPr>
                          <pic:cNvPr id="0" name="25-help-main.jpg"/>
                          <pic:cNvPicPr/>
                        </pic:nvPicPr>
                        <pic:blipFill>
                          <a:blip r:embed="rId17"/>
                          <a:stretch>
                            <a:fillRect/>
                          </a:stretch>
                        </pic:blipFill>
                        <pic:spPr>
                          <a:xfrm>
                            <a:off x="0" y="0"/>
                            <a:ext cx="2514600" cy="3613212"/>
                          </a:xfrm>
                          <a:prstGeom prst="rect"/>
                        </pic:spPr>
                      </pic:pic>
                    </a:graphicData>
                  </a:graphic>
                </wp:inline>
              </w:drawing>
            </w:r>
          </w:p>
          <w:p>
            <w:pPr>
              <w:spacing w:before="0" w:after="20"/>
              <w:jc w:val="center"/>
            </w:pPr>
            <w:r>
              <w:rPr>
                <w:i/>
                <w:color w:val="555555"/>
                <w:sz w:val="15"/>
              </w:rPr>
              <w:t>Quick Explanations overview.</w:t>
            </w:r>
          </w:p>
        </w:tc>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2514600" cy="3950569"/>
                  <wp:docPr id="10" name="Picture 10"/>
                  <wp:cNvGraphicFramePr>
                    <a:graphicFrameLocks noChangeAspect="1"/>
                  </wp:cNvGraphicFramePr>
                  <a:graphic>
                    <a:graphicData uri="http://schemas.openxmlformats.org/drawingml/2006/picture">
                      <pic:pic>
                        <pic:nvPicPr>
                          <pic:cNvPr id="0" name="26-help-guides-downloads.jpg"/>
                          <pic:cNvPicPr/>
                        </pic:nvPicPr>
                        <pic:blipFill>
                          <a:blip r:embed="rId18"/>
                          <a:stretch>
                            <a:fillRect/>
                          </a:stretch>
                        </pic:blipFill>
                        <pic:spPr>
                          <a:xfrm>
                            <a:off x="0" y="0"/>
                            <a:ext cx="2514600" cy="3950569"/>
                          </a:xfrm>
                          <a:prstGeom prst="rect"/>
                        </pic:spPr>
                      </pic:pic>
                    </a:graphicData>
                  </a:graphic>
                </wp:inline>
              </w:drawing>
            </w:r>
          </w:p>
          <w:p>
            <w:pPr>
              <w:spacing w:before="0" w:after="20"/>
              <w:jc w:val="center"/>
            </w:pPr>
            <w:r>
              <w:rPr>
                <w:i/>
                <w:color w:val="555555"/>
                <w:sz w:val="15"/>
              </w:rPr>
              <w:t>Guides &amp; Workbook and downloadable resources.</w:t>
            </w:r>
          </w:p>
        </w:tc>
      </w:tr>
    </w:tbl>
    <w:p>
      <w:r>
        <w:br w:type="page"/>
      </w:r>
    </w:p>
    <w:p>
      <w:pPr>
        <w:pStyle w:val="Heading1"/>
        <w:keepNext/>
      </w:pPr>
      <w:r>
        <w:rPr>
          <w:color w:val="D06600"/>
        </w:rPr>
        <w:t>6. Using the workbook</w:t>
      </w:r>
    </w:p>
    <w:p>
      <w:r>
        <w:t>The Google Sheet is the permanent cross-device record. Enter or paste A:M only. Leave N:Z untouched so protected formulas calculate results and reports automatically.</w:t>
      </w:r>
    </w:p>
    <w:tbl>
      <w:tblPr>
        <w:tblW w:type="auto" w:w="0"/>
        <w:jc w:val="center"/>
        <w:tblLayout w:type="fixed"/>
        <w:tblLook w:firstColumn="1" w:firstRow="1" w:lastColumn="0" w:lastRow="0" w:noHBand="0" w:noVBand="1" w:val="04A0"/>
      </w:tblPr>
      <w:tblGrid>
        <w:gridCol w:w="5184"/>
        <w:gridCol w:w="5184"/>
      </w:tblGrid>
      <w:tr>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2423160" cy="4538111"/>
                  <wp:docPr id="11" name="Picture 11"/>
                  <wp:cNvGraphicFramePr>
                    <a:graphicFrameLocks noChangeAspect="1"/>
                  </wp:cNvGraphicFramePr>
                  <a:graphic>
                    <a:graphicData uri="http://schemas.openxmlformats.org/drawingml/2006/picture">
                      <pic:pic>
                        <pic:nvPicPr>
                          <pic:cNvPr id="0" name="25-using-workbook-1.jpg"/>
                          <pic:cNvPicPr/>
                        </pic:nvPicPr>
                        <pic:blipFill>
                          <a:blip r:embed="rId19"/>
                          <a:stretch>
                            <a:fillRect/>
                          </a:stretch>
                        </pic:blipFill>
                        <pic:spPr>
                          <a:xfrm>
                            <a:off x="0" y="0"/>
                            <a:ext cx="2423160" cy="4538111"/>
                          </a:xfrm>
                          <a:prstGeom prst="rect"/>
                        </pic:spPr>
                      </pic:pic>
                    </a:graphicData>
                  </a:graphic>
                </wp:inline>
              </w:drawing>
            </w:r>
          </w:p>
          <w:p>
            <w:pPr>
              <w:spacing w:before="0" w:after="20"/>
              <w:jc w:val="center"/>
            </w:pPr>
            <w:r>
              <w:rPr>
                <w:i/>
                <w:color w:val="555555"/>
                <w:sz w:val="15"/>
              </w:rPr>
              <w:t>Direct workbook use, devices, and mobile row insertion.</w:t>
            </w:r>
          </w:p>
        </w:tc>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2423160" cy="3547591"/>
                  <wp:docPr id="12" name="Picture 12"/>
                  <wp:cNvGraphicFramePr>
                    <a:graphicFrameLocks noChangeAspect="1"/>
                  </wp:cNvGraphicFramePr>
                  <a:graphic>
                    <a:graphicData uri="http://schemas.openxmlformats.org/drawingml/2006/picture">
                      <pic:pic>
                        <pic:nvPicPr>
                          <pic:cNvPr id="0" name="25-using-workbook-2.jpg"/>
                          <pic:cNvPicPr/>
                        </pic:nvPicPr>
                        <pic:blipFill>
                          <a:blip r:embed="rId20"/>
                          <a:stretch>
                            <a:fillRect/>
                          </a:stretch>
                        </pic:blipFill>
                        <pic:spPr>
                          <a:xfrm>
                            <a:off x="0" y="0"/>
                            <a:ext cx="2423160" cy="3547591"/>
                          </a:xfrm>
                          <a:prstGeom prst="rect"/>
                        </pic:spPr>
                      </pic:pic>
                    </a:graphicData>
                  </a:graphic>
                </wp:inline>
              </w:drawing>
            </w:r>
          </w:p>
          <w:p>
            <w:pPr>
              <w:spacing w:before="0" w:after="20"/>
              <w:jc w:val="center"/>
            </w:pPr>
            <w:r>
              <w:rPr>
                <w:i/>
                <w:color w:val="555555"/>
                <w:sz w:val="15"/>
              </w:rPr>
              <w:t>Moving older records, A5:M transfer, and the 500-record boundary.</w:t>
            </w:r>
          </w:p>
        </w:tc>
      </w:tr>
    </w:tbl>
    <w:tbl>
      <w:tblPr>
        <w:tblW w:type="auto" w:w="0"/>
        <w:jc w:val="center"/>
        <w:tblLook w:firstColumn="1" w:firstRow="1" w:lastColumn="0" w:lastRow="0" w:noHBand="0" w:noVBand="1" w:val="04A0"/>
      </w:tblPr>
      <w:tblGrid>
        <w:gridCol w:w="10368"/>
      </w:tblGrid>
      <w:tr>
        <w:tc>
          <w:tcPr>
            <w:tcW w:type="dxa" w:w="10368"/>
            <w:shd w:fill="FFF2CC"/>
            <w:tcMar>
              <w:top w:w="80" w:type="dxa"/>
              <w:start w:w="100" w:type="dxa"/>
              <w:bottom w:w="80" w:type="dxa"/>
              <w:end w:w="100" w:type="dxa"/>
            </w:tcMar>
          </w:tcPr>
          <w:p>
            <w:pPr>
              <w:spacing w:after="0"/>
            </w:pPr>
            <w:r>
              <w:rPr>
                <w:b/>
              </w:rPr>
              <w:t xml:space="preserve">Mobile insertion: </w:t>
            </w:r>
            <w:r>
              <w:t>Insert a whole worksheet row above the desired position, enter or paste A:M, then remove the same number of unused blank rows immediately above the red boundary so it returns to row 505. Never delete the red boundary itself.</w:t>
            </w:r>
          </w:p>
        </w:tc>
      </w:tr>
    </w:tbl>
    <w:p>
      <w:r>
        <w:br w:type="page"/>
      </w:r>
    </w:p>
    <w:p>
      <w:pPr>
        <w:pStyle w:val="Heading1"/>
        <w:keepNext/>
      </w:pPr>
      <w:r>
        <w:rPr>
          <w:color w:val="D06600"/>
        </w:rPr>
        <w:t>7. Workbook update and migration</w:t>
      </w:r>
    </w:p>
    <w:p>
      <w:r>
        <w:t>v253.1 is recommended, but an August 11 corrected v253.0 workbook may remain in use if it is calculating normally. Updating is strongly recommended for older copies that predate those corrections or show formula/reference problems.</w:t>
      </w:r>
    </w:p>
    <w:tbl>
      <w:tblPr>
        <w:tblW w:type="auto" w:w="0"/>
        <w:jc w:val="center"/>
        <w:tblLayout w:type="fixed"/>
        <w:tblLook w:firstColumn="1" w:firstRow="1" w:lastColumn="0" w:lastRow="0" w:noHBand="0" w:noVBand="1" w:val="04A0"/>
      </w:tblPr>
      <w:tblGrid>
        <w:gridCol w:w="5184"/>
        <w:gridCol w:w="5184"/>
      </w:tblGrid>
      <w:tr>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2240280" cy="1689007"/>
                  <wp:docPr id="13" name="Picture 13"/>
                  <wp:cNvGraphicFramePr>
                    <a:graphicFrameLocks noChangeAspect="1"/>
                  </wp:cNvGraphicFramePr>
                  <a:graphic>
                    <a:graphicData uri="http://schemas.openxmlformats.org/drawingml/2006/picture">
                      <pic:pic>
                        <pic:nvPicPr>
                          <pic:cNvPr id="0" name="whats-new-v2531-collapsed.jpg"/>
                          <pic:cNvPicPr/>
                        </pic:nvPicPr>
                        <pic:blipFill>
                          <a:blip r:embed="rId21"/>
                          <a:stretch>
                            <a:fillRect/>
                          </a:stretch>
                        </pic:blipFill>
                        <pic:spPr>
                          <a:xfrm>
                            <a:off x="0" y="0"/>
                            <a:ext cx="2240280" cy="1689007"/>
                          </a:xfrm>
                          <a:prstGeom prst="rect"/>
                        </pic:spPr>
                      </pic:pic>
                    </a:graphicData>
                  </a:graphic>
                </wp:inline>
              </w:drawing>
            </w:r>
          </w:p>
          <w:p>
            <w:pPr>
              <w:spacing w:before="0" w:after="20"/>
              <w:jc w:val="center"/>
            </w:pPr>
            <w:r>
              <w:rPr>
                <w:i/>
                <w:color w:val="555555"/>
                <w:sz w:val="15"/>
              </w:rPr>
              <w:t>What's New - v253.1 overview.</w:t>
            </w:r>
          </w:p>
        </w:tc>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2240280" cy="6451068"/>
                  <wp:docPr id="14" name="Picture 14"/>
                  <wp:cNvGraphicFramePr>
                    <a:graphicFrameLocks noChangeAspect="1"/>
                  </wp:cNvGraphicFramePr>
                  <a:graphic>
                    <a:graphicData uri="http://schemas.openxmlformats.org/drawingml/2006/picture">
                      <pic:pic>
                        <pic:nvPicPr>
                          <pic:cNvPr id="0" name="whats-new-v2531-expanded.jpg"/>
                          <pic:cNvPicPr/>
                        </pic:nvPicPr>
                        <pic:blipFill>
                          <a:blip r:embed="rId22"/>
                          <a:stretch>
                            <a:fillRect/>
                          </a:stretch>
                        </pic:blipFill>
                        <pic:spPr>
                          <a:xfrm>
                            <a:off x="0" y="0"/>
                            <a:ext cx="2240280" cy="6451068"/>
                          </a:xfrm>
                          <a:prstGeom prst="rect"/>
                        </pic:spPr>
                      </pic:pic>
                    </a:graphicData>
                  </a:graphic>
                </wp:inline>
              </w:drawing>
            </w:r>
          </w:p>
          <w:p>
            <w:pPr>
              <w:spacing w:before="0" w:after="20"/>
              <w:jc w:val="center"/>
            </w:pPr>
            <w:r>
              <w:rPr>
                <w:i/>
                <w:color w:val="555555"/>
                <w:sz w:val="15"/>
              </w:rPr>
              <w:t>Expanded v253.1 Workbook &amp; Reporting Update.</w:t>
            </w:r>
          </w:p>
        </w:tc>
      </w:tr>
    </w:tbl>
    <w:p>
      <w:pPr>
        <w:pStyle w:val="ListBullet"/>
        <w:spacing w:after="20"/>
      </w:pPr>
      <w:r>
        <w:t>Copy A5:M through the last actual record row (for example A5:M198 if row 198 is the last record).</w:t>
      </w:r>
    </w:p>
    <w:p>
      <w:pPr>
        <w:pStyle w:val="ListBullet"/>
        <w:spacing w:after="20"/>
      </w:pPr>
      <w:r>
        <w:t>Do not select unused yellow rows down to the red boundary. Include blank rows that occur between existing records.</w:t>
      </w:r>
    </w:p>
    <w:p>
      <w:pPr>
        <w:pStyle w:val="ListBullet"/>
        <w:spacing w:after="20"/>
      </w:pPr>
      <w:r>
        <w:t>Computer: Paste special -&gt; Values only. Mobile: regular Paste is acceptable when only A:M are selected.</w:t>
      </w:r>
    </w:p>
    <w:p>
      <w:pPr>
        <w:pStyle w:val="ListBullet"/>
        <w:spacing w:after="20"/>
      </w:pPr>
      <w:r>
        <w:t>Do not copy N:Z, headers, entire rows, entire sheets, reports, charts, or the red boundary.</w:t>
      </w:r>
    </w:p>
    <w:p>
      <w:pPr>
        <w:pStyle w:val="ListBullet"/>
        <w:spacing w:after="20"/>
      </w:pPr>
      <w:r>
        <w:t>No Carryover is needed merely to update. Carryover is for a fresh workbook after all 500 active record positions are actually filled.</w:t>
      </w:r>
    </w:p>
    <w:p>
      <w:r>
        <w:br w:type="page"/>
      </w:r>
    </w:p>
    <w:p>
      <w:pPr>
        <w:pStyle w:val="Heading1"/>
        <w:keepNext/>
      </w:pPr>
      <w:r>
        <w:rPr>
          <w:color w:val="D06600"/>
        </w:rPr>
        <w:t>8. Move Existing Records dialog</w:t>
      </w:r>
    </w:p>
    <w:p>
      <w:r>
        <w:t>The corrected mobile dialog opens at its true top, scrolls to its true bottom, keeps an accessible close control, and browser/Android Back closes the dialog before leaving StepCat.</w:t>
      </w:r>
    </w:p>
    <w:tbl>
      <w:tblPr>
        <w:tblW w:type="auto" w:w="0"/>
        <w:jc w:val="center"/>
        <w:tblLook w:firstColumn="1" w:firstRow="1" w:lastColumn="0" w:lastRow="0" w:noHBand="0" w:noVBand="1" w:val="04A0"/>
      </w:tblPr>
      <w:tblGrid>
        <w:gridCol w:w="10368"/>
      </w:tblGrid>
      <w:tr>
        <w:tc>
          <w:tcPr>
            <w:tcW w:type="dxa" w:w="10368"/>
            <w:tcBorders>
              <w:top w:val="nil"/>
              <w:left w:val="nil"/>
              <w:bottom w:val="nil"/>
              <w:right w:val="nil"/>
              <w:insideH w:val="nil"/>
              <w:insideV w:val="nil"/>
            </w:tcBorders>
            <w:tcMar>
              <w:top w:w="10" w:type="dxa"/>
              <w:start w:w="20" w:type="dxa"/>
              <w:bottom w:w="10" w:type="dxa"/>
              <w:end w:w="20" w:type="dxa"/>
            </w:tcMar>
          </w:tcPr>
          <w:p>
            <w:pPr>
              <w:spacing w:after="20"/>
              <w:jc w:val="center"/>
            </w:pPr>
            <w:r>
              <w:drawing>
                <wp:inline xmlns:a="http://schemas.openxmlformats.org/drawingml/2006/main" xmlns:pic="http://schemas.openxmlformats.org/drawingml/2006/picture">
                  <wp:extent cx="2606040" cy="6764614"/>
                  <wp:docPr id="15" name="Picture 15"/>
                  <wp:cNvGraphicFramePr>
                    <a:graphicFrameLocks noChangeAspect="1"/>
                  </wp:cNvGraphicFramePr>
                  <a:graphic>
                    <a:graphicData uri="http://schemas.openxmlformats.org/drawingml/2006/picture">
                      <pic:pic>
                        <pic:nvPicPr>
                          <pic:cNvPr id="0" name="35-move-existing-records.jpg"/>
                          <pic:cNvPicPr/>
                        </pic:nvPicPr>
                        <pic:blipFill>
                          <a:blip r:embed="rId23"/>
                          <a:stretch>
                            <a:fillRect/>
                          </a:stretch>
                        </pic:blipFill>
                        <pic:spPr>
                          <a:xfrm>
                            <a:off x="0" y="0"/>
                            <a:ext cx="2606040" cy="6764614"/>
                          </a:xfrm>
                          <a:prstGeom prst="rect"/>
                        </pic:spPr>
                      </pic:pic>
                    </a:graphicData>
                  </a:graphic>
                </wp:inline>
              </w:drawing>
            </w:r>
          </w:p>
          <w:p>
            <w:pPr>
              <w:spacing w:before="0" w:after="20"/>
              <w:jc w:val="center"/>
            </w:pPr>
            <w:r>
              <w:rPr>
                <w:i/>
                <w:color w:val="555555"/>
                <w:sz w:val="15"/>
              </w:rPr>
              <w:t>Move Existing Records with current A5:M transfer guidance and reachable controls.</w:t>
            </w:r>
          </w:p>
        </w:tc>
      </w:tr>
    </w:tbl>
    <w:p>
      <w:r>
        <w:br w:type="page"/>
      </w:r>
    </w:p>
    <w:p>
      <w:pPr>
        <w:pStyle w:val="Heading1"/>
        <w:keepNext/>
      </w:pPr>
      <w:r>
        <w:rPr>
          <w:color w:val="D06600"/>
        </w:rPr>
        <w:t>9. Google Sheets workbook - Instructions</w:t>
      </w:r>
    </w:p>
    <w:p>
      <w:r>
        <w:t>The public blank v253.1 workbook is used for workbook screenshots so no personal records appear in the documentation.</w:t>
      </w:r>
    </w:p>
    <w:tbl>
      <w:tblPr>
        <w:tblW w:type="auto" w:w="0"/>
        <w:jc w:val="center"/>
        <w:tblLook w:firstColumn="1" w:firstRow="1" w:lastColumn="0" w:lastRow="0" w:noHBand="0" w:noVBand="1" w:val="04A0"/>
      </w:tblPr>
      <w:tblGrid>
        <w:gridCol w:w="10368"/>
      </w:tblGrid>
      <w:tr>
        <w:tc>
          <w:tcPr>
            <w:tcW w:type="dxa" w:w="10368"/>
            <w:tcBorders>
              <w:top w:val="nil"/>
              <w:left w:val="nil"/>
              <w:bottom w:val="nil"/>
              <w:right w:val="nil"/>
              <w:insideH w:val="nil"/>
              <w:insideV w:val="nil"/>
            </w:tcBorders>
            <w:tcMar>
              <w:top w:w="10" w:type="dxa"/>
              <w:start w:w="20" w:type="dxa"/>
              <w:bottom w:w="10" w:type="dxa"/>
              <w:end w:w="20" w:type="dxa"/>
            </w:tcMar>
          </w:tcPr>
          <w:p>
            <w:pPr>
              <w:spacing w:after="20"/>
              <w:jc w:val="center"/>
            </w:pPr>
            <w:r>
              <w:drawing>
                <wp:inline xmlns:a="http://schemas.openxmlformats.org/drawingml/2006/main" xmlns:pic="http://schemas.openxmlformats.org/drawingml/2006/picture">
                  <wp:extent cx="5349240" cy="7232775"/>
                  <wp:docPr id="16" name="Picture 16"/>
                  <wp:cNvGraphicFramePr>
                    <a:graphicFrameLocks noChangeAspect="1"/>
                  </wp:cNvGraphicFramePr>
                  <a:graphic>
                    <a:graphicData uri="http://schemas.openxmlformats.org/drawingml/2006/picture">
                      <pic:pic>
                        <pic:nvPicPr>
                          <pic:cNvPr id="0" name="13-workbook-instructions.jpg"/>
                          <pic:cNvPicPr/>
                        </pic:nvPicPr>
                        <pic:blipFill>
                          <a:blip r:embed="rId24"/>
                          <a:stretch>
                            <a:fillRect/>
                          </a:stretch>
                        </pic:blipFill>
                        <pic:spPr>
                          <a:xfrm>
                            <a:off x="0" y="0"/>
                            <a:ext cx="5349240" cy="7232775"/>
                          </a:xfrm>
                          <a:prstGeom prst="rect"/>
                        </pic:spPr>
                      </pic:pic>
                    </a:graphicData>
                  </a:graphic>
                </wp:inline>
              </w:drawing>
            </w:r>
          </w:p>
          <w:p>
            <w:pPr>
              <w:spacing w:before="0" w:after="20"/>
              <w:jc w:val="center"/>
            </w:pPr>
            <w:r>
              <w:rPr>
                <w:i/>
                <w:color w:val="555555"/>
                <w:sz w:val="15"/>
              </w:rPr>
              <w:t>Upper Instructions sheet - v253.1 record rules and workflow guidance.</w:t>
            </w:r>
          </w:p>
        </w:tc>
      </w:tr>
    </w:tbl>
    <w:p>
      <w:r>
        <w:br w:type="page"/>
      </w:r>
    </w:p>
    <w:p>
      <w:pPr>
        <w:pStyle w:val="Heading1"/>
        <w:keepNext/>
      </w:pPr>
      <w:r>
        <w:rPr>
          <w:color w:val="D06600"/>
        </w:rPr>
        <w:t>9A. Carryover alternative</w:t>
      </w:r>
    </w:p>
    <w:tbl>
      <w:tblPr>
        <w:tblW w:type="auto" w:w="0"/>
        <w:jc w:val="center"/>
        <w:tblLook w:firstColumn="1" w:firstRow="1" w:lastColumn="0" w:lastRow="0" w:noHBand="0" w:noVBand="1" w:val="04A0"/>
      </w:tblPr>
      <w:tblGrid>
        <w:gridCol w:w="10368"/>
      </w:tblGrid>
      <w:tr>
        <w:tc>
          <w:tcPr>
            <w:tcW w:type="dxa" w:w="10368"/>
            <w:tcBorders>
              <w:top w:val="nil"/>
              <w:left w:val="nil"/>
              <w:bottom w:val="nil"/>
              <w:right w:val="nil"/>
              <w:insideH w:val="nil"/>
              <w:insideV w:val="nil"/>
            </w:tcBorders>
            <w:tcMar>
              <w:top w:w="10" w:type="dxa"/>
              <w:start w:w="20" w:type="dxa"/>
              <w:bottom w:w="10" w:type="dxa"/>
              <w:end w:w="20" w:type="dxa"/>
            </w:tcMar>
          </w:tcPr>
          <w:p>
            <w:pPr>
              <w:spacing w:after="20"/>
              <w:jc w:val="center"/>
            </w:pPr>
            <w:r>
              <w:drawing>
                <wp:inline xmlns:a="http://schemas.openxmlformats.org/drawingml/2006/main" xmlns:pic="http://schemas.openxmlformats.org/drawingml/2006/picture">
                  <wp:extent cx="5943600" cy="1868984"/>
                  <wp:docPr id="17" name="Picture 17"/>
                  <wp:cNvGraphicFramePr>
                    <a:graphicFrameLocks noChangeAspect="1"/>
                  </wp:cNvGraphicFramePr>
                  <a:graphic>
                    <a:graphicData uri="http://schemas.openxmlformats.org/drawingml/2006/picture">
                      <pic:pic>
                        <pic:nvPicPr>
                          <pic:cNvPr id="0" name="13-workbook-instructions-lower.jpg"/>
                          <pic:cNvPicPr/>
                        </pic:nvPicPr>
                        <pic:blipFill>
                          <a:blip r:embed="rId25"/>
                          <a:stretch>
                            <a:fillRect/>
                          </a:stretch>
                        </pic:blipFill>
                        <pic:spPr>
                          <a:xfrm>
                            <a:off x="0" y="0"/>
                            <a:ext cx="5943600" cy="1868984"/>
                          </a:xfrm>
                          <a:prstGeom prst="rect"/>
                        </pic:spPr>
                      </pic:pic>
                    </a:graphicData>
                  </a:graphic>
                </wp:inline>
              </w:drawing>
            </w:r>
          </w:p>
          <w:p>
            <w:pPr>
              <w:spacing w:before="0" w:after="20"/>
              <w:jc w:val="center"/>
            </w:pPr>
            <w:r>
              <w:rPr>
                <w:i/>
                <w:color w:val="555555"/>
                <w:sz w:val="15"/>
              </w:rPr>
              <w:t>Lower Instructions sheet - Carryover alternative and its safeguards.</w:t>
            </w:r>
          </w:p>
        </w:tc>
      </w:tr>
    </w:tbl>
    <w:tbl>
      <w:tblPr>
        <w:tblW w:type="auto" w:w="0"/>
        <w:jc w:val="center"/>
        <w:tblLook w:firstColumn="1" w:firstRow="1" w:lastColumn="0" w:lastRow="0" w:noHBand="0" w:noVBand="1" w:val="04A0"/>
      </w:tblPr>
      <w:tblGrid>
        <w:gridCol w:w="10368"/>
      </w:tblGrid>
      <w:tr>
        <w:tc>
          <w:tcPr>
            <w:tcW w:type="dxa" w:w="10368"/>
            <w:shd w:fill="FCE4D6"/>
            <w:tcMar>
              <w:top w:w="80" w:type="dxa"/>
              <w:start w:w="100" w:type="dxa"/>
              <w:bottom w:w="80" w:type="dxa"/>
              <w:end w:w="100" w:type="dxa"/>
            </w:tcMar>
          </w:tcPr>
          <w:p>
            <w:pPr>
              <w:spacing w:after="0"/>
            </w:pPr>
            <w:r>
              <w:rPr>
                <w:b/>
              </w:rPr>
              <w:t xml:space="preserve">Carryover is an alternative, not an update step: </w:t>
            </w:r>
            <w:r>
              <w:t>If you transfer prior A:M records into the current workbook, leave Carryover values at zero. Use Carryover only when starting a fresh record list without transferring the prior rows.</w:t>
            </w:r>
          </w:p>
        </w:tc>
      </w:tr>
    </w:tbl>
    <w:p>
      <w:pPr>
        <w:sectPr>
          <w:footerReference w:type="default" r:id="rId32"/>
          <w:pgSz w:w="12240" w:h="15840"/>
          <w:pgMar w:top="720" w:right="936" w:bottom="720" w:left="936" w:header="360" w:footer="360" w:gutter="0"/>
          <w:cols w:space="720"/>
          <w:docGrid w:linePitch="360"/>
        </w:sectPr>
      </w:pPr>
    </w:p>
    <w:p>
      <w:pPr>
        <w:pStyle w:val="Heading1"/>
        <w:keepNext/>
      </w:pPr>
      <w:r>
        <w:rPr>
          <w:color w:val="D06600"/>
        </w:rPr>
        <w:t>10. Game Records A:M and N:Z</w:t>
      </w:r>
    </w:p>
    <w:tbl>
      <w:tblPr>
        <w:tblW w:type="auto" w:w="0"/>
        <w:jc w:val="center"/>
        <w:tblLook w:firstColumn="1" w:firstRow="1" w:lastColumn="0" w:lastRow="0" w:noHBand="0" w:noVBand="1" w:val="04A0"/>
      </w:tblPr>
      <w:tblGrid>
        <w:gridCol w:w="14400"/>
      </w:tblGrid>
      <w:tr>
        <w:tc>
          <w:tcPr>
            <w:tcW w:type="dxa" w:w="14400"/>
            <w:tcBorders>
              <w:top w:val="nil"/>
              <w:left w:val="nil"/>
              <w:bottom w:val="nil"/>
              <w:right w:val="nil"/>
              <w:insideH w:val="nil"/>
              <w:insideV w:val="nil"/>
            </w:tcBorders>
            <w:tcMar>
              <w:top w:w="10" w:type="dxa"/>
              <w:start w:w="20" w:type="dxa"/>
              <w:bottom w:w="10" w:type="dxa"/>
              <w:end w:w="20" w:type="dxa"/>
            </w:tcMar>
          </w:tcPr>
          <w:p>
            <w:pPr>
              <w:spacing w:after="20"/>
              <w:jc w:val="center"/>
            </w:pPr>
            <w:r>
              <w:drawing>
                <wp:inline xmlns:a="http://schemas.openxmlformats.org/drawingml/2006/main" xmlns:pic="http://schemas.openxmlformats.org/drawingml/2006/picture">
                  <wp:extent cx="8458200" cy="2164110"/>
                  <wp:docPr id="18" name="Picture 18"/>
                  <wp:cNvGraphicFramePr>
                    <a:graphicFrameLocks noChangeAspect="1"/>
                  </wp:cNvGraphicFramePr>
                  <a:graphic>
                    <a:graphicData uri="http://schemas.openxmlformats.org/drawingml/2006/picture">
                      <pic:pic>
                        <pic:nvPicPr>
                          <pic:cNvPr id="0" name="14-game-records-top.jpg"/>
                          <pic:cNvPicPr/>
                        </pic:nvPicPr>
                        <pic:blipFill>
                          <a:blip r:embed="rId26"/>
                          <a:stretch>
                            <a:fillRect/>
                          </a:stretch>
                        </pic:blipFill>
                        <pic:spPr>
                          <a:xfrm>
                            <a:off x="0" y="0"/>
                            <a:ext cx="8458200" cy="2164110"/>
                          </a:xfrm>
                          <a:prstGeom prst="rect"/>
                        </pic:spPr>
                      </pic:pic>
                    </a:graphicData>
                  </a:graphic>
                </wp:inline>
              </w:drawing>
            </w:r>
          </w:p>
          <w:p>
            <w:pPr>
              <w:spacing w:before="0" w:after="20"/>
              <w:jc w:val="center"/>
            </w:pPr>
            <w:r>
              <w:rPr>
                <w:i/>
                <w:color w:val="555555"/>
                <w:sz w:val="15"/>
              </w:rPr>
              <w:t>Game Records A:M - input columns only.</w:t>
            </w:r>
          </w:p>
        </w:tc>
      </w:tr>
    </w:tbl>
    <w:tbl>
      <w:tblPr>
        <w:tblW w:type="auto" w:w="0"/>
        <w:jc w:val="center"/>
        <w:tblLook w:firstColumn="1" w:firstRow="1" w:lastColumn="0" w:lastRow="0" w:noHBand="0" w:noVBand="1" w:val="04A0"/>
      </w:tblPr>
      <w:tblGrid>
        <w:gridCol w:w="14400"/>
      </w:tblGrid>
      <w:tr>
        <w:tc>
          <w:tcPr>
            <w:tcW w:type="dxa" w:w="14400"/>
            <w:tcBorders>
              <w:top w:val="nil"/>
              <w:left w:val="nil"/>
              <w:bottom w:val="nil"/>
              <w:right w:val="nil"/>
              <w:insideH w:val="nil"/>
              <w:insideV w:val="nil"/>
            </w:tcBorders>
            <w:tcMar>
              <w:top w:w="10" w:type="dxa"/>
              <w:start w:w="20" w:type="dxa"/>
              <w:bottom w:w="10" w:type="dxa"/>
              <w:end w:w="20" w:type="dxa"/>
            </w:tcMar>
          </w:tcPr>
          <w:p>
            <w:pPr>
              <w:spacing w:after="20"/>
              <w:jc w:val="center"/>
            </w:pPr>
            <w:r>
              <w:drawing>
                <wp:inline xmlns:a="http://schemas.openxmlformats.org/drawingml/2006/main" xmlns:pic="http://schemas.openxmlformats.org/drawingml/2006/picture">
                  <wp:extent cx="8458200" cy="2175123"/>
                  <wp:docPr id="19" name="Picture 19"/>
                  <wp:cNvGraphicFramePr>
                    <a:graphicFrameLocks noChangeAspect="1"/>
                  </wp:cNvGraphicFramePr>
                  <a:graphic>
                    <a:graphicData uri="http://schemas.openxmlformats.org/drawingml/2006/picture">
                      <pic:pic>
                        <pic:nvPicPr>
                          <pic:cNvPr id="0" name="15-game-records-scrolled.jpg"/>
                          <pic:cNvPicPr/>
                        </pic:nvPicPr>
                        <pic:blipFill>
                          <a:blip r:embed="rId27"/>
                          <a:stretch>
                            <a:fillRect/>
                          </a:stretch>
                        </pic:blipFill>
                        <pic:spPr>
                          <a:xfrm>
                            <a:off x="0" y="0"/>
                            <a:ext cx="8458200" cy="2175123"/>
                          </a:xfrm>
                          <a:prstGeom prst="rect"/>
                        </pic:spPr>
                      </pic:pic>
                    </a:graphicData>
                  </a:graphic>
                </wp:inline>
              </w:drawing>
            </w:r>
          </w:p>
          <w:p>
            <w:pPr>
              <w:spacing w:before="0" w:after="20"/>
              <w:jc w:val="center"/>
            </w:pPr>
            <w:r>
              <w:rPr>
                <w:i/>
                <w:color w:val="555555"/>
                <w:sz w:val="15"/>
              </w:rPr>
              <w:t>Game Records A:M farther down the sheet with rows 1-4 frozen.</w:t>
            </w:r>
          </w:p>
        </w:tc>
      </w:tr>
    </w:tbl>
    <w:tbl>
      <w:tblPr>
        <w:tblW w:type="auto" w:w="0"/>
        <w:jc w:val="center"/>
        <w:tblLook w:firstColumn="1" w:firstRow="1" w:lastColumn="0" w:lastRow="0" w:noHBand="0" w:noVBand="1" w:val="04A0"/>
      </w:tblPr>
      <w:tblGrid>
        <w:gridCol w:w="14400"/>
      </w:tblGrid>
      <w:tr>
        <w:tc>
          <w:tcPr>
            <w:tcW w:type="dxa" w:w="14400"/>
            <w:tcBorders>
              <w:top w:val="nil"/>
              <w:left w:val="nil"/>
              <w:bottom w:val="nil"/>
              <w:right w:val="nil"/>
              <w:insideH w:val="nil"/>
              <w:insideV w:val="nil"/>
            </w:tcBorders>
            <w:tcMar>
              <w:top w:w="10" w:type="dxa"/>
              <w:start w:w="20" w:type="dxa"/>
              <w:bottom w:w="10" w:type="dxa"/>
              <w:end w:w="20" w:type="dxa"/>
            </w:tcMar>
          </w:tcPr>
          <w:p>
            <w:pPr>
              <w:spacing w:after="20"/>
              <w:jc w:val="center"/>
            </w:pPr>
            <w:r>
              <w:drawing>
                <wp:inline xmlns:a="http://schemas.openxmlformats.org/drawingml/2006/main" xmlns:pic="http://schemas.openxmlformats.org/drawingml/2006/picture">
                  <wp:extent cx="8458200" cy="2191643"/>
                  <wp:docPr id="20" name="Picture 20"/>
                  <wp:cNvGraphicFramePr>
                    <a:graphicFrameLocks noChangeAspect="1"/>
                  </wp:cNvGraphicFramePr>
                  <a:graphic>
                    <a:graphicData uri="http://schemas.openxmlformats.org/drawingml/2006/picture">
                      <pic:pic>
                        <pic:nvPicPr>
                          <pic:cNvPr id="0" name="16-formula-columns.jpg"/>
                          <pic:cNvPicPr/>
                        </pic:nvPicPr>
                        <pic:blipFill>
                          <a:blip r:embed="rId28"/>
                          <a:stretch>
                            <a:fillRect/>
                          </a:stretch>
                        </pic:blipFill>
                        <pic:spPr>
                          <a:xfrm>
                            <a:off x="0" y="0"/>
                            <a:ext cx="8458200" cy="2191643"/>
                          </a:xfrm>
                          <a:prstGeom prst="rect"/>
                        </pic:spPr>
                      </pic:pic>
                    </a:graphicData>
                  </a:graphic>
                </wp:inline>
              </w:drawing>
            </w:r>
          </w:p>
          <w:p>
            <w:pPr>
              <w:spacing w:before="0" w:after="20"/>
              <w:jc w:val="center"/>
            </w:pPr>
            <w:r>
              <w:rPr>
                <w:i/>
                <w:color w:val="555555"/>
                <w:sz w:val="15"/>
              </w:rPr>
              <w:t>N:Z protected formula columns. Do not edit or paste into these columns.</w:t>
            </w:r>
          </w:p>
        </w:tc>
      </w:tr>
    </w:tbl>
    <w:p>
      <w:r>
        <w:br w:type="page"/>
      </w:r>
    </w:p>
    <w:p>
      <w:pPr>
        <w:pStyle w:val="Heading1"/>
        <w:keepNext/>
      </w:pPr>
      <w:r>
        <w:rPr>
          <w:color w:val="D06600"/>
        </w:rPr>
        <w:t>11. Summary and Best Results</w:t>
      </w:r>
    </w:p>
    <w:tbl>
      <w:tblPr>
        <w:tblW w:type="auto" w:w="0"/>
        <w:jc w:val="center"/>
        <w:tblLayout w:type="fixed"/>
        <w:tblLook w:firstColumn="1" w:firstRow="1" w:lastColumn="0" w:lastRow="0" w:noHBand="0" w:noVBand="1" w:val="04A0"/>
      </w:tblPr>
      <w:tblGrid>
        <w:gridCol w:w="7200"/>
        <w:gridCol w:w="7200"/>
      </w:tblGrid>
      <w:tr>
        <w:tc>
          <w:tcPr>
            <w:tcW w:type="dxa" w:w="7200"/>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4114800" cy="1009948"/>
                  <wp:docPr id="21" name="Picture 21"/>
                  <wp:cNvGraphicFramePr>
                    <a:graphicFrameLocks noChangeAspect="1"/>
                  </wp:cNvGraphicFramePr>
                  <a:graphic>
                    <a:graphicData uri="http://schemas.openxmlformats.org/drawingml/2006/picture">
                      <pic:pic>
                        <pic:nvPicPr>
                          <pic:cNvPr id="0" name="20-summary.jpg"/>
                          <pic:cNvPicPr/>
                        </pic:nvPicPr>
                        <pic:blipFill>
                          <a:blip r:embed="rId29"/>
                          <a:stretch>
                            <a:fillRect/>
                          </a:stretch>
                        </pic:blipFill>
                        <pic:spPr>
                          <a:xfrm>
                            <a:off x="0" y="0"/>
                            <a:ext cx="4114800" cy="1009948"/>
                          </a:xfrm>
                          <a:prstGeom prst="rect"/>
                        </pic:spPr>
                      </pic:pic>
                    </a:graphicData>
                  </a:graphic>
                </wp:inline>
              </w:drawing>
            </w:r>
          </w:p>
          <w:p>
            <w:pPr>
              <w:spacing w:before="0" w:after="20"/>
              <w:jc w:val="center"/>
            </w:pPr>
            <w:r>
              <w:rPr>
                <w:i/>
                <w:color w:val="555555"/>
                <w:sz w:val="15"/>
              </w:rPr>
              <w:t>Summary dashboard with exact counts and financial totals.</w:t>
            </w:r>
          </w:p>
        </w:tc>
        <w:tc>
          <w:tcPr>
            <w:tcW w:type="dxa" w:w="7200"/>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4114800" cy="1283196"/>
                  <wp:docPr id="22" name="Picture 22"/>
                  <wp:cNvGraphicFramePr>
                    <a:graphicFrameLocks noChangeAspect="1"/>
                  </wp:cNvGraphicFramePr>
                  <a:graphic>
                    <a:graphicData uri="http://schemas.openxmlformats.org/drawingml/2006/picture">
                      <pic:pic>
                        <pic:nvPicPr>
                          <pic:cNvPr id="0" name="21-summary-tally.jpg"/>
                          <pic:cNvPicPr/>
                        </pic:nvPicPr>
                        <pic:blipFill>
                          <a:blip r:embed="rId30"/>
                          <a:stretch>
                            <a:fillRect/>
                          </a:stretch>
                        </pic:blipFill>
                        <pic:spPr>
                          <a:xfrm>
                            <a:off x="0" y="0"/>
                            <a:ext cx="4114800" cy="1283196"/>
                          </a:xfrm>
                          <a:prstGeom prst="rect"/>
                        </pic:spPr>
                      </pic:pic>
                    </a:graphicData>
                  </a:graphic>
                </wp:inline>
              </w:drawing>
            </w:r>
          </w:p>
          <w:p>
            <w:pPr>
              <w:spacing w:before="0" w:after="20"/>
              <w:jc w:val="center"/>
            </w:pPr>
            <w:r>
              <w:rPr>
                <w:i/>
                <w:color w:val="555555"/>
                <w:sz w:val="15"/>
              </w:rPr>
              <w:t>Running Tally with exact counts and shares.</w:t>
            </w:r>
          </w:p>
        </w:tc>
      </w:tr>
    </w:tbl>
    <w:tbl>
      <w:tblPr>
        <w:tblW w:type="auto" w:w="0"/>
        <w:jc w:val="center"/>
        <w:tblLook w:firstColumn="1" w:firstRow="1" w:lastColumn="0" w:lastRow="0" w:noHBand="0" w:noVBand="1" w:val="04A0"/>
      </w:tblPr>
      <w:tblGrid>
        <w:gridCol w:w="14400"/>
      </w:tblGrid>
      <w:tr>
        <w:tc>
          <w:tcPr>
            <w:tcW w:type="dxa" w:w="14400"/>
            <w:tcBorders>
              <w:top w:val="nil"/>
              <w:left w:val="nil"/>
              <w:bottom w:val="nil"/>
              <w:right w:val="nil"/>
              <w:insideH w:val="nil"/>
              <w:insideV w:val="nil"/>
            </w:tcBorders>
            <w:tcMar>
              <w:top w:w="10" w:type="dxa"/>
              <w:start w:w="20" w:type="dxa"/>
              <w:bottom w:w="10" w:type="dxa"/>
              <w:end w:w="20" w:type="dxa"/>
            </w:tcMar>
          </w:tcPr>
          <w:p>
            <w:pPr>
              <w:spacing w:after="20"/>
              <w:jc w:val="center"/>
            </w:pPr>
            <w:r>
              <w:drawing>
                <wp:inline xmlns:a="http://schemas.openxmlformats.org/drawingml/2006/main" xmlns:pic="http://schemas.openxmlformats.org/drawingml/2006/picture">
                  <wp:extent cx="8412480" cy="5438537"/>
                  <wp:docPr id="23" name="Picture 23"/>
                  <wp:cNvGraphicFramePr>
                    <a:graphicFrameLocks noChangeAspect="1"/>
                  </wp:cNvGraphicFramePr>
                  <a:graphic>
                    <a:graphicData uri="http://schemas.openxmlformats.org/drawingml/2006/picture">
                      <pic:pic>
                        <pic:nvPicPr>
                          <pic:cNvPr id="0" name="23-best-results.jpg"/>
                          <pic:cNvPicPr/>
                        </pic:nvPicPr>
                        <pic:blipFill>
                          <a:blip r:embed="rId31"/>
                          <a:stretch>
                            <a:fillRect/>
                          </a:stretch>
                        </pic:blipFill>
                        <pic:spPr>
                          <a:xfrm>
                            <a:off x="0" y="0"/>
                            <a:ext cx="8412480" cy="5438537"/>
                          </a:xfrm>
                          <a:prstGeom prst="rect"/>
                        </pic:spPr>
                      </pic:pic>
                    </a:graphicData>
                  </a:graphic>
                </wp:inline>
              </w:drawing>
            </w:r>
          </w:p>
          <w:p>
            <w:pPr>
              <w:spacing w:before="0" w:after="20"/>
              <w:jc w:val="center"/>
            </w:pPr>
            <w:r>
              <w:rPr>
                <w:i/>
                <w:color w:val="555555"/>
                <w:sz w:val="15"/>
              </w:rPr>
              <w:t>Best Results - Live Reference Table - v253.1 with all current metrics.</w:t>
            </w:r>
          </w:p>
        </w:tc>
      </w:tr>
    </w:tbl>
    <w:p>
      <w:pPr>
        <w:sectPr>
          <w:footerReference w:type="default" r:id="rId33"/>
          <w:pgSz w:w="15840" w:h="12240" w:orient="landscape"/>
          <w:pgMar w:top="648" w:right="720" w:bottom="648" w:left="720" w:header="360" w:footer="360" w:gutter="0"/>
          <w:cols w:space="720"/>
          <w:docGrid w:linePitch="360"/>
        </w:sectPr>
      </w:pPr>
    </w:p>
    <w:p>
      <w:pPr>
        <w:pStyle w:val="Heading1"/>
        <w:keepNext/>
      </w:pPr>
      <w:r>
        <w:rPr>
          <w:color w:val="D06600"/>
        </w:rPr>
        <w:t>12. Installation, feedback, and troubleshooting</w:t>
      </w:r>
    </w:p>
    <w:p>
      <w:pPr>
        <w:pStyle w:val="Heading2"/>
        <w:keepNext/>
      </w:pPr>
      <w:r>
        <w:rPr>
          <w:color w:val="2D2D2D"/>
        </w:rPr>
        <w:t>Installation</w:t>
      </w:r>
    </w:p>
    <w:p>
      <w:r>
        <w:t>Use the hosted StepCat page in a supported browser. When installation is unavailable, use the Installation information and Add to Home Screen guidance. A local test page may not offer the same installation controls as the hosted site.</w:t>
      </w:r>
    </w:p>
    <w:p>
      <w:pPr>
        <w:pStyle w:val="Heading2"/>
        <w:keepNext/>
      </w:pPr>
      <w:r>
        <w:rPr>
          <w:color w:val="2D2D2D"/>
        </w:rPr>
        <w:t>Feedback</w:t>
      </w:r>
    </w:p>
    <w:p>
      <w:r>
        <w:t>Write Feedback prepares a message for your email app. Review the recipient, subject, and message before sending.</w:t>
      </w:r>
    </w:p>
    <w:p>
      <w:pPr>
        <w:pStyle w:val="Heading2"/>
        <w:keepNext/>
      </w:pPr>
      <w:r>
        <w:rPr>
          <w:color w:val="2D2D2D"/>
        </w:rPr>
        <w:t>Troubleshooting</w:t>
      </w:r>
    </w:p>
    <w:p>
      <w:pPr>
        <w:spacing w:after="80"/>
      </w:pPr>
      <w:r>
        <w:rPr>
          <w:b/>
        </w:rPr>
        <w:t xml:space="preserve">Calculate does not continue: </w:t>
      </w:r>
      <w:r>
        <w:t>Correct the highlighted field. StepCat identifies the first blocking value.</w:t>
      </w:r>
    </w:p>
    <w:p>
      <w:pPr>
        <w:spacing w:after="80"/>
      </w:pPr>
      <w:r>
        <w:rPr>
          <w:b/>
        </w:rPr>
        <w:t xml:space="preserve">Free Game fee is rejected: </w:t>
      </w:r>
      <w:r>
        <w:t>Use Entry Fee 0 for Free Game / Chips, or choose another Payment / Record Type.</w:t>
      </w:r>
    </w:p>
    <w:p>
      <w:pPr>
        <w:spacing w:after="80"/>
      </w:pPr>
      <w:r>
        <w:rPr>
          <w:b/>
        </w:rPr>
        <w:t xml:space="preserve">Membership or Entry Mode resets: </w:t>
      </w:r>
      <w:r>
        <w:t>Enable the matching Remember setting or make a fresh selection.</w:t>
      </w:r>
    </w:p>
    <w:p>
      <w:pPr>
        <w:spacing w:after="80"/>
      </w:pPr>
      <w:r>
        <w:rPr>
          <w:b/>
        </w:rPr>
        <w:t xml:space="preserve">Saved entry appears as unfinished work: </w:t>
      </w:r>
      <w:r>
        <w:t>Current v253.1 removes a completed saved record from unfinished-draft recovery while leaving the completed fields visible for review during the current session.</w:t>
      </w:r>
    </w:p>
    <w:p>
      <w:pPr>
        <w:spacing w:after="80"/>
      </w:pPr>
      <w:r>
        <w:rPr>
          <w:b/>
        </w:rPr>
        <w:t xml:space="preserve">Copied row does not calculate: </w:t>
      </w:r>
      <w:r>
        <w:t>Paste into the destination column-A cell and only across A:M. N:Z should calculate automatically.</w:t>
      </w:r>
    </w:p>
    <w:p>
      <w:pPr>
        <w:spacing w:after="80"/>
      </w:pPr>
      <w:r>
        <w:rPr>
          <w:b/>
        </w:rPr>
        <w:t xml:space="preserve">Switching devices: </w:t>
      </w:r>
      <w:r>
        <w:t>Open the same Google Sheet on the other device. StepCat Saved History, settings, and unfinished fields do not automatically transfer.</w:t>
      </w:r>
    </w:p>
    <w:p>
      <w:pPr>
        <w:spacing w:after="80"/>
      </w:pPr>
      <w:r>
        <w:rPr>
          <w:b/>
        </w:rPr>
        <w:t xml:space="preserve">Move Existing Records behavior: </w:t>
      </w:r>
      <w:r>
        <w:t>The current dialog keeps Close reachable, supports full scrolling, and browser/Android Back closes the dialog before navigating away.</w:t>
      </w:r>
    </w:p>
    <w:tbl>
      <w:tblPr>
        <w:tblW w:type="auto" w:w="0"/>
        <w:jc w:val="center"/>
        <w:tblLook w:firstColumn="1" w:firstRow="1" w:lastColumn="0" w:lastRow="0" w:noHBand="0" w:noVBand="1" w:val="04A0"/>
      </w:tblPr>
      <w:tblGrid>
        <w:gridCol w:w="10368"/>
      </w:tblGrid>
      <w:tr>
        <w:tc>
          <w:tcPr>
            <w:tcW w:type="dxa" w:w="10368"/>
            <w:shd w:fill="E2F0D9"/>
            <w:tcMar>
              <w:top w:w="80" w:type="dxa"/>
              <w:start w:w="100" w:type="dxa"/>
              <w:bottom w:w="80" w:type="dxa"/>
              <w:end w:w="100" w:type="dxa"/>
            </w:tcMar>
          </w:tcPr>
          <w:p>
            <w:pPr>
              <w:spacing w:after="0"/>
            </w:pPr>
            <w:r>
              <w:rPr>
                <w:b/>
              </w:rPr>
              <w:t xml:space="preserve">Release check: </w:t>
            </w:r>
            <w:r>
              <w:t>After deployment, close old StepCat tabs/apps, reopen the hosted site, confirm v253.1 is displayed, open the public v253.1 workbook link, and verify that the current screenshots and downloadable guides load.</w:t>
            </w:r>
          </w:p>
        </w:tc>
      </w:tr>
    </w:tbl>
    <w:sectPr w:rsidR="00FC693F" w:rsidRPr="0006063C" w:rsidSect="00034616">
      <w:footerReference w:type="default" r:id="rId34"/>
      <w:pgSz w:w="12240" w:h="15840"/>
      <w:pgMar w:top="720" w:right="936" w:bottom="720"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StepCat v253.1 - Quick Start Guide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StepCat v253.1 - Quick Start Guide</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StepCat v253.1 - Quick Start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footer" Target="footer1.xml"/><Relationship Id="rId33" Type="http://schemas.openxmlformats.org/officeDocument/2006/relationships/footer" Target="footer2.xml"/><Relationship Id="rId3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