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26.png" ContentType="image/jpeg"/>
  <Override PartName="/word/media/image27.png" ContentType="image/jpeg"/>
  <Override PartName="/word/media/image28.png" ContentType="image/jpeg"/>
  <Override PartName="/word/media/image2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368"/>
      </w:tblGrid>
      <w:tr>
        <w:tc>
          <w:tcPr>
            <w:tcW w:type="dxa" w:w="10368"/>
            <w:shd w:fill="1D3243"/>
            <w:tcMar>
              <w:top w:w="320" w:type="dxa"/>
              <w:start w:w="220" w:type="dxa"/>
              <w:bottom w:w="320" w:type="dxa"/>
              <w:end w:w="220" w:type="dxa"/>
            </w:tcMar>
          </w:tcPr>
          <w:p>
            <w:pPr>
              <w:jc w:val="center"/>
            </w:pPr>
            <w:r>
              <w:rPr>
                <w:b/>
                <w:color w:val="FFB240"/>
                <w:sz w:val="64"/>
              </w:rPr>
              <w:t>StepCat</w:t>
            </w:r>
          </w:p>
          <w:p>
            <w:pPr>
              <w:jc w:val="center"/>
            </w:pPr>
            <w:r>
              <w:rPr>
                <w:b/>
                <w:color w:val="FFFFFF"/>
                <w:sz w:val="38"/>
              </w:rPr>
              <w:t>Payout Calculator - Quick Start Guide</w:t>
            </w:r>
          </w:p>
          <w:p>
            <w:pPr>
              <w:jc w:val="center"/>
            </w:pPr>
            <w:r>
              <w:rPr>
                <w:color w:val="EBEBEB"/>
                <w:sz w:val="24"/>
              </w:rPr>
              <w:t>StepCat Calculator v253.1 + Profitability Workbook v253.2</w:t>
            </w:r>
          </w:p>
          <w:p>
            <w:pPr>
              <w:jc w:val="center"/>
            </w:pPr>
            <w:r>
              <w:rPr>
                <w:color w:val="FFD791"/>
                <w:sz w:val="21"/>
              </w:rPr>
              <w:t>August 23, 2026 workbook v253.2 finalization update</w:t>
            </w:r>
          </w:p>
        </w:tc>
      </w:tr>
    </w:tbl>
    <w:p/>
    <w:tbl>
      <w:tblPr>
        <w:tblW w:type="auto" w:w="0"/>
        <w:jc w:val="center"/>
        <w:tblLook w:firstColumn="1" w:firstRow="1" w:lastColumn="0" w:lastRow="0" w:noHBand="0" w:noVBand="1" w:val="04A0"/>
      </w:tblPr>
      <w:tblGrid>
        <w:gridCol w:w="10368"/>
      </w:tblGrid>
      <w:tr>
        <w:tc>
          <w:tcPr>
            <w:tcW w:type="dxa" w:w="10368"/>
            <w:shd w:fill="E2F0D9"/>
            <w:tcMar>
              <w:top w:w="80" w:type="dxa"/>
              <w:start w:w="100" w:type="dxa"/>
              <w:bottom w:w="80" w:type="dxa"/>
              <w:end w:w="100" w:type="dxa"/>
            </w:tcMar>
          </w:tcPr>
          <w:p>
            <w:pPr>
              <w:spacing w:after="0"/>
            </w:pPr>
            <w:r>
              <w:rPr>
                <w:b/>
              </w:rPr>
              <w:t xml:space="preserve">Release note: </w:t>
            </w:r>
            <w:r>
              <w:t>Workbook v253.2 is the current recommended workbook with StepCat Calculator v253.1. It retains the v253.1 reporting and mobile-workflow refinements and finalizes remaining row-height consistency issues in Record Review and Best Results.</w:t>
            </w:r>
          </w:p>
        </w:tc>
      </w:tr>
    </w:tbl>
    <w:p>
      <w:pPr>
        <w:jc w:val="center"/>
      </w:pPr>
      <w:r>
        <w:t>Calculator screenshots reflect the current StepCat v253.1 interface. Workbook screenshots remain genuine captures. The Record Review and Best Results screenshots reflect the corrected Workbook v253.2, and the mobile row-insertion sequence is a genuine capture from the blank public Workbook v253.2.</w:t>
      </w:r>
    </w:p>
    <w:p>
      <w:r>
        <w:br w:type="page"/>
      </w:r>
    </w:p>
    <w:p>
      <w:pPr>
        <w:pStyle w:val="Heading1"/>
        <w:keepNext/>
      </w:pPr>
      <w:r>
        <w:rPr>
          <w:color w:val="D06600"/>
        </w:rPr>
        <w:t>Contents</w:t>
      </w:r>
    </w:p>
    <w:p>
      <w:pPr>
        <w:pStyle w:val="ListBullet"/>
        <w:spacing w:after="20"/>
      </w:pPr>
      <w:r>
        <w:t>1. Four-step entry workflow</w:t>
      </w:r>
    </w:p>
    <w:p>
      <w:pPr>
        <w:pStyle w:val="ListBullet"/>
        <w:spacing w:after="20"/>
      </w:pPr>
      <w:r>
        <w:t>2. Game Details and Calculation Information</w:t>
      </w:r>
    </w:p>
    <w:p>
      <w:pPr>
        <w:pStyle w:val="ListBullet"/>
        <w:spacing w:after="20"/>
      </w:pPr>
      <w:r>
        <w:t>3. Review, Calculate &amp; Save</w:t>
      </w:r>
    </w:p>
    <w:p>
      <w:pPr>
        <w:pStyle w:val="ListBullet"/>
        <w:spacing w:after="20"/>
      </w:pPr>
      <w:r>
        <w:t>4. Settings</w:t>
      </w:r>
    </w:p>
    <w:p>
      <w:pPr>
        <w:pStyle w:val="ListBullet"/>
        <w:spacing w:after="20"/>
      </w:pPr>
      <w:r>
        <w:t>5. Help &amp; Resources</w:t>
      </w:r>
    </w:p>
    <w:p>
      <w:pPr>
        <w:pStyle w:val="ListBullet"/>
        <w:spacing w:after="20"/>
      </w:pPr>
      <w:r>
        <w:t>6. Using the workbook</w:t>
      </w:r>
    </w:p>
    <w:p>
      <w:pPr>
        <w:pStyle w:val="ListBullet"/>
        <w:spacing w:after="20"/>
      </w:pPr>
      <w:r>
        <w:t>7. Workbook update and migration</w:t>
      </w:r>
    </w:p>
    <w:p>
      <w:pPr>
        <w:pStyle w:val="ListBullet"/>
        <w:spacing w:after="20"/>
      </w:pPr>
      <w:r>
        <w:t>8. Move Existing Records dialog</w:t>
      </w:r>
    </w:p>
    <w:p>
      <w:pPr>
        <w:pStyle w:val="ListBullet"/>
        <w:spacing w:after="20"/>
      </w:pPr>
      <w:r>
        <w:t>9. Google Sheets workbook structure</w:t>
      </w:r>
    </w:p>
    <w:p>
      <w:pPr>
        <w:pStyle w:val="ListBullet"/>
        <w:spacing w:after="20"/>
      </w:pPr>
      <w:r>
        <w:t>10. Game Records A:M and N:Z</w:t>
      </w:r>
    </w:p>
    <w:p>
      <w:pPr>
        <w:pStyle w:val="ListBullet"/>
        <w:spacing w:after="20"/>
      </w:pPr>
      <w:r>
        <w:t>11. Record Review, Summary and Best Results</w:t>
      </w:r>
    </w:p>
    <w:p>
      <w:pPr>
        <w:pStyle w:val="ListBullet"/>
      </w:pPr>
      <w:r>
        <w:t>12. Mobile row insertion and boundary restoration</w:t>
      </w:r>
    </w:p>
    <w:p>
      <w:pPr>
        <w:pStyle w:val="ListBullet"/>
      </w:pPr>
      <w:r>
        <w:t>13. Installation, feedback, and troubleshooting</w:t>
      </w:r>
    </w:p>
    <w:tbl>
      <w:tblPr>
        <w:tblW w:type="auto" w:w="0"/>
        <w:jc w:val="center"/>
        <w:tblLook w:firstColumn="1" w:firstRow="1" w:lastColumn="0" w:lastRow="0" w:noHBand="0" w:noVBand="1" w:val="04A0"/>
      </w:tblPr>
      <w:tblGrid>
        <w:gridCol w:w="10368"/>
      </w:tblGrid>
      <w:tr>
        <w:tc>
          <w:tcPr>
            <w:tcW w:type="dxa" w:w="10368"/>
            <w:shd w:fill="FFF2CC"/>
            <w:tcMar>
              <w:top w:w="80" w:type="dxa"/>
              <w:start w:w="100" w:type="dxa"/>
              <w:bottom w:w="80" w:type="dxa"/>
              <w:end w:w="100" w:type="dxa"/>
            </w:tcMar>
          </w:tcPr>
          <w:p>
            <w:pPr>
              <w:spacing w:after="0"/>
            </w:pPr>
            <w:r>
              <w:rPr>
                <w:b/>
              </w:rPr>
              <w:t xml:space="preserve">Fastest workflow: </w:t>
            </w:r>
            <w:r>
              <w:t>Choose Entry Mode (Step 1), confirm Membership Type (Step 2), complete Game Entry (Step 3), open Review Entry (Step 4), then choose Calculate &amp; Save.</w:t>
            </w:r>
          </w:p>
        </w:tc>
      </w:tr>
    </w:tbl>
    <w:tbl>
      <w:tblPr>
        <w:tblW w:type="auto" w:w="0"/>
        <w:jc w:val="center"/>
        <w:tblLook w:firstColumn="1" w:firstRow="1" w:lastColumn="0" w:lastRow="0" w:noHBand="0" w:noVBand="1" w:val="04A0"/>
      </w:tblPr>
      <w:tblGrid>
        <w:gridCol w:w="10368"/>
      </w:tblGrid>
      <w:tr>
        <w:tc>
          <w:tcPr>
            <w:tcW w:type="dxa" w:w="10368"/>
            <w:shd w:fill="EAF2F8"/>
            <w:tcMar>
              <w:top w:w="80" w:type="dxa"/>
              <w:start w:w="100" w:type="dxa"/>
              <w:bottom w:w="80" w:type="dxa"/>
              <w:end w:w="100" w:type="dxa"/>
            </w:tcMar>
          </w:tcPr>
          <w:p>
            <w:pPr>
              <w:spacing w:after="0"/>
            </w:pPr>
            <w:r>
              <w:rPr>
                <w:b/>
              </w:rPr>
              <w:t xml:space="preserve">Record-copy rule: </w:t>
            </w:r>
            <w:r>
              <w:t>When moving existing records, copy only A5:M through the last actual record row. Do not copy unused yellow rows down to the red boundary, and never copy N:Z.</w:t>
            </w:r>
          </w:p>
        </w:tc>
      </w:tr>
    </w:tbl>
    <w:p>
      <w:r>
        <w:br w:type="page"/>
      </w:r>
    </w:p>
    <w:p>
      <w:pPr>
        <w:pStyle w:val="Heading1"/>
        <w:keepNext/>
      </w:pPr>
      <w:r>
        <w:rPr>
          <w:color w:val="D06600"/>
        </w:rPr>
        <w:t>1. Four-step entry workflow</w:t>
      </w:r>
    </w:p>
    <w:p>
      <w:r>
        <w:t>Choose Estimate for a projection or Finalized for a completed result. Membership Type is Step 2 and becomes available after Step 1 is confirmed. Gold indicates the current action; completed steps move to the completed state.</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743200" cy="2599577"/>
                  <wp:docPr id="1" name="Picture 1"/>
                  <wp:cNvGraphicFramePr>
                    <a:graphicFrameLocks noChangeAspect="1"/>
                  </wp:cNvGraphicFramePr>
                  <a:graphic>
                    <a:graphicData uri="http://schemas.openxmlformats.org/drawingml/2006/picture">
                      <pic:pic>
                        <pic:nvPicPr>
                          <pic:cNvPr id="0" name="01-game-record-information.jpg"/>
                          <pic:cNvPicPr/>
                        </pic:nvPicPr>
                        <pic:blipFill>
                          <a:blip r:embed="rId9"/>
                          <a:stretch>
                            <a:fillRect/>
                          </a:stretch>
                        </pic:blipFill>
                        <pic:spPr>
                          <a:xfrm>
                            <a:off x="0" y="0"/>
                            <a:ext cx="2743200" cy="2599577"/>
                          </a:xfrm>
                          <a:prstGeom prst="rect"/>
                        </pic:spPr>
                      </pic:pic>
                    </a:graphicData>
                  </a:graphic>
                </wp:inline>
              </w:drawing>
            </w:r>
          </w:p>
          <w:p>
            <w:pPr>
              <w:spacing w:before="0" w:after="20"/>
              <w:jc w:val="center"/>
            </w:pPr>
            <w:r>
              <w:rPr>
                <w:i/>
                <w:color w:val="555555"/>
                <w:sz w:val="15"/>
              </w:rPr>
              <w:t>Entry Mode - Step 1, before a selection.</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743200" cy="2908366"/>
                  <wp:docPr id="2" name="Picture 2"/>
                  <wp:cNvGraphicFramePr>
                    <a:graphicFrameLocks noChangeAspect="1"/>
                  </wp:cNvGraphicFramePr>
                  <a:graphic>
                    <a:graphicData uri="http://schemas.openxmlformats.org/drawingml/2006/picture">
                      <pic:pic>
                        <pic:nvPicPr>
                          <pic:cNvPr id="0" name="02-membership-confirmation.jpg"/>
                          <pic:cNvPicPr/>
                        </pic:nvPicPr>
                        <pic:blipFill>
                          <a:blip r:embed="rId10"/>
                          <a:stretch>
                            <a:fillRect/>
                          </a:stretch>
                        </pic:blipFill>
                        <pic:spPr>
                          <a:xfrm>
                            <a:off x="0" y="0"/>
                            <a:ext cx="2743200" cy="2908366"/>
                          </a:xfrm>
                          <a:prstGeom prst="rect"/>
                        </pic:spPr>
                      </pic:pic>
                    </a:graphicData>
                  </a:graphic>
                </wp:inline>
              </w:drawing>
            </w:r>
          </w:p>
          <w:p>
            <w:pPr>
              <w:spacing w:before="0" w:after="20"/>
              <w:jc w:val="center"/>
            </w:pPr>
            <w:r>
              <w:rPr>
                <w:i/>
                <w:color w:val="555555"/>
                <w:sz w:val="15"/>
              </w:rPr>
              <w:t>Membership Type - Step 2 after Estimate is selected.</w:t>
            </w:r>
          </w:p>
        </w:tc>
      </w:tr>
    </w:tbl>
    <w:tbl>
      <w:tblPr>
        <w:tblW w:type="auto" w:w="0"/>
        <w:jc w:val="center"/>
        <w:tblLook w:firstColumn="1" w:firstRow="1" w:lastColumn="0" w:lastRow="0" w:noHBand="0" w:noVBand="1" w:val="04A0"/>
      </w:tblPr>
      <w:tblGrid>
        <w:gridCol w:w="10368"/>
      </w:tblGrid>
      <w:tr>
        <w:tc>
          <w:tcPr>
            <w:tcW w:type="dxa" w:w="10368"/>
            <w:shd w:fill="EAF2F8"/>
            <w:tcMar>
              <w:top w:w="80" w:type="dxa"/>
              <w:start w:w="100" w:type="dxa"/>
              <w:bottom w:w="80" w:type="dxa"/>
              <w:end w:w="100" w:type="dxa"/>
            </w:tcMar>
          </w:tcPr>
          <w:p>
            <w:pPr>
              <w:spacing w:after="0"/>
            </w:pPr>
            <w:r>
              <w:rPr>
                <w:b/>
              </w:rPr>
              <w:t xml:space="preserve">Current Settings labels: </w:t>
            </w:r>
            <w:r>
              <w:t>Remember Estimate / Finalized Mode, Remember Game Entry Layout, Remember Membership Choice, and Remember Payment / Record Type.</w:t>
            </w:r>
          </w:p>
        </w:tc>
      </w:tr>
    </w:tbl>
    <w:p>
      <w:r>
        <w:br w:type="page"/>
      </w:r>
    </w:p>
    <w:p>
      <w:pPr>
        <w:pStyle w:val="Heading1"/>
        <w:keepNext/>
      </w:pPr>
      <w:r>
        <w:rPr>
          <w:color w:val="D06600"/>
        </w:rPr>
        <w:t>2. Game Details and Calculation Information</w:t>
      </w:r>
    </w:p>
    <w:p>
      <w:r>
        <w:t>Step 3 uses focused subsections in Guided Sections mode. Show All Fields can be used when you prefer the complete Step 3 form together. The example below is an Estimate for Step Marathon.</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6649922"/>
                  <wp:docPr id="3" name="Picture 3"/>
                  <wp:cNvGraphicFramePr>
                    <a:graphicFrameLocks noChangeAspect="1"/>
                  </wp:cNvGraphicFramePr>
                  <a:graphic>
                    <a:graphicData uri="http://schemas.openxmlformats.org/drawingml/2006/picture">
                      <pic:pic>
                        <pic:nvPicPr>
                          <pic:cNvPr id="0" name="03-filled-record-details.jpg"/>
                          <pic:cNvPicPr/>
                        </pic:nvPicPr>
                        <pic:blipFill>
                          <a:blip r:embed="rId11"/>
                          <a:stretch>
                            <a:fillRect/>
                          </a:stretch>
                        </pic:blipFill>
                        <pic:spPr>
                          <a:xfrm>
                            <a:off x="0" y="0"/>
                            <a:ext cx="2423160" cy="6649922"/>
                          </a:xfrm>
                          <a:prstGeom prst="rect"/>
                        </pic:spPr>
                      </pic:pic>
                    </a:graphicData>
                  </a:graphic>
                </wp:inline>
              </w:drawing>
            </w:r>
          </w:p>
          <w:p>
            <w:pPr>
              <w:spacing w:before="0" w:after="20"/>
              <w:jc w:val="center"/>
            </w:pPr>
            <w:r>
              <w:rPr>
                <w:i/>
                <w:color w:val="555555"/>
                <w:sz w:val="15"/>
              </w:rPr>
              <w:t>Game Details: Step Marathon, 08/13/2026 to 09/06/2026, Points.</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4743060"/>
                  <wp:docPr id="4" name="Picture 4"/>
                  <wp:cNvGraphicFramePr>
                    <a:graphicFrameLocks noChangeAspect="1"/>
                  </wp:cNvGraphicFramePr>
                  <a:graphic>
                    <a:graphicData uri="http://schemas.openxmlformats.org/drawingml/2006/picture">
                      <pic:pic>
                        <pic:nvPicPr>
                          <pic:cNvPr id="0" name="04-calculation-information.jpg"/>
                          <pic:cNvPicPr/>
                        </pic:nvPicPr>
                        <pic:blipFill>
                          <a:blip r:embed="rId12"/>
                          <a:stretch>
                            <a:fillRect/>
                          </a:stretch>
                        </pic:blipFill>
                        <pic:spPr>
                          <a:xfrm>
                            <a:off x="0" y="0"/>
                            <a:ext cx="2423160" cy="4743060"/>
                          </a:xfrm>
                          <a:prstGeom prst="rect"/>
                        </pic:spPr>
                      </pic:pic>
                    </a:graphicData>
                  </a:graphic>
                </wp:inline>
              </w:drawing>
            </w:r>
          </w:p>
          <w:p>
            <w:pPr>
              <w:spacing w:before="0" w:after="20"/>
              <w:jc w:val="center"/>
            </w:pPr>
            <w:r>
              <w:rPr>
                <w:i/>
                <w:color w:val="555555"/>
                <w:sz w:val="15"/>
              </w:rPr>
              <w:t>Calculation Information: Gross Pot 46,440; Entry Fee 60; Eligible 656; Total 774.</w:t>
            </w:r>
          </w:p>
        </w:tc>
      </w:tr>
    </w:tbl>
    <w:tbl>
      <w:tblPr>
        <w:tblW w:type="auto" w:w="0"/>
        <w:jc w:val="center"/>
        <w:tblLook w:firstColumn="1" w:firstRow="1" w:lastColumn="0" w:lastRow="0" w:noHBand="0" w:noVBand="1" w:val="04A0"/>
      </w:tblPr>
      <w:tblGrid>
        <w:gridCol w:w="10368"/>
      </w:tblGrid>
      <w:tr>
        <w:tc>
          <w:tcPr>
            <w:tcW w:type="dxa" w:w="10368"/>
            <w:shd w:fill="FFF2CC"/>
            <w:tcMar>
              <w:top w:w="80" w:type="dxa"/>
              <w:start w:w="100" w:type="dxa"/>
              <w:bottom w:w="80" w:type="dxa"/>
              <w:end w:w="100" w:type="dxa"/>
            </w:tcMar>
          </w:tcPr>
          <w:p>
            <w:pPr>
              <w:spacing w:after="0"/>
            </w:pPr>
            <w:r>
              <w:rPr>
                <w:b/>
              </w:rPr>
              <w:t xml:space="preserve">Estimate rule: </w:t>
            </w:r>
            <w:r>
              <w:t>An Estimate does not require Final Earned / Chips. Finalized entries require the completed result unless Disqualified / Lost Entry Fee is selected.</w:t>
            </w:r>
          </w:p>
        </w:tc>
      </w:tr>
    </w:tbl>
    <w:p>
      <w:r>
        <w:br w:type="page"/>
      </w:r>
    </w:p>
    <w:p>
      <w:pPr>
        <w:pStyle w:val="Heading1"/>
        <w:keepNext/>
      </w:pPr>
      <w:r>
        <w:rPr>
          <w:color w:val="D06600"/>
        </w:rPr>
        <w:t>3. Review, Calculate &amp; Save</w:t>
      </w:r>
    </w:p>
    <w:p>
      <w:r>
        <w:t>When required Step 3 values are ready, choose Review Entry. Step 4 shows the complete record before anything is saved. Use Edit beside any review group to return to the exact section that needs a correction.</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2834640" cy="6411332"/>
                  <wp:docPr id="5" name="Picture 5"/>
                  <wp:cNvGraphicFramePr>
                    <a:graphicFrameLocks noChangeAspect="1"/>
                  </wp:cNvGraphicFramePr>
                  <a:graphic>
                    <a:graphicData uri="http://schemas.openxmlformats.org/drawingml/2006/picture">
                      <pic:pic>
                        <pic:nvPicPr>
                          <pic:cNvPr id="0" name="08-calculate-and-save.jpg"/>
                          <pic:cNvPicPr/>
                        </pic:nvPicPr>
                        <pic:blipFill>
                          <a:blip r:embed="rId13"/>
                          <a:stretch>
                            <a:fillRect/>
                          </a:stretch>
                        </pic:blipFill>
                        <pic:spPr>
                          <a:xfrm>
                            <a:off x="0" y="0"/>
                            <a:ext cx="2834640" cy="6411332"/>
                          </a:xfrm>
                          <a:prstGeom prst="rect"/>
                        </pic:spPr>
                      </pic:pic>
                    </a:graphicData>
                  </a:graphic>
                </wp:inline>
              </w:drawing>
            </w:r>
          </w:p>
          <w:p>
            <w:pPr>
              <w:spacing w:before="0" w:after="20"/>
              <w:jc w:val="center"/>
            </w:pPr>
            <w:r>
              <w:rPr>
                <w:i/>
                <w:color w:val="555555"/>
                <w:sz w:val="15"/>
              </w:rPr>
              <w:t>Step 4 Review Entry with Calculate &amp; Save ready.</w:t>
            </w:r>
          </w:p>
        </w:tc>
      </w:tr>
    </w:tbl>
    <w:p>
      <w:r>
        <w:rPr>
          <w:b/>
        </w:rPr>
        <w:t xml:space="preserve">After a successful save: </w:t>
      </w:r>
      <w:r>
        <w:t>the completed fields remain visible for review during the current session, while that completed record is removed from unfinished-draft recovery. Use Start New Entry when you are ready to reset the form.</w:t>
      </w:r>
    </w:p>
    <w:tbl>
      <w:tblPr>
        <w:tblW w:type="auto" w:w="0"/>
        <w:jc w:val="center"/>
        <w:tblLook w:firstColumn="1" w:firstRow="1" w:lastColumn="0" w:lastRow="0" w:noHBand="0" w:noVBand="1" w:val="04A0"/>
      </w:tblPr>
      <w:tblGrid>
        <w:gridCol w:w="10368"/>
      </w:tblGrid>
      <w:tr>
        <w:tc>
          <w:tcPr>
            <w:tcW w:type="dxa" w:w="10368"/>
            <w:shd w:fill="EAF2F8"/>
            <w:tcMar>
              <w:top w:w="80" w:type="dxa"/>
              <w:start w:w="100" w:type="dxa"/>
              <w:bottom w:w="80" w:type="dxa"/>
              <w:end w:w="100" w:type="dxa"/>
            </w:tcMar>
          </w:tcPr>
          <w:p>
            <w:pPr>
              <w:spacing w:after="0"/>
            </w:pPr>
            <w:r>
              <w:rPr>
                <w:b/>
              </w:rPr>
              <w:t xml:space="preserve">Device storage: </w:t>
            </w:r>
            <w:r>
              <w:t>Saved History, Settings, and unfinished StepCat fields remain in the current browser/device. Completed records become cross-device records only after they are entered in the Google Sheet.</w:t>
            </w:r>
          </w:p>
        </w:tc>
      </w:tr>
    </w:tbl>
    <w:p>
      <w:r>
        <w:br w:type="page"/>
      </w:r>
    </w:p>
    <w:p>
      <w:pPr>
        <w:pStyle w:val="Heading1"/>
        <w:keepNext/>
      </w:pPr>
      <w:r>
        <w:rPr>
          <w:color w:val="D06600"/>
        </w:rPr>
        <w:t>4. Settings</w:t>
      </w:r>
    </w:p>
    <w:p>
      <w:r>
        <w:t>Ordinary setting changes save automatically. Restore Defaults is the bulk reset action. These are the current v253.1 Settings groups and labels.</w:t>
      </w:r>
    </w:p>
    <w:tbl>
      <w:tblPr>
        <w:tblW w:type="auto" w:w="0"/>
        <w:jc w:val="center"/>
        <w:tblLayout w:type="fixed"/>
        <w:tblLook w:firstColumn="1" w:firstRow="1" w:lastColumn="0" w:lastRow="0" w:noHBand="0" w:noVBand="1" w:val="04A0"/>
      </w:tblPr>
      <w:tblGrid>
        <w:gridCol w:w="3456"/>
        <w:gridCol w:w="3456"/>
        <w:gridCol w:w="3456"/>
      </w:tblGrid>
      <w:tr>
        <w:tc>
          <w:tcPr>
            <w:tcW w:type="dxa" w:w="3456"/>
            <w:tcBorders>
              <w:top w:val="nil"/>
              <w:left w:val="nil"/>
              <w:bottom w:val="nil"/>
              <w:right w:val="nil"/>
              <w:insideH w:val="nil"/>
              <w:insideV w:val="nil"/>
            </w:tcBorders>
            <w:tcMar>
              <w:top w:w="10" w:type="dxa"/>
              <w:start w:w="15" w:type="dxa"/>
              <w:bottom w:w="10" w:type="dxa"/>
              <w:end w:w="15" w:type="dxa"/>
            </w:tcMar>
            <w:vAlign w:val="top"/>
          </w:tcPr>
          <w:p>
            <w:pPr>
              <w:spacing w:after="20"/>
              <w:jc w:val="center"/>
            </w:pPr>
            <w:r>
              <w:drawing>
                <wp:inline xmlns:a="http://schemas.openxmlformats.org/drawingml/2006/main" xmlns:pic="http://schemas.openxmlformats.org/drawingml/2006/picture">
                  <wp:extent cx="1536192" cy="2890467"/>
                  <wp:docPr id="6" name="Picture 6"/>
                  <wp:cNvGraphicFramePr>
                    <a:graphicFrameLocks noChangeAspect="1"/>
                  </wp:cNvGraphicFramePr>
                  <a:graphic>
                    <a:graphicData uri="http://schemas.openxmlformats.org/drawingml/2006/picture">
                      <pic:pic>
                        <pic:nvPicPr>
                          <pic:cNvPr id="0" name="24-settings-page-sections.jpg"/>
                          <pic:cNvPicPr/>
                        </pic:nvPicPr>
                        <pic:blipFill>
                          <a:blip r:embed="rId14"/>
                          <a:stretch>
                            <a:fillRect/>
                          </a:stretch>
                        </pic:blipFill>
                        <pic:spPr>
                          <a:xfrm>
                            <a:off x="0" y="0"/>
                            <a:ext cx="1536192" cy="2890467"/>
                          </a:xfrm>
                          <a:prstGeom prst="rect"/>
                        </pic:spPr>
                      </pic:pic>
                    </a:graphicData>
                  </a:graphic>
                </wp:inline>
              </w:drawing>
            </w:r>
          </w:p>
          <w:p>
            <w:pPr>
              <w:spacing w:before="0" w:after="20"/>
              <w:jc w:val="center"/>
            </w:pPr>
            <w:r>
              <w:rPr>
                <w:i/>
                <w:color w:val="555555"/>
                <w:sz w:val="15"/>
              </w:rPr>
              <w:t>Page Sections &amp; Starting State.</w:t>
            </w:r>
          </w:p>
        </w:tc>
        <w:tc>
          <w:tcPr>
            <w:tcW w:type="dxa" w:w="3456"/>
            <w:tcBorders>
              <w:top w:val="nil"/>
              <w:left w:val="nil"/>
              <w:bottom w:val="nil"/>
              <w:right w:val="nil"/>
              <w:insideH w:val="nil"/>
              <w:insideV w:val="nil"/>
            </w:tcBorders>
            <w:tcMar>
              <w:top w:w="10" w:type="dxa"/>
              <w:start w:w="15" w:type="dxa"/>
              <w:bottom w:w="10" w:type="dxa"/>
              <w:end w:w="15" w:type="dxa"/>
            </w:tcMar>
            <w:vAlign w:val="top"/>
          </w:tcPr>
          <w:p>
            <w:pPr>
              <w:spacing w:after="20"/>
              <w:jc w:val="center"/>
            </w:pPr>
            <w:r>
              <w:drawing>
                <wp:inline xmlns:a="http://schemas.openxmlformats.org/drawingml/2006/main" xmlns:pic="http://schemas.openxmlformats.org/drawingml/2006/picture">
                  <wp:extent cx="1536192" cy="2558972"/>
                  <wp:docPr id="7" name="Picture 7"/>
                  <wp:cNvGraphicFramePr>
                    <a:graphicFrameLocks noChangeAspect="1"/>
                  </wp:cNvGraphicFramePr>
                  <a:graphic>
                    <a:graphicData uri="http://schemas.openxmlformats.org/drawingml/2006/picture">
                      <pic:pic>
                        <pic:nvPicPr>
                          <pic:cNvPr id="0" name="24-settings-panel.jpg"/>
                          <pic:cNvPicPr/>
                        </pic:nvPicPr>
                        <pic:blipFill>
                          <a:blip r:embed="rId15"/>
                          <a:stretch>
                            <a:fillRect/>
                          </a:stretch>
                        </pic:blipFill>
                        <pic:spPr>
                          <a:xfrm>
                            <a:off x="0" y="0"/>
                            <a:ext cx="1536192" cy="2558972"/>
                          </a:xfrm>
                          <a:prstGeom prst="rect"/>
                        </pic:spPr>
                      </pic:pic>
                    </a:graphicData>
                  </a:graphic>
                </wp:inline>
              </w:drawing>
            </w:r>
          </w:p>
          <w:p>
            <w:pPr>
              <w:spacing w:before="0" w:after="20"/>
              <w:jc w:val="center"/>
            </w:pPr>
            <w:r>
              <w:rPr>
                <w:i/>
                <w:color w:val="555555"/>
                <w:sz w:val="15"/>
              </w:rPr>
              <w:t>Entry Preferences and Entry Safeguards.</w:t>
            </w:r>
          </w:p>
        </w:tc>
        <w:tc>
          <w:tcPr>
            <w:tcW w:type="dxa" w:w="3456"/>
            <w:tcBorders>
              <w:top w:val="nil"/>
              <w:left w:val="nil"/>
              <w:bottom w:val="nil"/>
              <w:right w:val="nil"/>
              <w:insideH w:val="nil"/>
              <w:insideV w:val="nil"/>
            </w:tcBorders>
            <w:tcMar>
              <w:top w:w="10" w:type="dxa"/>
              <w:start w:w="15" w:type="dxa"/>
              <w:bottom w:w="10" w:type="dxa"/>
              <w:end w:w="15" w:type="dxa"/>
            </w:tcMar>
            <w:vAlign w:val="top"/>
          </w:tcPr>
          <w:p>
            <w:pPr>
              <w:spacing w:after="20"/>
              <w:jc w:val="center"/>
            </w:pPr>
            <w:r>
              <w:drawing>
                <wp:inline xmlns:a="http://schemas.openxmlformats.org/drawingml/2006/main" xmlns:pic="http://schemas.openxmlformats.org/drawingml/2006/picture">
                  <wp:extent cx="1536192" cy="3411689"/>
                  <wp:docPr id="8" name="Picture 8"/>
                  <wp:cNvGraphicFramePr>
                    <a:graphicFrameLocks noChangeAspect="1"/>
                  </wp:cNvGraphicFramePr>
                  <a:graphic>
                    <a:graphicData uri="http://schemas.openxmlformats.org/drawingml/2006/picture">
                      <pic:pic>
                        <pic:nvPicPr>
                          <pic:cNvPr id="0" name="24-settings-lower.jpg"/>
                          <pic:cNvPicPr/>
                        </pic:nvPicPr>
                        <pic:blipFill>
                          <a:blip r:embed="rId16"/>
                          <a:stretch>
                            <a:fillRect/>
                          </a:stretch>
                        </pic:blipFill>
                        <pic:spPr>
                          <a:xfrm>
                            <a:off x="0" y="0"/>
                            <a:ext cx="1536192" cy="3411689"/>
                          </a:xfrm>
                          <a:prstGeom prst="rect"/>
                        </pic:spPr>
                      </pic:pic>
                    </a:graphicData>
                  </a:graphic>
                </wp:inline>
              </w:drawing>
            </w:r>
          </w:p>
          <w:p>
            <w:pPr>
              <w:spacing w:before="0" w:after="20"/>
              <w:jc w:val="center"/>
            </w:pPr>
            <w:r>
              <w:rPr>
                <w:i/>
                <w:color w:val="555555"/>
                <w:sz w:val="15"/>
              </w:rPr>
              <w:t>Help &amp; Guides, Haptic Feedback, and Restore Defaults.</w:t>
            </w:r>
          </w:p>
        </w:tc>
      </w:tr>
    </w:tbl>
    <w:p>
      <w:r>
        <w:br w:type="page"/>
      </w:r>
    </w:p>
    <w:p>
      <w:pPr>
        <w:pStyle w:val="Heading1"/>
        <w:keepNext/>
      </w:pPr>
      <w:r>
        <w:rPr>
          <w:color w:val="D06600"/>
        </w:rPr>
        <w:t>5. Help &amp; Resources</w:t>
      </w:r>
    </w:p>
    <w:p>
      <w:r>
        <w:t>Quick Explanations use the current topic name Using the Workbook. Guides &amp; Workbook contains the current HTML guides, the Open Workbook v253.2 in Google Sheets action, migration dialog, PDF, and editable DOCX.</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514600" cy="3613212"/>
                  <wp:docPr id="9" name="Picture 9"/>
                  <wp:cNvGraphicFramePr>
                    <a:graphicFrameLocks noChangeAspect="1"/>
                  </wp:cNvGraphicFramePr>
                  <a:graphic>
                    <a:graphicData uri="http://schemas.openxmlformats.org/drawingml/2006/picture">
                      <pic:pic>
                        <pic:nvPicPr>
                          <pic:cNvPr id="0" name="25-help-main.jpg"/>
                          <pic:cNvPicPr/>
                        </pic:nvPicPr>
                        <pic:blipFill>
                          <a:blip r:embed="rId17"/>
                          <a:stretch>
                            <a:fillRect/>
                          </a:stretch>
                        </pic:blipFill>
                        <pic:spPr>
                          <a:xfrm>
                            <a:off x="0" y="0"/>
                            <a:ext cx="2514600" cy="3613212"/>
                          </a:xfrm>
                          <a:prstGeom prst="rect"/>
                        </pic:spPr>
                      </pic:pic>
                    </a:graphicData>
                  </a:graphic>
                </wp:inline>
              </w:drawing>
            </w:r>
          </w:p>
          <w:p>
            <w:pPr>
              <w:spacing w:before="0" w:after="20"/>
              <w:jc w:val="center"/>
            </w:pPr>
            <w:r>
              <w:rPr>
                <w:i/>
                <w:color w:val="555555"/>
                <w:sz w:val="15"/>
              </w:rPr>
              <w:t>Quick Explanations overview.</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514600" cy="4069682"/>
                  <wp:docPr id="10" name="Picture 10"/>
                  <wp:cNvGraphicFramePr>
                    <a:graphicFrameLocks noChangeAspect="1"/>
                  </wp:cNvGraphicFramePr>
                  <a:graphic>
                    <a:graphicData uri="http://schemas.openxmlformats.org/drawingml/2006/picture">
                      <pic:pic>
                        <pic:nvPicPr>
                          <pic:cNvPr id="0" name="26-help-guides-downloads.jpg"/>
                          <pic:cNvPicPr/>
                        </pic:nvPicPr>
                        <pic:blipFill>
                          <a:blip r:embed="rId18"/>
                          <a:stretch>
                            <a:fillRect/>
                          </a:stretch>
                        </pic:blipFill>
                        <pic:spPr>
                          <a:xfrm>
                            <a:off x="0" y="0"/>
                            <a:ext cx="2514600" cy="4069682"/>
                          </a:xfrm>
                          <a:prstGeom prst="rect"/>
                        </pic:spPr>
                      </pic:pic>
                    </a:graphicData>
                  </a:graphic>
                </wp:inline>
              </w:drawing>
            </w:r>
          </w:p>
          <w:p>
            <w:pPr>
              <w:spacing w:before="0" w:after="20"/>
              <w:jc w:val="center"/>
            </w:pPr>
            <w:r>
              <w:rPr>
                <w:i/>
                <w:color w:val="555555"/>
                <w:sz w:val="15"/>
              </w:rPr>
              <w:t>Current Guides &amp; Workbook panel showing the Open Workbook v253.2 in Google Sheets action and current downloads.</w:t>
            </w:r>
          </w:p>
        </w:tc>
      </w:tr>
    </w:tbl>
    <w:p>
      <w:r>
        <w:br w:type="page"/>
      </w:r>
    </w:p>
    <w:p>
      <w:pPr>
        <w:pStyle w:val="Heading1"/>
        <w:keepNext/>
      </w:pPr>
      <w:r>
        <w:rPr>
          <w:color w:val="D06600"/>
        </w:rPr>
        <w:t>6. Using the workbook</w:t>
      </w:r>
    </w:p>
    <w:p>
      <w:r>
        <w:t>The Google Sheet is the permanent cross-device record. Enter or paste A:M only. Leave N:Z untouched so protected formulas calculate results and reports automatically.</w:t>
      </w:r>
    </w:p>
    <w:tbl>
      <w:tblPr>
        <w:tblW w:type="auto" w:w="0"/>
        <w:jc w:val="center"/>
        <w:tblLayout w:type="fixed"/>
        <w:tblLook w:firstColumn="1" w:firstRow="1" w:lastColumn="0" w:lastRow="0" w:noHBand="0" w:noVBand="1" w:val="04A0"/>
      </w:tblPr>
      <w:tblGrid>
        <w:gridCol w:w="5184"/>
        <w:gridCol w:w="5184"/>
      </w:tblGrid>
      <w:tr>
        <w:tc>
          <w:tcPr>
            <w:tcW w:type="dxa" w:w="10368"/>
            <w:gridSpan w:val="2"/>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423160" cy="4538111"/>
                  <wp:docPr id="11" name="Picture 11"/>
                  <wp:cNvGraphicFramePr>
                    <a:graphicFrameLocks noChangeAspect="1"/>
                  </wp:cNvGraphicFramePr>
                  <a:graphic>
                    <a:graphicData uri="http://schemas.openxmlformats.org/drawingml/2006/picture">
                      <pic:pic>
                        <pic:nvPicPr>
                          <pic:cNvPr id="0" name="25-using-workbook-1.jpg"/>
                          <pic:cNvPicPr/>
                        </pic:nvPicPr>
                        <pic:blipFill>
                          <a:blip r:embed="rId19"/>
                          <a:stretch>
                            <a:fillRect/>
                          </a:stretch>
                        </pic:blipFill>
                        <pic:spPr>
                          <a:xfrm>
                            <a:off x="0" y="0"/>
                            <a:ext cx="2423160" cy="4538111"/>
                          </a:xfrm>
                          <a:prstGeom prst="rect"/>
                        </pic:spPr>
                      </pic:pic>
                    </a:graphicData>
                  </a:graphic>
                </wp:inline>
              </w:drawing>
            </w:r>
          </w:p>
          <w:p>
            <w:pPr>
              <w:spacing w:before="0" w:after="20"/>
              <w:jc w:val="center"/>
            </w:pPr>
            <w:r>
              <w:rPr>
                <w:i/>
                <w:color w:val="555555"/>
                <w:sz w:val="15"/>
              </w:rPr>
              <w:t>Direct workbook use, devices, and mobile row insertion.</w:t>
            </w:r>
          </w:p>
        </w:tc>
      </w:tr>
    </w:tbl>
    <w:tbl>
      <w:tblPr>
        <w:tblW w:type="auto" w:w="0"/>
        <w:jc w:val="center"/>
        <w:tblLook w:firstColumn="1" w:firstRow="1" w:lastColumn="0" w:lastRow="0" w:noHBand="0" w:noVBand="1" w:val="04A0"/>
      </w:tblPr>
      <w:tblGrid>
        <w:gridCol w:w="10368"/>
      </w:tblGrid>
      <w:tr>
        <w:tc>
          <w:tcPr>
            <w:tcW w:type="dxa" w:w="10368"/>
            <w:shd w:fill="FFF2CC"/>
            <w:tcMar>
              <w:top w:w="80" w:type="dxa"/>
              <w:start w:w="100" w:type="dxa"/>
              <w:bottom w:w="80" w:type="dxa"/>
              <w:end w:w="100" w:type="dxa"/>
            </w:tcMar>
          </w:tcPr>
          <w:p>
            <w:pPr>
              <w:spacing w:after="0"/>
            </w:pPr>
            <w:r>
              <w:rPr>
                <w:b/>
              </w:rPr>
              <w:t xml:space="preserve">Mobile insertion: </w:t>
            </w:r>
            <w:r>
              <w:t>Insert a whole worksheet row above the desired position, enter or paste A:M, then remove the same number of unused blank rows immediately above the red boundary so it returns to row 505. Never delete the red boundary itself.</w:t>
            </w:r>
          </w:p>
        </w:tc>
      </w:tr>
    </w:tbl>
    <w:p>
      <w:r>
        <w:br w:type="page"/>
      </w:r>
    </w:p>
    <w:p>
      <w:pPr>
        <w:pStyle w:val="Heading1"/>
        <w:keepNext/>
      </w:pPr>
      <w:r>
        <w:rPr>
          <w:color w:val="D06600"/>
        </w:rPr>
        <w:t>7. Workbook update and migration</w:t>
      </w:r>
    </w:p>
    <w:p>
      <w:r>
        <w:t>Workbook v253.2 is recommended. An August 11 corrected v253.0 or v253.1 workbook may remain in use if it is calculating normally, but v253.2 is the finalized public workbook and is strongly recommended for older or problematic copies.</w:t>
      </w:r>
    </w:p>
    <w:tbl>
      <w:tblPr>
        <w:tblW w:type="auto" w:w="0"/>
        <w:jc w:val="center"/>
        <w:tblLayout w:type="fixed"/>
        <w:tblLook w:firstColumn="1" w:firstRow="1" w:lastColumn="0" w:lastRow="0" w:noHBand="0" w:noVBand="1" w:val="04A0"/>
      </w:tblPr>
      <w:tblGrid>
        <w:gridCol w:w="5184"/>
        <w:gridCol w:w="5184"/>
      </w:tblGrid>
      <w:tr>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240280" cy="1964643"/>
                  <wp:docPr id="13" name="Picture 13"/>
                  <wp:cNvGraphicFramePr>
                    <a:graphicFrameLocks noChangeAspect="1"/>
                  </wp:cNvGraphicFramePr>
                  <a:graphic>
                    <a:graphicData uri="http://schemas.openxmlformats.org/drawingml/2006/picture">
                      <pic:pic>
                        <pic:nvPicPr>
                          <pic:cNvPr id="0" name="whats-new-v2531-collapsed.jpg"/>
                          <pic:cNvPicPr/>
                        </pic:nvPicPr>
                        <pic:blipFill>
                          <a:blip r:embed="rId21"/>
                          <a:stretch>
                            <a:fillRect/>
                          </a:stretch>
                        </pic:blipFill>
                        <pic:spPr>
                          <a:xfrm>
                            <a:off x="0" y="0"/>
                            <a:ext cx="2240280" cy="1964643"/>
                          </a:xfrm>
                          <a:prstGeom prst="rect"/>
                        </pic:spPr>
                      </pic:pic>
                    </a:graphicData>
                  </a:graphic>
                </wp:inline>
              </w:drawing>
            </w:r>
          </w:p>
          <w:p>
            <w:pPr>
              <w:spacing w:before="0" w:after="20"/>
              <w:jc w:val="center"/>
            </w:pPr>
            <w:r>
              <w:rPr>
                <w:i/>
                <w:color w:val="555555"/>
                <w:sz w:val="15"/>
              </w:rPr>
              <w:t>Current Workbook v253.2 What’s New overview.</w:t>
            </w:r>
          </w:p>
        </w:tc>
        <w:tc>
          <w:tcPr>
            <w:tcW w:type="dxa" w:w="5184"/>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2240280" cy="5698353"/>
                  <wp:docPr id="14" name="Picture 14"/>
                  <wp:cNvGraphicFramePr>
                    <a:graphicFrameLocks noChangeAspect="1"/>
                  </wp:cNvGraphicFramePr>
                  <a:graphic>
                    <a:graphicData uri="http://schemas.openxmlformats.org/drawingml/2006/picture">
                      <pic:pic>
                        <pic:nvPicPr>
                          <pic:cNvPr id="0" name="whats-new-v2531-expanded.jpg"/>
                          <pic:cNvPicPr/>
                        </pic:nvPicPr>
                        <pic:blipFill>
                          <a:blip r:embed="rId22"/>
                          <a:stretch>
                            <a:fillRect/>
                          </a:stretch>
                        </pic:blipFill>
                        <pic:spPr>
                          <a:xfrm>
                            <a:off x="0" y="0"/>
                            <a:ext cx="2240280" cy="5698353"/>
                          </a:xfrm>
                          <a:prstGeom prst="rect"/>
                        </pic:spPr>
                      </pic:pic>
                    </a:graphicData>
                  </a:graphic>
                </wp:inline>
              </w:drawing>
            </w:r>
          </w:p>
          <w:p>
            <w:pPr>
              <w:spacing w:before="0" w:after="20"/>
              <w:jc w:val="center"/>
            </w:pPr>
            <w:r>
              <w:rPr>
                <w:i/>
                <w:color w:val="555555"/>
                <w:sz w:val="15"/>
              </w:rPr>
              <w:t>Current Workbook v253.2 Finalization Status Update.</w:t>
            </w:r>
          </w:p>
        </w:tc>
      </w:tr>
    </w:tbl>
    <w:p>
      <w:pPr>
        <w:pStyle w:val="ListBullet"/>
        <w:spacing w:after="20"/>
      </w:pPr>
      <w:r>
        <w:t>Copy A5:M through the last actual record row (for example A5:M198 if row 198 is the last record).</w:t>
      </w:r>
    </w:p>
    <w:p>
      <w:pPr>
        <w:pStyle w:val="ListBullet"/>
        <w:spacing w:after="20"/>
      </w:pPr>
      <w:r>
        <w:t>Do not select unused yellow rows down to the red boundary. Include blank rows that occur between existing records.</w:t>
      </w:r>
    </w:p>
    <w:p>
      <w:pPr>
        <w:pStyle w:val="ListBullet"/>
        <w:spacing w:after="20"/>
      </w:pPr>
      <w:r>
        <w:t>Computer: Paste special -&gt; Values only. Mobile: regular Paste is acceptable when only A:M are selected.</w:t>
      </w:r>
    </w:p>
    <w:p>
      <w:pPr>
        <w:pStyle w:val="ListBullet"/>
        <w:spacing w:after="20"/>
      </w:pPr>
      <w:r>
        <w:t>Do not copy N:Z, headers, entire rows, entire sheets, reports, charts, or the red boundary.</w:t>
      </w:r>
    </w:p>
    <w:p>
      <w:pPr>
        <w:pStyle w:val="ListBullet"/>
        <w:spacing w:after="20"/>
      </w:pPr>
      <w:r>
        <w:t>No Carryover is needed merely to update. Carryover is an alternative for starting a fresh workbook without transferring the prior A:M records; enter prior totals once instead of copying those rows. Filling all 500 active record positions is one situation where the documented next step is to start a fresh workbook and use Carryover.</w:t>
      </w:r>
    </w:p>
    <w:p>
      <w:pPr>
        <w:pStyle w:val="Heading1"/>
        <w:keepNext/>
      </w:pPr>
      <w:r>
        <w:rPr>
          <w:color w:val="D06600"/>
        </w:rPr>
        <w:t>8. Move Existing Records dialog</w:t>
      </w:r>
    </w:p>
    <w:p>
      <w:r>
        <w:t>The corrected mobile dialog opens at its true top, scrolls to its true bottom, keeps an accessible close control, and browser/Android Back closes the dialog before leaving StepCat.</w:t>
      </w:r>
    </w:p>
    <w:p>
      <w:r>
        <w:br w:type="page"/>
      </w:r>
    </w:p>
    <w:p>
      <w:pPr>
        <w:pStyle w:val="Heading1"/>
        <w:keepNext/>
      </w:pPr>
      <w:r>
        <w:rPr>
          <w:color w:val="D06600"/>
        </w:rPr>
        <w:t>9. Google Sheets workbook - Instructions</w:t>
      </w:r>
    </w:p>
    <w:p>
      <w:r>
        <w:t>Workbook screenshots contain no personal records. Screenshots that visibly show v253.1 are labeled as previous layout references only. The Record Review, Best Results, and mobile row-insertion images are genuine current Workbook v253.2 captures.</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5349240" cy="7232775"/>
                  <wp:docPr id="16" name="Picture 16"/>
                  <wp:cNvGraphicFramePr>
                    <a:graphicFrameLocks noChangeAspect="1"/>
                  </wp:cNvGraphicFramePr>
                  <a:graphic>
                    <a:graphicData uri="http://schemas.openxmlformats.org/drawingml/2006/picture">
                      <pic:pic>
                        <pic:nvPicPr>
                          <pic:cNvPr id="0" name="13-workbook-instructions.jpg"/>
                          <pic:cNvPicPr/>
                        </pic:nvPicPr>
                        <pic:blipFill>
                          <a:blip r:embed="rId24"/>
                          <a:stretch>
                            <a:fillRect/>
                          </a:stretch>
                        </pic:blipFill>
                        <pic:spPr>
                          <a:xfrm>
                            <a:off x="0" y="0"/>
                            <a:ext cx="5349240" cy="7232775"/>
                          </a:xfrm>
                          <a:prstGeom prst="rect"/>
                        </pic:spPr>
                      </pic:pic>
                    </a:graphicData>
                  </a:graphic>
                </wp:inline>
              </w:drawing>
            </w:r>
          </w:p>
          <w:p>
            <w:pPr>
              <w:spacing w:before="0" w:after="20"/>
              <w:jc w:val="center"/>
            </w:pPr>
            <w:r>
              <w:t>Previous v253.1 Instructions layout reference; Workbook v253.2 keeps this structure and adds the current finalization-status guidance.</w:t>
            </w:r>
          </w:p>
        </w:tc>
      </w:tr>
    </w:tbl>
    <w:p>
      <w:r>
        <w:br w:type="page"/>
      </w:r>
    </w:p>
    <w:p>
      <w:pPr>
        <w:pStyle w:val="Heading1"/>
        <w:keepNext/>
      </w:pPr>
      <w:r>
        <w:rPr>
          <w:color w:val="D06600"/>
        </w:rPr>
        <w:t>9A. Carryover alternative</w:t>
      </w:r>
    </w:p>
    <w:tbl>
      <w:tblPr>
        <w:tblW w:type="auto" w:w="0"/>
        <w:jc w:val="center"/>
        <w:tblLook w:firstColumn="1" w:firstRow="1" w:lastColumn="0" w:lastRow="0" w:noHBand="0" w:noVBand="1" w:val="04A0"/>
      </w:tblPr>
      <w:tblGrid>
        <w:gridCol w:w="10368"/>
      </w:tblGrid>
      <w:tr>
        <w:tc>
          <w:tcPr>
            <w:tcW w:type="dxa" w:w="10368"/>
            <w:tcBorders>
              <w:top w:val="nil"/>
              <w:left w:val="nil"/>
              <w:bottom w:val="nil"/>
              <w:right w:val="nil"/>
              <w:insideH w:val="nil"/>
              <w:insideV w:val="nil"/>
            </w:tcBorders>
            <w:tcMar>
              <w:top w:w="10" w:type="dxa"/>
              <w:start w:w="20" w:type="dxa"/>
              <w:bottom w:w="10" w:type="dxa"/>
              <w:end w:w="20" w:type="dxa"/>
            </w:tcMar>
            <w:shd w:fill="FFF2CC"/>
          </w:tcPr>
          <w:p>
            <w:pPr>
              <w:jc w:val="center"/>
            </w:pPr>
            <w:r>
              <w:rPr>
                <w:b/>
                <w:sz w:val="26"/>
              </w:rPr>
              <w:t>Current Workbook v253.2 Carryover Setup</w:t>
            </w:r>
          </w:p>
          <w:p>
            <w:pPr>
              <w:jc w:val="center"/>
            </w:pPr>
            <w:r>
              <w:rPr>
                <w:b/>
                <w:sz w:val="22"/>
              </w:rPr>
              <w:t>B32  -  Prior Net Game Profit</w:t>
            </w:r>
          </w:p>
          <w:p>
            <w:pPr>
              <w:jc w:val="center"/>
            </w:pPr>
            <w:r>
              <w:rPr>
                <w:b/>
                <w:sz w:val="22"/>
              </w:rPr>
              <w:t>B33  -  Prior Subscription Costs</w:t>
            </w:r>
          </w:p>
          <w:p>
            <w:pPr>
              <w:jc w:val="center"/>
            </w:pPr>
            <w:r>
              <w:rPr>
                <w:b/>
                <w:sz w:val="22"/>
              </w:rPr>
              <w:t>B34  -  Prior Game Count</w:t>
            </w:r>
          </w:p>
          <w:p>
            <w:pPr>
              <w:jc w:val="center"/>
            </w:pPr>
            <w:r>
              <w:rPr>
                <w:sz w:val="20"/>
              </w:rPr>
              <w:t>Use these cells only when starting a fresh record list without transferring prior A:M records. If prior records are transferred, leave B32:B34 at 0.</w:t>
            </w:r>
          </w:p>
        </w:tc>
      </w:tr>
    </w:tbl>
    <w:tbl>
      <w:tblPr>
        <w:tblW w:type="auto" w:w="0"/>
        <w:jc w:val="center"/>
        <w:tblLook w:firstColumn="1" w:firstRow="1" w:lastColumn="0" w:lastRow="0" w:noHBand="0" w:noVBand="1" w:val="04A0"/>
      </w:tblPr>
      <w:tblGrid>
        <w:gridCol w:w="10368"/>
      </w:tblGrid>
      <w:tr>
        <w:tc>
          <w:tcPr>
            <w:tcW w:type="dxa" w:w="10368"/>
            <w:shd w:fill="FCE4D6"/>
            <w:tcMar>
              <w:top w:w="80" w:type="dxa"/>
              <w:start w:w="100" w:type="dxa"/>
              <w:bottom w:w="80" w:type="dxa"/>
              <w:end w:w="100" w:type="dxa"/>
            </w:tcMar>
          </w:tcPr>
          <w:p>
            <w:pPr>
              <w:spacing w:after="0"/>
            </w:pPr>
            <w:r>
              <w:rPr>
                <w:b/>
              </w:rPr>
              <w:t xml:space="preserve">Carryover is an alternative, not an update step: </w:t>
            </w:r>
            <w:r>
              <w:t>If you transfer prior A:M records into the current workbook, leave Carryover values at zero. Use Carryover only when starting a fresh record list without transferring the prior rows.</w:t>
            </w:r>
          </w:p>
        </w:tc>
      </w:tr>
    </w:tbl>
    <w:p>
      <w:pPr>
        <w:sectPr>
          <w:footerReference w:type="default" r:id="rId32"/>
          <w:pgSz w:w="12240" w:h="15840"/>
          <w:pgMar w:top="720" w:right="936" w:bottom="720" w:left="936" w:header="360" w:footer="360" w:gutter="0"/>
          <w:cols w:space="720"/>
          <w:docGrid w:linePitch="360"/>
        </w:sectPr>
      </w:pPr>
    </w:p>
    <w:p>
      <w:pPr>
        <w:pStyle w:val="Heading1"/>
        <w:keepNext/>
      </w:pPr>
      <w:r>
        <w:rPr>
          <w:color w:val="D06600"/>
        </w:rPr>
        <w:t>10. Game Records A:M and N:Z</w:t>
      </w:r>
    </w:p>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8458200" cy="2164110"/>
                  <wp:docPr id="18" name="Picture 18"/>
                  <wp:cNvGraphicFramePr>
                    <a:graphicFrameLocks noChangeAspect="1"/>
                  </wp:cNvGraphicFramePr>
                  <a:graphic>
                    <a:graphicData uri="http://schemas.openxmlformats.org/drawingml/2006/picture">
                      <pic:pic>
                        <pic:nvPicPr>
                          <pic:cNvPr id="0" name="14-game-records-top.jpg"/>
                          <pic:cNvPicPr/>
                        </pic:nvPicPr>
                        <pic:blipFill>
                          <a:blip r:embed="rId26"/>
                          <a:stretch>
                            <a:fillRect/>
                          </a:stretch>
                        </pic:blipFill>
                        <pic:spPr>
                          <a:xfrm>
                            <a:off x="0" y="0"/>
                            <a:ext cx="8458200" cy="2164110"/>
                          </a:xfrm>
                          <a:prstGeom prst="rect"/>
                        </pic:spPr>
                      </pic:pic>
                    </a:graphicData>
                  </a:graphic>
                </wp:inline>
              </w:drawing>
            </w:r>
          </w:p>
          <w:p>
            <w:pPr>
              <w:spacing w:before="0" w:after="20"/>
              <w:jc w:val="center"/>
            </w:pPr>
            <w:r>
              <w:t>Previous v253.1 Game Records A:M layout reference; Workbook v253.2 keeps the same A:M input-column structure.</w:t>
            </w:r>
          </w:p>
        </w:tc>
      </w:tr>
    </w:tbl>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8458200" cy="2175123"/>
                  <wp:docPr id="19" name="Picture 19"/>
                  <wp:cNvGraphicFramePr>
                    <a:graphicFrameLocks noChangeAspect="1"/>
                  </wp:cNvGraphicFramePr>
                  <a:graphic>
                    <a:graphicData uri="http://schemas.openxmlformats.org/drawingml/2006/picture">
                      <pic:pic>
                        <pic:nvPicPr>
                          <pic:cNvPr id="0" name="15-game-records-scrolled.jpg"/>
                          <pic:cNvPicPr/>
                        </pic:nvPicPr>
                        <pic:blipFill>
                          <a:blip r:embed="rId27"/>
                          <a:stretch>
                            <a:fillRect/>
                          </a:stretch>
                        </pic:blipFill>
                        <pic:spPr>
                          <a:xfrm>
                            <a:off x="0" y="0"/>
                            <a:ext cx="8458200" cy="2175123"/>
                          </a:xfrm>
                          <a:prstGeom prst="rect"/>
                        </pic:spPr>
                      </pic:pic>
                    </a:graphicData>
                  </a:graphic>
                </wp:inline>
              </w:drawing>
            </w:r>
          </w:p>
          <w:p>
            <w:pPr>
              <w:spacing w:before="0" w:after="20"/>
              <w:jc w:val="center"/>
            </w:pPr>
            <w:r>
              <w:t>Previous v253.1 Game Records A:M layout reference farther down the sheet; the current v253.2 workbook keeps rows 1-4 frozen.</w:t>
            </w:r>
          </w:p>
        </w:tc>
      </w:tr>
    </w:tbl>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8458200" cy="2191643"/>
                  <wp:docPr id="20" name="Picture 20"/>
                  <wp:cNvGraphicFramePr>
                    <a:graphicFrameLocks noChangeAspect="1"/>
                  </wp:cNvGraphicFramePr>
                  <a:graphic>
                    <a:graphicData uri="http://schemas.openxmlformats.org/drawingml/2006/picture">
                      <pic:pic>
                        <pic:nvPicPr>
                          <pic:cNvPr id="0" name="16-formula-columns.jpg"/>
                          <pic:cNvPicPr/>
                        </pic:nvPicPr>
                        <pic:blipFill>
                          <a:blip r:embed="rId28"/>
                          <a:stretch>
                            <a:fillRect/>
                          </a:stretch>
                        </pic:blipFill>
                        <pic:spPr>
                          <a:xfrm>
                            <a:off x="0" y="0"/>
                            <a:ext cx="8458200" cy="2191643"/>
                          </a:xfrm>
                          <a:prstGeom prst="rect"/>
                        </pic:spPr>
                      </pic:pic>
                    </a:graphicData>
                  </a:graphic>
                </wp:inline>
              </w:drawing>
            </w:r>
          </w:p>
          <w:p>
            <w:pPr>
              <w:spacing w:before="0" w:after="20"/>
              <w:jc w:val="center"/>
            </w:pPr>
            <w:r>
              <w:t>Previous v253.1 N:Z layout reference; Workbook v253.2 keeps these protected formula columns. Do not edit or paste into N:Z.</w:t>
            </w:r>
          </w:p>
        </w:tc>
      </w:tr>
    </w:tbl>
    <w:p>
      <w:r>
        <w:br w:type="page"/>
      </w:r>
    </w:p>
    <w:p>
      <w:pPr>
        <w:pStyle w:val="Heading1"/>
        <w:keepNext/>
      </w:pPr>
      <w:r>
        <w:t>11. Record Review, Summary and Best Results</w:t>
      </w:r>
    </w:p>
    <w:tbl>
      <w:tblPr>
        <w:tblW w:type="auto" w:w="0"/>
        <w:jc w:val="center"/>
        <w:tblLayout w:type="fixed"/>
        <w:tblLook w:firstColumn="1" w:firstRow="1" w:lastColumn="0" w:lastRow="0" w:noHBand="0" w:noVBand="1" w:val="04A0"/>
      </w:tblPr>
      <w:tblGrid>
        <w:gridCol w:w="7200"/>
        <w:gridCol w:w="7200"/>
      </w:tblGrid>
      <w:tr>
        <w:tc>
          <w:tcPr>
            <w:tcW w:type="dxa" w:w="7200"/>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4114800" cy="1009948"/>
                  <wp:docPr id="21" name="Picture 21"/>
                  <wp:cNvGraphicFramePr>
                    <a:graphicFrameLocks noChangeAspect="1"/>
                  </wp:cNvGraphicFramePr>
                  <a:graphic>
                    <a:graphicData uri="http://schemas.openxmlformats.org/drawingml/2006/picture">
                      <pic:pic>
                        <pic:nvPicPr>
                          <pic:cNvPr id="0" name="20-summary.jpg"/>
                          <pic:cNvPicPr/>
                        </pic:nvPicPr>
                        <pic:blipFill>
                          <a:blip r:embed="rId29"/>
                          <a:stretch>
                            <a:fillRect/>
                          </a:stretch>
                        </pic:blipFill>
                        <pic:spPr>
                          <a:xfrm>
                            <a:off x="0" y="0"/>
                            <a:ext cx="4114800" cy="1009948"/>
                          </a:xfrm>
                          <a:prstGeom prst="rect"/>
                        </pic:spPr>
                      </pic:pic>
                    </a:graphicData>
                  </a:graphic>
                </wp:inline>
              </w:drawing>
            </w:r>
          </w:p>
          <w:p>
            <w:pPr>
              <w:spacing w:before="0" w:after="20"/>
              <w:jc w:val="center"/>
            </w:pPr>
            <w:r>
              <w:t>Previous v253.1 Summary layout reference; Workbook v253.2 keeps the same core Summary calculations and financial totals.</w:t>
            </w:r>
          </w:p>
        </w:tc>
        <w:tc>
          <w:tcPr>
            <w:tcW w:type="dxa" w:w="7200"/>
            <w:tcBorders>
              <w:top w:val="nil"/>
              <w:left w:val="nil"/>
              <w:bottom w:val="nil"/>
              <w:right w:val="nil"/>
              <w:insideH w:val="nil"/>
              <w:insideV w:val="nil"/>
            </w:tcBorders>
            <w:tcMar>
              <w:top w:w="15" w:type="dxa"/>
              <w:start w:w="25" w:type="dxa"/>
              <w:bottom w:w="15" w:type="dxa"/>
              <w:end w:w="25" w:type="dxa"/>
            </w:tcMar>
            <w:vAlign w:val="top"/>
          </w:tcPr>
          <w:p>
            <w:pPr>
              <w:spacing w:after="20"/>
              <w:jc w:val="center"/>
            </w:pPr>
            <w:r>
              <w:drawing>
                <wp:inline xmlns:a="http://schemas.openxmlformats.org/drawingml/2006/main" xmlns:pic="http://schemas.openxmlformats.org/drawingml/2006/picture">
                  <wp:extent cx="4114800" cy="1283196"/>
                  <wp:docPr id="22" name="Picture 22"/>
                  <wp:cNvGraphicFramePr>
                    <a:graphicFrameLocks noChangeAspect="1"/>
                  </wp:cNvGraphicFramePr>
                  <a:graphic>
                    <a:graphicData uri="http://schemas.openxmlformats.org/drawingml/2006/picture">
                      <pic:pic>
                        <pic:nvPicPr>
                          <pic:cNvPr id="0" name="21-summary-tally.jpg"/>
                          <pic:cNvPicPr/>
                        </pic:nvPicPr>
                        <pic:blipFill>
                          <a:blip r:embed="rId30"/>
                          <a:stretch>
                            <a:fillRect/>
                          </a:stretch>
                        </pic:blipFill>
                        <pic:spPr>
                          <a:xfrm>
                            <a:off x="0" y="0"/>
                            <a:ext cx="4114800" cy="1283196"/>
                          </a:xfrm>
                          <a:prstGeom prst="rect"/>
                        </pic:spPr>
                      </pic:pic>
                    </a:graphicData>
                  </a:graphic>
                </wp:inline>
              </w:drawing>
            </w:r>
          </w:p>
          <w:p>
            <w:pPr>
              <w:spacing w:before="0" w:after="20"/>
              <w:jc w:val="center"/>
            </w:pPr>
            <w:r>
              <w:t>Previous v253.1 Running Tally layout reference; Workbook v253.2 keeps this reporting structure.</w:t>
            </w:r>
          </w:p>
        </w:tc>
      </w:tr>
    </w:tbl>
    <w:p>
      <w:r>
        <w:br w:type="page"/>
      </w:r>
    </w:p>
    <w:tbl>
      <w:tblPr>
        <w:tblW w:type="auto" w:w="0"/>
        <w:tblLayout w:type="fixed"/>
        <w:tblLook w:firstColumn="1" w:firstRow="1" w:lastColumn="0" w:lastRow="0" w:noHBand="0" w:noVBand="1" w:val="04A0"/>
      </w:tblPr>
      <w:tblGrid>
        <w:gridCol w:w="14400"/>
      </w:tblGrid>
      <w:tr>
        <w:trPr>
          <w:cantSplit/>
        </w:trPr>
        <w:tc>
          <w:tcPr>
            <w:tcW w:type="dxa" w:w="14400"/>
            <w:vAlign w:val="center"/>
          </w:tcPr>
          <w:p>
            <w:pPr>
              <w:jc w:val="center"/>
            </w:pPr>
            <w:r>
              <w:drawing>
                <wp:inline xmlns:a="http://schemas.openxmlformats.org/drawingml/2006/main" xmlns:pic="http://schemas.openxmlformats.org/drawingml/2006/picture">
                  <wp:extent cx="7863840" cy="5319355"/>
                  <wp:docPr id="24" name="Picture 24"/>
                  <wp:cNvGraphicFramePr>
                    <a:graphicFrameLocks noChangeAspect="1"/>
                  </wp:cNvGraphicFramePr>
                  <a:graphic>
                    <a:graphicData uri="http://schemas.openxmlformats.org/drawingml/2006/picture">
                      <pic:pic>
                        <pic:nvPicPr>
                          <pic:cNvPr id="0" name="Screenshot_20260824_044629_Sheets.jpg"/>
                          <pic:cNvPicPr/>
                        </pic:nvPicPr>
                        <pic:blipFill>
                          <a:blip r:embed="rId36"/>
                          <a:stretch>
                            <a:fillRect/>
                          </a:stretch>
                        </pic:blipFill>
                        <pic:spPr>
                          <a:xfrm>
                            <a:off x="0" y="0"/>
                            <a:ext cx="7863840" cy="5319355"/>
                          </a:xfrm>
                          <a:prstGeom prst="rect"/>
                        </pic:spPr>
                      </pic:pic>
                    </a:graphicData>
                  </a:graphic>
                </wp:inline>
              </w:drawing>
            </w:r>
          </w:p>
          <w:p>
            <w:pPr>
              <w:jc w:val="center"/>
            </w:pPr>
            <w:r>
              <w:rPr>
                <w:i/>
                <w:sz w:val="21"/>
              </w:rPr>
              <w:t>Record Review in Workbook v253.2 with rows 5–30 shown at consistent sizing.</w:t>
            </w:r>
          </w:p>
        </w:tc>
      </w:tr>
    </w:tbl>
    <w:p>
      <w:r>
        <w:br w:type="page"/>
      </w:r>
    </w:p>
    <w:tbl>
      <w:tblPr>
        <w:tblW w:type="auto" w:w="0"/>
        <w:jc w:val="center"/>
        <w:tblLook w:firstColumn="1" w:firstRow="1" w:lastColumn="0" w:lastRow="0" w:noHBand="0" w:noVBand="1" w:val="04A0"/>
      </w:tblPr>
      <w:tblGrid>
        <w:gridCol w:w="14400"/>
      </w:tblGrid>
      <w:tr>
        <w:tc>
          <w:tcPr>
            <w:tcW w:type="dxa" w:w="14400"/>
            <w:tcBorders>
              <w:top w:val="nil"/>
              <w:left w:val="nil"/>
              <w:bottom w:val="nil"/>
              <w:right w:val="nil"/>
              <w:insideH w:val="nil"/>
              <w:insideV w:val="nil"/>
            </w:tcBorders>
            <w:tcMar>
              <w:top w:w="10" w:type="dxa"/>
              <w:start w:w="20" w:type="dxa"/>
              <w:bottom w:w="10" w:type="dxa"/>
              <w:end w:w="20" w:type="dxa"/>
            </w:tcMar>
          </w:tcPr>
          <w:p>
            <w:pPr>
              <w:spacing w:after="20"/>
              <w:jc w:val="center"/>
            </w:pPr>
            <w:r>
              <w:drawing>
                <wp:inline xmlns:a="http://schemas.openxmlformats.org/drawingml/2006/main" xmlns:pic="http://schemas.openxmlformats.org/drawingml/2006/picture">
                  <wp:extent cx="7863840" cy="5529262"/>
                  <wp:docPr id="23" name="Picture 23"/>
                  <wp:cNvGraphicFramePr>
                    <a:graphicFrameLocks noChangeAspect="1"/>
                  </wp:cNvGraphicFramePr>
                  <a:graphic>
                    <a:graphicData uri="http://schemas.openxmlformats.org/drawingml/2006/picture">
                      <pic:pic>
                        <pic:nvPicPr>
                          <pic:cNvPr id="0" name="Screenshot_20260824_044215_Sheets.jpg"/>
                          <pic:cNvPicPr/>
                        </pic:nvPicPr>
                        <pic:blipFill>
                          <a:blip r:embed="rId35"/>
                          <a:stretch>
                            <a:fillRect/>
                          </a:stretch>
                        </pic:blipFill>
                        <pic:spPr>
                          <a:xfrm>
                            <a:off x="0" y="0"/>
                            <a:ext cx="7863840" cy="5529262"/>
                          </a:xfrm>
                          <a:prstGeom prst="rect"/>
                        </pic:spPr>
                      </pic:pic>
                    </a:graphicData>
                  </a:graphic>
                </wp:inline>
              </w:drawing>
            </w:r>
          </w:p>
          <w:p>
            <w:pPr>
              <w:spacing w:before="0" w:after="20"/>
              <w:jc w:val="center"/>
            </w:pPr>
            <w:r>
              <w:rPr>
                <w:i/>
                <w:sz w:val="21"/>
              </w:rPr>
              <w:t>Best Results in Workbook v253.2 with the finalized row-height consistency.</w:t>
            </w:r>
          </w:p>
        </w:tc>
      </w:tr>
    </w:tbl>
    <w:p>
      <w:pPr>
        <w:sectPr>
          <w:footerReference w:type="default" r:id="rId33"/>
          <w:pgSz w:w="15840" w:h="12240" w:orient="landscape"/>
          <w:pgMar w:top="648" w:right="720" w:bottom="648" w:left="720" w:header="360" w:footer="360" w:gutter="0"/>
          <w:cols w:space="720"/>
          <w:docGrid w:linePitch="360"/>
        </w:sectPr>
      </w:pPr>
    </w:p>
    <w:p>
      <w:pPr>
        <w:pStyle w:val="Heading1"/>
        <w:keepNext/>
      </w:pPr>
      <w:r>
        <w:t>12. Mobile row insertion and boundary restoration</w:t>
      </w:r>
    </w:p>
    <w:p>
      <w:pPr/>
      <w:r>
        <w:t>These four genuine Google Sheets mobile screenshots use the blank public Workbook v253.2. They demonstrate how a whole-row insertion temporarily moves the red active-record boundary, and how deleting the equivalent unused blank row restores the boundary to row 505 without using fabricated records.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184"/>
        <w:gridCol w:w="5184"/>
      </w:tblGrid>
      <w:tr>
        <w:tc>
          <w:tcPr>
            <w:tcW w:type="dxa" w:w="5040"/>
            <w:vAlign w:val="top"/>
          </w:tcPr>
          <w:p>
            <w:pPr>
              <w:jc w:val="center"/>
            </w:pPr>
            <w:r>
              <w:drawing>
                <wp:inline xmlns:a="http://schemas.openxmlformats.org/drawingml/2006/main" xmlns:pic="http://schemas.openxmlformats.org/drawingml/2006/picture">
                  <wp:extent cx="2743200" cy="5942955"/>
                  <wp:docPr id="25" name="Picture 25"/>
                  <wp:cNvGraphicFramePr>
                    <a:graphicFrameLocks noChangeAspect="1"/>
                  </wp:cNvGraphicFramePr>
                  <a:graphic>
                    <a:graphicData uri="http://schemas.openxmlformats.org/drawingml/2006/picture">
                      <pic:pic>
                        <pic:nvPicPr>
                          <pic:cNvPr id="0" name="36-insert-row-below.png"/>
                          <pic:cNvPicPr/>
                        </pic:nvPicPr>
                        <pic:blipFill>
                          <a:blip r:embed="rId37"/>
                          <a:stretch>
                            <a:fillRect/>
                          </a:stretch>
                        </pic:blipFill>
                        <pic:spPr>
                          <a:xfrm>
                            <a:off x="0" y="0"/>
                            <a:ext cx="2743200" cy="5942955"/>
                          </a:xfrm>
                          <a:prstGeom prst="rect"/>
                        </pic:spPr>
                      </pic:pic>
                    </a:graphicData>
                  </a:graphic>
                </wp:inline>
              </w:drawing>
            </w:r>
          </w:p>
          <w:p>
            <w:pPr>
              <w:spacing w:before="80" w:after="0"/>
              <w:jc w:val="center"/>
            </w:pPr>
            <w:r>
              <w:rPr>
                <w:b/>
                <w:sz w:val="18"/>
              </w:rPr>
              <w:t>1. Choose "Insert row below" on a blank active-record row.</w:t>
            </w:r>
          </w:p>
        </w:tc>
        <w:tc>
          <w:tcPr>
            <w:tcW w:type="dxa" w:w="5040"/>
            <w:vAlign w:val="top"/>
          </w:tcPr>
          <w:p>
            <w:pPr>
              <w:jc w:val="center"/>
            </w:pPr>
            <w:r>
              <w:drawing>
                <wp:inline xmlns:a="http://schemas.openxmlformats.org/drawingml/2006/main" xmlns:pic="http://schemas.openxmlformats.org/drawingml/2006/picture">
                  <wp:extent cx="2743200" cy="5942955"/>
                  <wp:docPr id="26" name="Picture 26"/>
                  <wp:cNvGraphicFramePr>
                    <a:graphicFrameLocks noChangeAspect="1"/>
                  </wp:cNvGraphicFramePr>
                  <a:graphic>
                    <a:graphicData uri="http://schemas.openxmlformats.org/drawingml/2006/picture">
                      <pic:pic>
                        <pic:nvPicPr>
                          <pic:cNvPr id="0" name="37-boundary-shifted-to-506.png"/>
                          <pic:cNvPicPr/>
                        </pic:nvPicPr>
                        <pic:blipFill>
                          <a:blip r:embed="rId38"/>
                          <a:stretch>
                            <a:fillRect/>
                          </a:stretch>
                        </pic:blipFill>
                        <pic:spPr>
                          <a:xfrm>
                            <a:off x="0" y="0"/>
                            <a:ext cx="2743200" cy="5942955"/>
                          </a:xfrm>
                          <a:prstGeom prst="rect"/>
                        </pic:spPr>
                      </pic:pic>
                    </a:graphicData>
                  </a:graphic>
                </wp:inline>
              </w:drawing>
            </w:r>
          </w:p>
          <w:p>
            <w:pPr>
              <w:spacing w:before="80" w:after="0"/>
              <w:jc w:val="center"/>
            </w:pPr>
            <w:r>
              <w:rPr>
                <w:b/>
                <w:sz w:val="18"/>
              </w:rPr>
              <w:t>2. The red ACTIVE RECORD BOUNDARY moves temporarily to row 506.</w:t>
            </w:r>
          </w:p>
        </w:tc>
      </w:tr>
    </w:tbl>
    <w:p>
      <w:r>
        <w:br w:type="page"/>
      </w:r>
    </w:p>
    <w:p>
      <w:pPr>
        <w:pStyle w:val="Heading2"/>
        <w:keepNext/>
      </w:pPr>
      <w:r>
        <w:t>Boundary restoration - continued</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184"/>
        <w:gridCol w:w="5184"/>
      </w:tblGrid>
      <w:tr>
        <w:tc>
          <w:tcPr>
            <w:tcW w:type="dxa" w:w="5040"/>
            <w:vAlign w:val="top"/>
          </w:tcPr>
          <w:p>
            <w:pPr>
              <w:jc w:val="center"/>
            </w:pPr>
            <w:r>
              <w:drawing>
                <wp:inline xmlns:a="http://schemas.openxmlformats.org/drawingml/2006/main" xmlns:pic="http://schemas.openxmlformats.org/drawingml/2006/picture">
                  <wp:extent cx="2743200" cy="5942955"/>
                  <wp:docPr id="27" name="Picture 27"/>
                  <wp:cNvGraphicFramePr>
                    <a:graphicFrameLocks noChangeAspect="1"/>
                  </wp:cNvGraphicFramePr>
                  <a:graphic>
                    <a:graphicData uri="http://schemas.openxmlformats.org/drawingml/2006/picture">
                      <pic:pic>
                        <pic:nvPicPr>
                          <pic:cNvPr id="0" name="38-delete-extra-row-505.png"/>
                          <pic:cNvPicPr/>
                        </pic:nvPicPr>
                        <pic:blipFill>
                          <a:blip r:embed="rId39"/>
                          <a:stretch>
                            <a:fillRect/>
                          </a:stretch>
                        </pic:blipFill>
                        <pic:spPr>
                          <a:xfrm>
                            <a:off x="0" y="0"/>
                            <a:ext cx="2743200" cy="5942955"/>
                          </a:xfrm>
                          <a:prstGeom prst="rect"/>
                        </pic:spPr>
                      </pic:pic>
                    </a:graphicData>
                  </a:graphic>
                </wp:inline>
              </w:drawing>
            </w:r>
          </w:p>
          <w:p>
            <w:pPr>
              <w:spacing w:before="80" w:after="0"/>
              <w:jc w:val="center"/>
            </w:pPr>
            <w:r>
              <w:rPr>
                <w:b/>
                <w:sz w:val="18"/>
              </w:rPr>
              <w:t>3. Select the extra unused blank row immediately above the boundary and choose Delete.</w:t>
            </w:r>
          </w:p>
        </w:tc>
        <w:tc>
          <w:tcPr>
            <w:tcW w:type="dxa" w:w="5040"/>
            <w:vAlign w:val="top"/>
          </w:tcPr>
          <w:p>
            <w:pPr>
              <w:jc w:val="center"/>
            </w:pPr>
            <w:r>
              <w:drawing>
                <wp:inline xmlns:a="http://schemas.openxmlformats.org/drawingml/2006/main" xmlns:pic="http://schemas.openxmlformats.org/drawingml/2006/picture">
                  <wp:extent cx="2743200" cy="5942955"/>
                  <wp:docPr id="28" name="Picture 28"/>
                  <wp:cNvGraphicFramePr>
                    <a:graphicFrameLocks noChangeAspect="1"/>
                  </wp:cNvGraphicFramePr>
                  <a:graphic>
                    <a:graphicData uri="http://schemas.openxmlformats.org/drawingml/2006/picture">
                      <pic:pic>
                        <pic:nvPicPr>
                          <pic:cNvPr id="0" name="39-boundary-restored-505.png"/>
                          <pic:cNvPicPr/>
                        </pic:nvPicPr>
                        <pic:blipFill>
                          <a:blip r:embed="rId40"/>
                          <a:stretch>
                            <a:fillRect/>
                          </a:stretch>
                        </pic:blipFill>
                        <pic:spPr>
                          <a:xfrm>
                            <a:off x="0" y="0"/>
                            <a:ext cx="2743200" cy="5942955"/>
                          </a:xfrm>
                          <a:prstGeom prst="rect"/>
                        </pic:spPr>
                      </pic:pic>
                    </a:graphicData>
                  </a:graphic>
                </wp:inline>
              </w:drawing>
            </w:r>
          </w:p>
          <w:p>
            <w:pPr>
              <w:spacing w:before="80" w:after="0"/>
              <w:jc w:val="center"/>
            </w:pPr>
            <w:r>
              <w:rPr>
                <w:b/>
                <w:sz w:val="18"/>
              </w:rPr>
              <w:t>4. Confirm the red boundary is restored to row 505.</w:t>
            </w:r>
          </w:p>
        </w:tc>
      </w:tr>
    </w:tbl>
    <w:p>
      <w:pPr>
        <w:jc w:val="center"/>
      </w:pPr>
      <w:r>
        <w:rPr>
          <w:b/>
          <w:sz w:val="20"/>
        </w:rPr>
        <w:t>Important: Never delete the red boundary row itself. Delete only the equivalent unused blank row or rows immediately above it.</w:t>
      </w:r>
    </w:p>
    <w:p>
      <w:pPr>
        <w:pStyle w:val="Heading1"/>
        <w:keepNext/>
        <w:pageBreakBefore/>
      </w:pPr>
      <w:r>
        <w:t>13. Installation, feedback, and troubleshooting</w:t>
      </w:r>
    </w:p>
    <w:p>
      <w:pPr>
        <w:pStyle w:val="Heading2"/>
        <w:keepNext/>
      </w:pPr>
      <w:r>
        <w:rPr>
          <w:color w:val="2D2D2D"/>
        </w:rPr>
        <w:t>Installation</w:t>
      </w:r>
    </w:p>
    <w:p>
      <w:r>
        <w:t>Use the hosted StepCat page in a supported browser. When installation is unavailable, use the Installation information and Add to Home Screen guidance. A local test page may not offer the same installation controls as the hosted site.</w:t>
      </w:r>
    </w:p>
    <w:p>
      <w:pPr>
        <w:pStyle w:val="Heading2"/>
        <w:keepNext/>
      </w:pPr>
      <w:r>
        <w:rPr>
          <w:color w:val="2D2D2D"/>
        </w:rPr>
        <w:t>Feedback</w:t>
      </w:r>
    </w:p>
    <w:p>
      <w:r>
        <w:t>Write Feedback prepares a message for your email app. Review the recipient, subject, and message before sending.</w:t>
      </w:r>
    </w:p>
    <w:p>
      <w:pPr>
        <w:pStyle w:val="Heading2"/>
        <w:keepNext/>
      </w:pPr>
      <w:r>
        <w:rPr>
          <w:color w:val="2D2D2D"/>
        </w:rPr>
        <w:t>Troubleshooting</w:t>
      </w:r>
    </w:p>
    <w:p>
      <w:pPr>
        <w:spacing w:after="80"/>
      </w:pPr>
      <w:r>
        <w:rPr>
          <w:b/>
        </w:rPr>
        <w:t xml:space="preserve">Calculate does not continue: </w:t>
      </w:r>
      <w:r>
        <w:t>Correct the highlighted field. StepCat identifies the first blocking value.</w:t>
      </w:r>
    </w:p>
    <w:p>
      <w:pPr>
        <w:spacing w:after="80"/>
      </w:pPr>
      <w:r>
        <w:rPr>
          <w:b/>
        </w:rPr>
        <w:t xml:space="preserve">Free Game fee is rejected: </w:t>
      </w:r>
      <w:r>
        <w:t>Use Entry Fee 0 for Free Game / Chips, or choose another Payment / Record Type.</w:t>
      </w:r>
    </w:p>
    <w:p>
      <w:pPr>
        <w:spacing w:after="80"/>
      </w:pPr>
      <w:r>
        <w:rPr>
          <w:b/>
        </w:rPr>
        <w:t xml:space="preserve">Membership or Entry Mode resets: </w:t>
      </w:r>
      <w:r>
        <w:t>Enable the matching Remember setting or make a fresh selection.</w:t>
      </w:r>
    </w:p>
    <w:p>
      <w:pPr>
        <w:spacing w:after="80"/>
      </w:pPr>
      <w:r>
        <w:rPr>
          <w:b/>
        </w:rPr>
        <w:t xml:space="preserve">Saved entry appears as unfinished work: </w:t>
      </w:r>
      <w:r>
        <w:t>Current v253.1 removes a completed saved record from unfinished-draft recovery while leaving the completed fields visible for review during the current session.</w:t>
      </w:r>
    </w:p>
    <w:p>
      <w:pPr>
        <w:spacing w:after="80"/>
      </w:pPr>
      <w:r>
        <w:rPr>
          <w:b/>
        </w:rPr>
        <w:t xml:space="preserve">Copied row does not calculate: </w:t>
      </w:r>
      <w:r>
        <w:t>Paste into the destination column-A cell and only across A:M. N:Z should calculate automatically.</w:t>
      </w:r>
    </w:p>
    <w:p>
      <w:pPr>
        <w:spacing w:after="80"/>
      </w:pPr>
      <w:r>
        <w:rPr>
          <w:b/>
        </w:rPr>
        <w:t xml:space="preserve">Switching devices: </w:t>
      </w:r>
      <w:r>
        <w:t>Open the same Google Sheet on the other device. StepCat Saved History, settings, and unfinished fields do not automatically transfer.</w:t>
      </w:r>
    </w:p>
    <w:p>
      <w:pPr>
        <w:spacing w:after="80"/>
      </w:pPr>
      <w:r>
        <w:rPr>
          <w:b/>
        </w:rPr>
        <w:t xml:space="preserve">Move Existing Records behavior: </w:t>
      </w:r>
      <w:r>
        <w:t>The current dialog keeps Close reachable, supports full scrolling, and browser/Android Back closes the dialog before navigating away.</w:t>
      </w:r>
    </w:p>
    <w:tbl>
      <w:tblPr>
        <w:tblW w:type="auto" w:w="0"/>
        <w:jc w:val="center"/>
        <w:tblLook w:firstColumn="1" w:firstRow="1" w:lastColumn="0" w:lastRow="0" w:noHBand="0" w:noVBand="1" w:val="04A0"/>
      </w:tblPr>
      <w:tblGrid>
        <w:gridCol w:w="10368"/>
      </w:tblGrid>
      <w:tr>
        <w:tc>
          <w:tcPr>
            <w:tcW w:type="dxa" w:w="10368"/>
            <w:shd w:fill="E2F0D9"/>
            <w:tcMar>
              <w:top w:w="80" w:type="dxa"/>
              <w:start w:w="100" w:type="dxa"/>
              <w:bottom w:w="80" w:type="dxa"/>
              <w:end w:w="100" w:type="dxa"/>
            </w:tcMar>
          </w:tcPr>
          <w:p>
            <w:pPr>
              <w:spacing w:after="0"/>
            </w:pPr>
            <w:r>
              <w:rPr>
                <w:b/>
              </w:rPr>
              <w:t xml:space="preserve">Release check: </w:t>
            </w:r>
            <w:r>
              <w:t>After deployment, close old StepCat tabs/apps, reopen the hosted site, confirm StepCat v253.1 is displayed, open the public Workbook v253.2 link, and verify that the current screenshots and v253.2 downloadable guides load.</w:t>
            </w:r>
          </w:p>
        </w:tc>
      </w:tr>
    </w:tbl>
    <w:sectPr w:rsidR="00FC693F" w:rsidRPr="0006063C" w:rsidSect="00034616">
      <w:footerReference w:type="default" r:id="rId34"/>
      <w:pgSz w:w="12240" w:h="15840"/>
      <w:pgMar w:top="720" w:right="936" w:bottom="720"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StepCat Calculator v253.1 + Workbook v253.2 - Quick Start Guide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StepCat Calculator v253.1 + Workbook v253.2 - Quick Start Guide</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StepCat Calculator v253.1 + Workbook v253.2 - Quick Start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2" Type="http://schemas.openxmlformats.org/officeDocument/2006/relationships/footer" Target="footer1.xml"/><Relationship Id="rId33" Type="http://schemas.openxmlformats.org/officeDocument/2006/relationships/footer" Target="footer2.xml"/><Relationship Id="rId34" Type="http://schemas.openxmlformats.org/officeDocument/2006/relationships/footer" Target="footer3.xml"/><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