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354C3" w14:textId="77777777" w:rsidR="00A16DC9" w:rsidRDefault="00C7409C" w:rsidP="00DC7EFC">
      <w:pPr>
        <w:rPr>
          <w:lang w:val="en"/>
        </w:rPr>
      </w:pPr>
      <w:r w:rsidRPr="00C7409C">
        <w:rPr>
          <w:lang w:val="en"/>
        </w:rPr>
        <w:t xml:space="preserve">Law No. </w:t>
      </w:r>
      <w:r w:rsidR="00DC7EFC">
        <w:rPr>
          <w:lang w:val="en"/>
        </w:rPr>
        <w:t>60</w:t>
      </w:r>
      <w:r w:rsidRPr="00C7409C">
        <w:rPr>
          <w:lang w:val="en"/>
        </w:rPr>
        <w:t xml:space="preserve"> </w:t>
      </w:r>
    </w:p>
    <w:p w14:paraId="0AF43AF4" w14:textId="6B5F221D" w:rsidR="00743520" w:rsidRDefault="00743520" w:rsidP="00DC7EFC">
      <w:r w:rsidRPr="00743520">
        <w:t xml:space="preserve">Section 6020.10. — Reports. — (13 L.P.R.A. § 48530) </w:t>
      </w:r>
    </w:p>
    <w:p w14:paraId="0EA5447D" w14:textId="046DF2FB" w:rsidR="00743520" w:rsidRPr="00A16DC9" w:rsidRDefault="00743520" w:rsidP="00A16DC9">
      <w:pPr>
        <w:pStyle w:val="ListParagraph"/>
        <w:numPr>
          <w:ilvl w:val="0"/>
          <w:numId w:val="2"/>
        </w:numPr>
        <w:rPr>
          <w:lang w:val="en"/>
        </w:rPr>
      </w:pPr>
      <w:r w:rsidRPr="00A16DC9">
        <w:rPr>
          <w:lang w:val="en"/>
        </w:rPr>
        <w:t>Annual reports required by this Code for Exempt Businesses under Section 2021.01</w:t>
      </w:r>
    </w:p>
    <w:p w14:paraId="22988E07" w14:textId="7835E39A" w:rsidR="00743520" w:rsidRDefault="00743520" w:rsidP="00743520">
      <w:pPr>
        <w:pStyle w:val="ListParagraph"/>
        <w:rPr>
          <w:lang w:val="en"/>
        </w:rPr>
      </w:pPr>
      <w:r w:rsidRPr="00743520">
        <w:rPr>
          <w:lang w:val="en"/>
        </w:rPr>
        <w:t>They must be accompanied by evidence of a minimum annual contribution of ten thousand dollars</w:t>
      </w:r>
      <w:r>
        <w:rPr>
          <w:lang w:val="en"/>
        </w:rPr>
        <w:t xml:space="preserve"> (</w:t>
      </w:r>
      <w:r w:rsidRPr="00743520">
        <w:rPr>
          <w:lang w:val="en"/>
        </w:rPr>
        <w:t xml:space="preserve">10,000), which will </w:t>
      </w:r>
      <w:r w:rsidRPr="000119D2">
        <w:rPr>
          <w:i/>
          <w:iCs/>
          <w:lang w:val="en"/>
        </w:rPr>
        <w:t xml:space="preserve">be allocated to non-profit entities operating in Puerto Rico </w:t>
      </w:r>
      <w:proofErr w:type="gramStart"/>
      <w:r w:rsidRPr="000119D2">
        <w:rPr>
          <w:i/>
          <w:iCs/>
          <w:lang w:val="en"/>
        </w:rPr>
        <w:t>under  the</w:t>
      </w:r>
      <w:proofErr w:type="gramEnd"/>
      <w:r w:rsidRPr="000119D2">
        <w:rPr>
          <w:i/>
          <w:iCs/>
          <w:lang w:val="en"/>
        </w:rPr>
        <w:t xml:space="preserve">  Section 1101.01 of the Internal Revenue Code of Puerto Rico, including the Special  Fund for Social Equality,</w:t>
      </w:r>
      <w:r w:rsidRPr="00743520">
        <w:rPr>
          <w:lang w:val="en"/>
        </w:rPr>
        <w:t xml:space="preserve"> which is not controlled by the same person, nor by his </w:t>
      </w:r>
      <w:proofErr w:type="spellStart"/>
      <w:r w:rsidRPr="00743520">
        <w:rPr>
          <w:lang w:val="en"/>
        </w:rPr>
        <w:t>escendants</w:t>
      </w:r>
      <w:proofErr w:type="spellEnd"/>
      <w:r>
        <w:rPr>
          <w:lang w:val="en"/>
        </w:rPr>
        <w:t xml:space="preserve"> </w:t>
      </w:r>
      <w:r w:rsidRPr="00743520">
        <w:rPr>
          <w:lang w:val="en"/>
        </w:rPr>
        <w:t xml:space="preserve">or ascendants, spouses or partners. </w:t>
      </w:r>
    </w:p>
    <w:p w14:paraId="380CB9C3" w14:textId="77777777" w:rsidR="00743520" w:rsidRDefault="00743520" w:rsidP="00743520">
      <w:pPr>
        <w:pStyle w:val="ListParagraph"/>
        <w:rPr>
          <w:lang w:val="en"/>
        </w:rPr>
      </w:pPr>
    </w:p>
    <w:p w14:paraId="1169A1EF" w14:textId="0E742192" w:rsidR="00743520" w:rsidRDefault="00743520" w:rsidP="000119D2">
      <w:pPr>
        <w:pStyle w:val="ListParagraph"/>
        <w:rPr>
          <w:lang w:val="en"/>
        </w:rPr>
      </w:pPr>
      <w:r w:rsidRPr="00743520">
        <w:rPr>
          <w:lang w:val="en"/>
        </w:rPr>
        <w:t>Regardless of the amount contributed on the</w:t>
      </w:r>
      <w:r w:rsidR="000119D2">
        <w:rPr>
          <w:lang w:val="en"/>
        </w:rPr>
        <w:t xml:space="preserve"> </w:t>
      </w:r>
      <w:r w:rsidRPr="00743520">
        <w:rPr>
          <w:lang w:val="en"/>
        </w:rPr>
        <w:t>minimum provided in this section, five thousand dollars ($5,000) will be</w:t>
      </w:r>
      <w:r w:rsidRPr="000119D2">
        <w:rPr>
          <w:i/>
          <w:iCs/>
          <w:lang w:val="en"/>
        </w:rPr>
        <w:t xml:space="preserve"> allocated to entities</w:t>
      </w:r>
      <w:r w:rsidR="000119D2" w:rsidRPr="000119D2">
        <w:rPr>
          <w:i/>
          <w:iCs/>
          <w:lang w:val="en"/>
        </w:rPr>
        <w:t xml:space="preserve"> </w:t>
      </w:r>
      <w:r w:rsidRPr="000119D2">
        <w:rPr>
          <w:i/>
          <w:iCs/>
          <w:lang w:val="en"/>
        </w:rPr>
        <w:t>non-profit organizations that have services aimed at addressing the eradication of child poverty</w:t>
      </w:r>
      <w:r w:rsidRPr="00743520">
        <w:rPr>
          <w:lang w:val="en"/>
        </w:rPr>
        <w:t>,</w:t>
      </w:r>
      <w:r w:rsidR="000119D2">
        <w:rPr>
          <w:lang w:val="en"/>
        </w:rPr>
        <w:t xml:space="preserve"> </w:t>
      </w:r>
      <w:r w:rsidRPr="00743520">
        <w:rPr>
          <w:lang w:val="en"/>
        </w:rPr>
        <w:t>that operate in the jurisdiction of Puerto Rico under Section 1101.01 of the Revenue Code</w:t>
      </w:r>
      <w:r w:rsidR="000119D2">
        <w:rPr>
          <w:lang w:val="en"/>
        </w:rPr>
        <w:t xml:space="preserve">  </w:t>
      </w:r>
      <w:r w:rsidRPr="00743520">
        <w:rPr>
          <w:lang w:val="en"/>
        </w:rPr>
        <w:t>Internal, which is not controlled by the same person, nor by his descendants or ascendants,</w:t>
      </w:r>
      <w:r w:rsidR="000119D2">
        <w:rPr>
          <w:lang w:val="en"/>
        </w:rPr>
        <w:t xml:space="preserve">  </w:t>
      </w:r>
      <w:r w:rsidRPr="00743520">
        <w:rPr>
          <w:lang w:val="en"/>
        </w:rPr>
        <w:t>spouses or partners, and that is on the list that will be published by the “</w:t>
      </w:r>
      <w:hyperlink r:id="rId7" w:history="1">
        <w:r w:rsidRPr="00F9775C">
          <w:rPr>
            <w:rStyle w:val="Hyperlink"/>
            <w:lang w:val="en"/>
          </w:rPr>
          <w:t>Special Joint Commission</w:t>
        </w:r>
        <w:r w:rsidR="000119D2" w:rsidRPr="00F9775C">
          <w:rPr>
            <w:rStyle w:val="Hyperlink"/>
            <w:lang w:val="en"/>
          </w:rPr>
          <w:t xml:space="preserve">  </w:t>
        </w:r>
        <w:r w:rsidRPr="00F9775C">
          <w:rPr>
            <w:rStyle w:val="Hyperlink"/>
            <w:lang w:val="en"/>
          </w:rPr>
          <w:t>of Legislative Funds for Community Impact</w:t>
        </w:r>
      </w:hyperlink>
      <w:r w:rsidRPr="00743520">
        <w:rPr>
          <w:lang w:val="en"/>
        </w:rPr>
        <w:t>” on or before December 31 of each year</w:t>
      </w:r>
      <w:r w:rsidR="000119D2">
        <w:rPr>
          <w:lang w:val="en"/>
        </w:rPr>
        <w:t xml:space="preserve"> </w:t>
      </w:r>
      <w:r w:rsidRPr="00743520">
        <w:rPr>
          <w:lang w:val="en"/>
        </w:rPr>
        <w:t>in accordance with the provisions of this Code.</w:t>
      </w:r>
    </w:p>
    <w:p w14:paraId="3260ABE5" w14:textId="77777777" w:rsidR="000119D2" w:rsidRDefault="000119D2" w:rsidP="000119D2">
      <w:pPr>
        <w:pStyle w:val="ListParagraph"/>
        <w:rPr>
          <w:lang w:val="en"/>
        </w:rPr>
      </w:pPr>
    </w:p>
    <w:p w14:paraId="10D83837" w14:textId="16B33D58" w:rsidR="00F9775C" w:rsidRDefault="000119D2" w:rsidP="000119D2">
      <w:pPr>
        <w:pStyle w:val="ListParagraph"/>
        <w:rPr>
          <w:lang w:val="en"/>
        </w:rPr>
      </w:pPr>
      <w:r w:rsidRPr="000119D2">
        <w:rPr>
          <w:lang w:val="en"/>
        </w:rPr>
        <w:t xml:space="preserve">Nothing will stop one hundred </w:t>
      </w:r>
      <w:r w:rsidR="003D099A" w:rsidRPr="000119D2">
        <w:rPr>
          <w:lang w:val="en"/>
        </w:rPr>
        <w:t>percent</w:t>
      </w:r>
      <w:r w:rsidR="003D099A">
        <w:rPr>
          <w:lang w:val="en"/>
        </w:rPr>
        <w:t xml:space="preserve"> (</w:t>
      </w:r>
      <w:r w:rsidRPr="000119D2">
        <w:rPr>
          <w:lang w:val="en"/>
        </w:rPr>
        <w:t>100%) of the annual contribution is allocated to non-profit entities that are</w:t>
      </w:r>
      <w:r>
        <w:rPr>
          <w:lang w:val="en"/>
        </w:rPr>
        <w:t xml:space="preserve"> </w:t>
      </w:r>
      <w:proofErr w:type="gramStart"/>
      <w:r w:rsidRPr="000119D2">
        <w:rPr>
          <w:lang w:val="en"/>
        </w:rPr>
        <w:t>in</w:t>
      </w:r>
      <w:proofErr w:type="gramEnd"/>
      <w:r w:rsidRPr="000119D2">
        <w:rPr>
          <w:lang w:val="en"/>
        </w:rPr>
        <w:t xml:space="preserve"> the </w:t>
      </w:r>
      <w:proofErr w:type="gramStart"/>
      <w:r w:rsidRPr="000119D2">
        <w:rPr>
          <w:lang w:val="en"/>
        </w:rPr>
        <w:t>aforementioned list</w:t>
      </w:r>
      <w:proofErr w:type="gramEnd"/>
      <w:r w:rsidRPr="000119D2">
        <w:rPr>
          <w:lang w:val="en"/>
        </w:rPr>
        <w:t xml:space="preserve">. </w:t>
      </w:r>
      <w:r w:rsidRPr="00A16DC9">
        <w:rPr>
          <w:b/>
          <w:bCs/>
          <w:lang w:val="en"/>
        </w:rPr>
        <w:t xml:space="preserve">Two thousand five hundred (2,500) dollars must be allocated to any other non-profit entity operating in Puerto Rico under Section 1101.01 </w:t>
      </w:r>
      <w:r w:rsidRPr="00F9775C">
        <w:rPr>
          <w:lang w:val="en"/>
        </w:rPr>
        <w:t xml:space="preserve">of the Code of Internal Revenue of Puerto Rico, including the </w:t>
      </w:r>
      <w:hyperlink r:id="rId8" w:history="1">
        <w:r w:rsidRPr="00AD42AE">
          <w:rPr>
            <w:rStyle w:val="Hyperlink"/>
            <w:lang w:val="en"/>
          </w:rPr>
          <w:t>Special Fund for Social Equality</w:t>
        </w:r>
      </w:hyperlink>
      <w:r w:rsidRPr="00A16DC9">
        <w:rPr>
          <w:b/>
          <w:bCs/>
          <w:lang w:val="en"/>
        </w:rPr>
        <w:t>,</w:t>
      </w:r>
      <w:r w:rsidRPr="000119D2">
        <w:rPr>
          <w:lang w:val="en"/>
        </w:rPr>
        <w:t xml:space="preserve"> which does not</w:t>
      </w:r>
      <w:r>
        <w:rPr>
          <w:lang w:val="en"/>
        </w:rPr>
        <w:t xml:space="preserve"> </w:t>
      </w:r>
      <w:r w:rsidRPr="000119D2">
        <w:rPr>
          <w:lang w:val="en"/>
        </w:rPr>
        <w:t>is controlled by the same person, nor by their descendants or ascendants, spouses or partners</w:t>
      </w:r>
      <w:r>
        <w:rPr>
          <w:lang w:val="en"/>
        </w:rPr>
        <w:t xml:space="preserve"> </w:t>
      </w:r>
      <w:r w:rsidRPr="000119D2">
        <w:rPr>
          <w:lang w:val="en"/>
        </w:rPr>
        <w:t xml:space="preserve">and </w:t>
      </w:r>
      <w:r w:rsidRPr="00F9775C">
        <w:rPr>
          <w:b/>
          <w:bCs/>
          <w:lang w:val="en"/>
        </w:rPr>
        <w:t xml:space="preserve">that </w:t>
      </w:r>
      <w:r w:rsidR="00F9775C" w:rsidRPr="00F9775C">
        <w:rPr>
          <w:b/>
          <w:bCs/>
          <w:lang w:val="en"/>
        </w:rPr>
        <w:t xml:space="preserve">does not </w:t>
      </w:r>
      <w:r w:rsidR="003D099A" w:rsidRPr="00F9775C">
        <w:rPr>
          <w:b/>
          <w:bCs/>
          <w:lang w:val="en"/>
        </w:rPr>
        <w:t>appears</w:t>
      </w:r>
      <w:r w:rsidRPr="00F9775C">
        <w:rPr>
          <w:b/>
          <w:bCs/>
          <w:lang w:val="en"/>
        </w:rPr>
        <w:t xml:space="preserve"> on the list </w:t>
      </w:r>
      <w:r w:rsidRPr="000119D2">
        <w:rPr>
          <w:lang w:val="en"/>
        </w:rPr>
        <w:t xml:space="preserve">published by the </w:t>
      </w:r>
      <w:hyperlink r:id="rId9" w:history="1">
        <w:r w:rsidRPr="00A16DC9">
          <w:rPr>
            <w:rStyle w:val="Hyperlink"/>
            <w:lang w:val="en"/>
          </w:rPr>
          <w:t>Special Commission on Legislative Funds for Community Impact</w:t>
        </w:r>
      </w:hyperlink>
      <w:r w:rsidRPr="000119D2">
        <w:rPr>
          <w:lang w:val="en"/>
        </w:rPr>
        <w:t xml:space="preserve">. </w:t>
      </w:r>
    </w:p>
    <w:p w14:paraId="7AD4FC4D" w14:textId="5FD73454" w:rsidR="000119D2" w:rsidRPr="00AD42AE" w:rsidRDefault="00F9775C" w:rsidP="000119D2">
      <w:pPr>
        <w:pStyle w:val="ListParagraph"/>
        <w:rPr>
          <w:b/>
          <w:bCs/>
          <w:lang w:val="en"/>
        </w:rPr>
      </w:pPr>
      <w:r>
        <w:rPr>
          <w:lang w:val="en"/>
        </w:rPr>
        <w:t xml:space="preserve">The </w:t>
      </w:r>
      <w:r w:rsidR="000119D2" w:rsidRPr="000119D2">
        <w:rPr>
          <w:lang w:val="en"/>
        </w:rPr>
        <w:t xml:space="preserve">Exempt Business </w:t>
      </w:r>
      <w:r w:rsidR="000119D2" w:rsidRPr="00F9775C">
        <w:rPr>
          <w:b/>
          <w:bCs/>
          <w:lang w:val="en"/>
        </w:rPr>
        <w:t>will have to provide evidence</w:t>
      </w:r>
      <w:r w:rsidR="000119D2" w:rsidRPr="000119D2">
        <w:rPr>
          <w:lang w:val="en"/>
        </w:rPr>
        <w:t xml:space="preserve"> to the Office of</w:t>
      </w:r>
      <w:r w:rsidR="000119D2">
        <w:rPr>
          <w:lang w:val="en"/>
        </w:rPr>
        <w:t xml:space="preserve"> </w:t>
      </w:r>
      <w:r w:rsidR="000119D2" w:rsidRPr="000119D2">
        <w:rPr>
          <w:lang w:val="en"/>
        </w:rPr>
        <w:t xml:space="preserve">Exemption </w:t>
      </w:r>
      <w:r w:rsidR="000119D2" w:rsidRPr="00AD42AE">
        <w:rPr>
          <w:b/>
          <w:bCs/>
          <w:lang w:val="en"/>
        </w:rPr>
        <w:t>that the selected nonprofit entity is an entity that provides services direct to the community.</w:t>
      </w:r>
      <w:r w:rsidR="000119D2" w:rsidRPr="000119D2">
        <w:rPr>
          <w:lang w:val="en"/>
        </w:rPr>
        <w:t xml:space="preserve"> </w:t>
      </w:r>
      <w:r w:rsidR="000119D2" w:rsidRPr="00AD42AE">
        <w:rPr>
          <w:i/>
          <w:iCs/>
          <w:lang w:val="en"/>
        </w:rPr>
        <w:t xml:space="preserve">The contribution will be made directly to the </w:t>
      </w:r>
      <w:r w:rsidR="00AD42AE" w:rsidRPr="00AD42AE">
        <w:rPr>
          <w:i/>
          <w:iCs/>
          <w:lang w:val="en"/>
        </w:rPr>
        <w:t xml:space="preserve">non-profit </w:t>
      </w:r>
      <w:r w:rsidR="000119D2" w:rsidRPr="00AD42AE">
        <w:rPr>
          <w:i/>
          <w:iCs/>
          <w:lang w:val="en"/>
        </w:rPr>
        <w:t xml:space="preserve">entity </w:t>
      </w:r>
      <w:r w:rsidR="00AD42AE" w:rsidRPr="00AD42AE">
        <w:rPr>
          <w:i/>
          <w:iCs/>
          <w:lang w:val="en"/>
        </w:rPr>
        <w:t>selected</w:t>
      </w:r>
      <w:r w:rsidR="000119D2" w:rsidRPr="00AD42AE">
        <w:rPr>
          <w:i/>
          <w:iCs/>
          <w:lang w:val="en"/>
        </w:rPr>
        <w:t xml:space="preserve"> by the Exempt Business under Section 2021.01</w:t>
      </w:r>
      <w:r w:rsidR="000119D2" w:rsidRPr="000119D2">
        <w:rPr>
          <w:lang w:val="en"/>
        </w:rPr>
        <w:t xml:space="preserve"> that makes the </w:t>
      </w:r>
      <w:r w:rsidR="00AD42AE">
        <w:rPr>
          <w:lang w:val="en"/>
        </w:rPr>
        <w:t xml:space="preserve">annual </w:t>
      </w:r>
      <w:r w:rsidR="000119D2" w:rsidRPr="000119D2">
        <w:rPr>
          <w:lang w:val="en"/>
        </w:rPr>
        <w:t>contribution. However, the Exemption Office will send, no later than thirty (30) days to the</w:t>
      </w:r>
      <w:r w:rsidR="000119D2">
        <w:rPr>
          <w:lang w:val="en"/>
        </w:rPr>
        <w:t xml:space="preserve"> </w:t>
      </w:r>
      <w:hyperlink r:id="rId10" w:history="1">
        <w:r w:rsidR="000119D2" w:rsidRPr="00AD42AE">
          <w:rPr>
            <w:rStyle w:val="Hyperlink"/>
            <w:lang w:val="en"/>
          </w:rPr>
          <w:t>Special Commission on Legislative Funds for Community Impact</w:t>
        </w:r>
      </w:hyperlink>
      <w:r w:rsidR="000119D2" w:rsidRPr="000119D2">
        <w:rPr>
          <w:lang w:val="en"/>
        </w:rPr>
        <w:t xml:space="preserve"> a detailed report of</w:t>
      </w:r>
      <w:r w:rsidR="000119D2">
        <w:rPr>
          <w:lang w:val="en"/>
        </w:rPr>
        <w:t xml:space="preserve"> </w:t>
      </w:r>
      <w:r w:rsidR="000119D2" w:rsidRPr="000119D2">
        <w:rPr>
          <w:lang w:val="en"/>
        </w:rPr>
        <w:t>non-profit entities that receive</w:t>
      </w:r>
      <w:r w:rsidR="00AD42AE">
        <w:rPr>
          <w:lang w:val="en"/>
        </w:rPr>
        <w:t>d</w:t>
      </w:r>
      <w:r w:rsidR="000119D2" w:rsidRPr="000119D2">
        <w:rPr>
          <w:lang w:val="en"/>
        </w:rPr>
        <w:t xml:space="preserve"> the contribution</w:t>
      </w:r>
      <w:r w:rsidR="00AD42AE">
        <w:rPr>
          <w:lang w:val="en"/>
        </w:rPr>
        <w:t>s</w:t>
      </w:r>
      <w:r w:rsidR="000119D2" w:rsidRPr="000119D2">
        <w:rPr>
          <w:lang w:val="en"/>
        </w:rPr>
        <w:t xml:space="preserve">. </w:t>
      </w:r>
      <w:r w:rsidR="000119D2" w:rsidRPr="00AD42AE">
        <w:rPr>
          <w:b/>
          <w:bCs/>
          <w:lang w:val="en"/>
        </w:rPr>
        <w:t xml:space="preserve">The remaining two thousand five hundred  ($2,500) must be allocated to the </w:t>
      </w:r>
      <w:hyperlink r:id="rId11" w:history="1">
        <w:r w:rsidR="000119D2" w:rsidRPr="00AD42AE">
          <w:rPr>
            <w:rStyle w:val="Hyperlink"/>
            <w:b/>
            <w:bCs/>
            <w:lang w:val="en"/>
          </w:rPr>
          <w:t>Special Fund for Social Equality.</w:t>
        </w:r>
      </w:hyperlink>
    </w:p>
    <w:sectPr w:rsidR="000119D2" w:rsidRPr="00AD42A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AB196" w14:textId="77777777" w:rsidR="00A33CD7" w:rsidRDefault="00A33CD7" w:rsidP="008B0084">
      <w:pPr>
        <w:spacing w:after="0" w:line="240" w:lineRule="auto"/>
      </w:pPr>
      <w:r>
        <w:separator/>
      </w:r>
    </w:p>
  </w:endnote>
  <w:endnote w:type="continuationSeparator" w:id="0">
    <w:p w14:paraId="577F5679" w14:textId="77777777" w:rsidR="00A33CD7" w:rsidRDefault="00A33CD7" w:rsidP="008B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7384A" w14:textId="77777777" w:rsidR="00A33CD7" w:rsidRDefault="00A33CD7" w:rsidP="008B0084">
      <w:pPr>
        <w:spacing w:after="0" w:line="240" w:lineRule="auto"/>
      </w:pPr>
      <w:r>
        <w:separator/>
      </w:r>
    </w:p>
  </w:footnote>
  <w:footnote w:type="continuationSeparator" w:id="0">
    <w:p w14:paraId="1B16EFFB" w14:textId="77777777" w:rsidR="00A33CD7" w:rsidRDefault="00A33CD7" w:rsidP="008B0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A400" w14:textId="77777777" w:rsidR="00743520" w:rsidRDefault="00743520">
    <w:pPr>
      <w:pStyle w:val="Header"/>
    </w:pPr>
    <w:r w:rsidRPr="00743520">
      <w:t xml:space="preserve">https://bvirtualogp.pr.gov/ogp/Bvirtual/leyesreferencia/PDF/60-2019.pdf </w:t>
    </w:r>
  </w:p>
  <w:p w14:paraId="5B0EC9AD" w14:textId="7A213C6C" w:rsidR="008B0084" w:rsidRDefault="00743520" w:rsidP="00743520">
    <w:pPr>
      <w:pStyle w:val="Header"/>
    </w:pPr>
    <w:r w:rsidRPr="00743520">
      <w:t>“Puerto Rico Incentive Code” [Law 60-2019, as amended]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11782"/>
    <w:multiLevelType w:val="hybridMultilevel"/>
    <w:tmpl w:val="4042B46C"/>
    <w:lvl w:ilvl="0" w:tplc="3334A55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2268E"/>
    <w:multiLevelType w:val="hybridMultilevel"/>
    <w:tmpl w:val="E4868922"/>
    <w:lvl w:ilvl="0" w:tplc="09ECF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4202">
    <w:abstractNumId w:val="1"/>
  </w:num>
  <w:num w:numId="2" w16cid:durableId="90938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9C"/>
    <w:rsid w:val="000119D2"/>
    <w:rsid w:val="00037779"/>
    <w:rsid w:val="00052C3A"/>
    <w:rsid w:val="000A2F55"/>
    <w:rsid w:val="001138D4"/>
    <w:rsid w:val="0039290A"/>
    <w:rsid w:val="003D099A"/>
    <w:rsid w:val="005A6648"/>
    <w:rsid w:val="005B00C0"/>
    <w:rsid w:val="00666D8C"/>
    <w:rsid w:val="007277AE"/>
    <w:rsid w:val="00743520"/>
    <w:rsid w:val="00766129"/>
    <w:rsid w:val="007B6B66"/>
    <w:rsid w:val="008B0084"/>
    <w:rsid w:val="00A16DC9"/>
    <w:rsid w:val="00A25511"/>
    <w:rsid w:val="00A33CD7"/>
    <w:rsid w:val="00A50A36"/>
    <w:rsid w:val="00AD42AE"/>
    <w:rsid w:val="00C7409C"/>
    <w:rsid w:val="00D82C29"/>
    <w:rsid w:val="00DC7EFC"/>
    <w:rsid w:val="00EC67F1"/>
    <w:rsid w:val="00EE274C"/>
    <w:rsid w:val="00F54AFC"/>
    <w:rsid w:val="00F9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C7584"/>
  <w15:chartTrackingRefBased/>
  <w15:docId w15:val="{3197A9A1-AEFF-4178-BD23-9CCD2B63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0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4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0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84"/>
  </w:style>
  <w:style w:type="paragraph" w:styleId="Footer">
    <w:name w:val="footer"/>
    <w:basedOn w:val="Normal"/>
    <w:link w:val="FooterChar"/>
    <w:uiPriority w:val="99"/>
    <w:unhideWhenUsed/>
    <w:rsid w:val="008B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84"/>
  </w:style>
  <w:style w:type="table" w:styleId="TableGrid">
    <w:name w:val="Table Grid"/>
    <w:basedOn w:val="TableNormal"/>
    <w:uiPriority w:val="39"/>
    <w:rsid w:val="00727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368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299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1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2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8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09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66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941834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69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38493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4092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27841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4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7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1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2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2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5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039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434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0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3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9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53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32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4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33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27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616452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7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786800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05243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23571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3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1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3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6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9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26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7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67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virtualogp.pr.gov/ogp/Bvirtual/leyesreferencia/PDF/32-2024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virtualogp.pr.gov/ogp/Bvirtual/leyesreferencia/PDF/Organizaciones%20Sin%20Fines%20de%20Lucro/113-1996/113-1996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virtualogp.pr.gov/ogp/Bvirtual/leyesreferencia/PDF/32-2024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virtualogp.pr.gov/ogp/Bvirtual/leyesreferencia/PDF/Organizaciones%20Sin%20Fines%20de%20Lucro/157-2015/157-201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virtualogp.pr.gov/ogp/Bvirtual/leyesreferencia/PDF/Organizaciones%20Sin%20Fines%20de%20Lucro/157-2015/157-2015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3</cp:revision>
  <dcterms:created xsi:type="dcterms:W3CDTF">2024-09-19T17:52:00Z</dcterms:created>
  <dcterms:modified xsi:type="dcterms:W3CDTF">2024-09-19T18:47:00Z</dcterms:modified>
</cp:coreProperties>
</file>