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480"/>
        <w:jc w:val="center"/>
      </w:pPr>
      <w:r>
        <w:rPr>
          <w:b/>
          <w:bCs/>
          <w:sz w:val="36"/>
          <w:szCs w:val="36"/>
        </w:rPr>
        <w:t xml:space="preserve">RAPPORT D'ANALYSE ET DE VALIDATION</w:t>
      </w:r>
    </w:p>
    <w:p>
      <w:pPr>
        <w:spacing w:after="240"/>
        <w:jc w:val="center"/>
      </w:pPr>
      <w:r>
        <w:rPr>
          <w:color w:val="5295CE"/>
          <w:sz w:val="28"/>
          <w:szCs w:val="28"/>
        </w:rPr>
        <w:t xml:space="preserve">Modèle de Prédiction de Risque Cardiovasculaire</w:t>
      </w:r>
    </w:p>
    <w:p>
      <w:pPr>
        <w:spacing w:after="960"/>
        <w:jc w:val="center"/>
      </w:pPr>
      <w:r>
        <w:rPr>
          <w:i/>
          <w:iCs/>
          <w:sz w:val="22"/>
          <w:szCs w:val="22"/>
        </w:rPr>
        <w:t xml:space="preserve">Date : 27 janvier 2026</w:t>
      </w:r>
    </w:p>
    <w:p>
      <w:pPr>
        <w:pStyle w:val="Heading1"/>
      </w:pPr>
      <w:r>
        <w:t xml:space="preserve">RÉSUMÉ EXÉCUTIF</w:t>
      </w:r>
    </w:p>
    <w:p>
      <w:pPr>
        <w:spacing w:after="240"/>
      </w:pPr>
      <w:r>
        <w:t xml:space="preserve">Ce rapport présente les résultats de la validation du modèle de prédiction de risque cardiovasculaire à travers sept cas de test couvrant l'ensemble du spectre de risque. L'analyse révèle que le modèle présente des performances satisfaisantes pour les profils à faible risque, mais souffre de limitations importantes dans la différenciation des profils à risque modéré et élevé.</w:t>
      </w:r>
    </w:p>
    <w:p>
      <w:pPr>
        <w:spacing w:after="480"/>
      </w:pPr>
      <w:r>
        <w:rPr>
          <w:b/>
          <w:bCs/>
        </w:rPr>
        <w:t xml:space="preserve">Points clés :</w:t>
      </w:r>
    </w:p>
    <w:p>
      <w:pPr>
        <w:pStyle w:val="ListParagraph"/>
        <w:numPr>
          <w:ilvl w:val="0"/>
          <w:numId w:val="2"/>
        </w:numPr>
      </w:pPr>
      <w:r>
        <w:t xml:space="preserve">Le modèle détecte correctement les profils à très faible risque (9,09%)</w:t>
      </w:r>
    </w:p>
    <w:p>
      <w:pPr>
        <w:pStyle w:val="ListParagraph"/>
        <w:numPr>
          <w:ilvl w:val="0"/>
          <w:numId w:val="2"/>
        </w:numPr>
      </w:pPr>
      <w:r>
        <w:t xml:space="preserve">Une compression significative des risques moyens/élevés autour de 63,64%</w:t>
      </w:r>
    </w:p>
    <w:p>
      <w:pPr>
        <w:pStyle w:val="ListParagraph"/>
        <w:numPr>
          <w:ilvl w:val="0"/>
          <w:numId w:val="2"/>
        </w:numPr>
      </w:pPr>
      <w:r>
        <w:t xml:space="preserve">Sous-pondération de l'effet protecteur de la jeunesse</w:t>
      </w:r>
    </w:p>
    <w:p>
      <w:pPr>
        <w:pStyle w:val="ListParagraph"/>
        <w:numPr>
          <w:ilvl w:val="0"/>
          <w:numId w:val="2"/>
        </w:numPr>
        <w:spacing w:after="480"/>
      </w:pPr>
      <w:r>
        <w:t xml:space="preserve">Granularité limitée à 11 niveaux discrets (incréments de 9,09%)</w:t>
      </w:r>
    </w:p>
    <w:p>
      <w:r>
        <w:br w:type="page"/>
      </w:r>
    </w:p>
    <w:p>
      <w:pPr>
        <w:pStyle w:val="Heading1"/>
      </w:pPr>
      <w:r>
        <w:t xml:space="preserve">1. MÉTHODOLOGIE DE TEST</w:t>
      </w:r>
    </w:p>
    <w:p>
      <w:pPr>
        <w:pStyle w:val="Heading2"/>
      </w:pPr>
      <w:r>
        <w:t xml:space="preserve">1.1 Approche de validation</w:t>
      </w:r>
    </w:p>
    <w:p>
      <w:pPr>
        <w:spacing w:after="240"/>
      </w:pPr>
      <w:r>
        <w:t xml:space="preserve">Sept cas de test ont été développés pour évaluer la capacité du modèle à prédire le risque cardiovasculaire sur l'ensemble du spectre clinique. Chaque cas représente un profil patient distinct avec des combinaisons spécifiques de facteurs de risque.</w:t>
      </w:r>
    </w:p>
    <w:p>
      <w:pPr>
        <w:pStyle w:val="Heading2"/>
      </w:pPr>
      <w:r>
        <w:t xml:space="preserve">1.2 Variables évaluées</w:t>
      </w:r>
    </w:p>
    <w:p>
      <w:pPr>
        <w:spacing w:after="120"/>
      </w:pPr>
      <w:r>
        <w:rPr>
          <w:b/>
          <w:bCs/>
        </w:rPr>
        <w:t xml:space="preserve">Variables physiologiques :</w:t>
      </w:r>
    </w:p>
    <w:p>
      <w:pPr>
        <w:pStyle w:val="ListParagraph"/>
        <w:numPr>
          <w:ilvl w:val="0"/>
          <w:numId w:val="2"/>
        </w:numPr>
      </w:pPr>
      <w:r>
        <w:t xml:space="preserve">Pression artérielle systolique (mmHg)</w:t>
      </w:r>
    </w:p>
    <w:p>
      <w:pPr>
        <w:pStyle w:val="ListParagraph"/>
        <w:numPr>
          <w:ilvl w:val="0"/>
          <w:numId w:val="2"/>
        </w:numPr>
      </w:pPr>
      <w:r>
        <w:t xml:space="preserve">Cholestérol LDL (mg/dL)</w:t>
      </w:r>
    </w:p>
    <w:p>
      <w:pPr>
        <w:pStyle w:val="ListParagraph"/>
        <w:numPr>
          <w:ilvl w:val="0"/>
          <w:numId w:val="2"/>
        </w:numPr>
      </w:pPr>
      <w:r>
        <w:t xml:space="preserve">Adiposité</w:t>
      </w:r>
    </w:p>
    <w:p>
      <w:pPr>
        <w:pStyle w:val="ListParagraph"/>
        <w:numPr>
          <w:ilvl w:val="0"/>
          <w:numId w:val="2"/>
        </w:numPr>
        <w:spacing w:after="240"/>
      </w:pPr>
      <w:r>
        <w:t xml:space="preserve">Indice de masse corporelle (IMC)</w:t>
      </w:r>
    </w:p>
    <w:p>
      <w:pPr>
        <w:spacing w:after="120"/>
      </w:pPr>
      <w:r>
        <w:rPr>
          <w:b/>
          <w:bCs/>
        </w:rPr>
        <w:t xml:space="preserve">Facteurs de risque comportementaux et démographiques :</w:t>
      </w:r>
    </w:p>
    <w:p>
      <w:pPr>
        <w:pStyle w:val="ListParagraph"/>
        <w:numPr>
          <w:ilvl w:val="0"/>
          <w:numId w:val="2"/>
        </w:numPr>
      </w:pPr>
      <w:r>
        <w:t xml:space="preserve">Âge (années)</w:t>
      </w:r>
    </w:p>
    <w:p>
      <w:pPr>
        <w:pStyle w:val="ListParagraph"/>
        <w:numPr>
          <w:ilvl w:val="0"/>
          <w:numId w:val="2"/>
        </w:numPr>
      </w:pPr>
      <w:r>
        <w:t xml:space="preserve">Consommation de tabac (kg cumulé)</w:t>
      </w:r>
    </w:p>
    <w:p>
      <w:pPr>
        <w:pStyle w:val="ListParagraph"/>
        <w:numPr>
          <w:ilvl w:val="0"/>
          <w:numId w:val="2"/>
        </w:numPr>
      </w:pPr>
      <w:r>
        <w:t xml:space="preserve">Score de personnalité Type A</w:t>
      </w:r>
    </w:p>
    <w:p>
      <w:pPr>
        <w:pStyle w:val="ListParagraph"/>
        <w:numPr>
          <w:ilvl w:val="0"/>
          <w:numId w:val="2"/>
        </w:numPr>
      </w:pPr>
      <w:r>
        <w:t xml:space="preserve">Consommation d'alcool (unités/semaine)</w:t>
      </w:r>
    </w:p>
    <w:p>
      <w:pPr>
        <w:pStyle w:val="ListParagraph"/>
        <w:numPr>
          <w:ilvl w:val="0"/>
          <w:numId w:val="2"/>
        </w:numPr>
        <w:spacing w:after="480"/>
      </w:pPr>
      <w:r>
        <w:t xml:space="preserve">Antécédents familiaux de maladie cardiaque</w:t>
      </w:r>
    </w:p>
    <w:p>
      <w:r>
        <w:br w:type="page"/>
      </w:r>
    </w:p>
    <w:p>
      <w:pPr>
        <w:pStyle w:val="Heading1"/>
      </w:pPr>
      <w:r>
        <w:t xml:space="preserve">2. RÉSULTATS DES TESTS</w:t>
      </w:r>
    </w:p>
    <w:p>
      <w:pPr>
        <w:pStyle w:val="Heading2"/>
      </w:pPr>
      <w:r>
        <w:t xml:space="preserve">2.1 Tableau récapitulatif</w:t>
      </w:r>
    </w:p>
    <w:p>
      <w:pPr>
        <w:spacing w:after="240"/>
      </w:pPr>
      <w:r>
        <w:t xml:space="preserve">Le tableau ci-dessous présente les résultats obtenus pour chaque cas de test, comparés aux valeurs attendues selon les modèles de référence (Framingham, SCORE).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2500"/>
        <w:gridCol w:w="1500"/>
        <w:gridCol w:w="1500"/>
        <w:gridCol w:w="1200"/>
      </w:tblGrid>
      <w:tr>
        <w:tc>
          <w:tcPr>
            <w:tcW w:type="dxa" w:w="1000"/>
            <w:tcBorders>
              <w:top w:val="single" w:color="CCCCCC" w:sz="1"/>
              <w:left w:val="single" w:color="CCCCCC" w:sz="1"/>
              <w:bottom w:val="single" w:color="CCCCCC" w:sz="1"/>
              <w:right w:val="single" w:color="CCCCCC" w:sz="1"/>
            </w:tcBorders>
            <w:shd w:fill="2E5C8A" w:val="clear"/>
            <w:tcMar>
              <w:top w:type="dxa" w:w="100"/>
              <w:left w:type="dxa" w:w="120"/>
              <w:bottom w:type="dxa" w:w="100"/>
              <w:right w:type="dxa" w:w="120"/>
            </w:tcMar>
            <w:vAlign w:val="center"/>
          </w:tcPr>
          <w:p>
            <w:pPr>
              <w:jc w:val="center"/>
            </w:pPr>
            <w:r>
              <w:rPr>
                <w:b/>
                <w:bCs/>
                <w:color w:val="FFFFFF"/>
                <w:sz w:val="20"/>
                <w:szCs w:val="20"/>
              </w:rPr>
              <w:t xml:space="preserve">Cas</w:t>
            </w:r>
          </w:p>
        </w:tc>
        <w:tc>
          <w:tcPr>
            <w:tcW w:type="dxa" w:w="1200"/>
            <w:tcBorders>
              <w:top w:val="single" w:color="CCCCCC" w:sz="1"/>
              <w:left w:val="single" w:color="CCCCCC" w:sz="1"/>
              <w:bottom w:val="single" w:color="CCCCCC" w:sz="1"/>
              <w:right w:val="single" w:color="CCCCCC" w:sz="1"/>
            </w:tcBorders>
            <w:shd w:fill="2E5C8A" w:val="clear"/>
            <w:tcMar>
              <w:top w:type="dxa" w:w="100"/>
              <w:left w:type="dxa" w:w="120"/>
              <w:bottom w:type="dxa" w:w="100"/>
              <w:right w:type="dxa" w:w="120"/>
            </w:tcMar>
            <w:vAlign w:val="center"/>
          </w:tcPr>
          <w:p>
            <w:pPr>
              <w:jc w:val="center"/>
            </w:pPr>
            <w:r>
              <w:rPr>
                <w:b/>
                <w:bCs/>
                <w:color w:val="FFFFFF"/>
                <w:sz w:val="20"/>
                <w:szCs w:val="20"/>
              </w:rPr>
              <w:t xml:space="preserve">Âge</w:t>
            </w:r>
          </w:p>
        </w:tc>
        <w:tc>
          <w:tcPr>
            <w:tcW w:type="dxa" w:w="2500"/>
            <w:tcBorders>
              <w:top w:val="single" w:color="CCCCCC" w:sz="1"/>
              <w:left w:val="single" w:color="CCCCCC" w:sz="1"/>
              <w:bottom w:val="single" w:color="CCCCCC" w:sz="1"/>
              <w:right w:val="single" w:color="CCCCCC" w:sz="1"/>
            </w:tcBorders>
            <w:shd w:fill="2E5C8A" w:val="clear"/>
            <w:tcMar>
              <w:top w:type="dxa" w:w="100"/>
              <w:left w:type="dxa" w:w="120"/>
              <w:bottom w:type="dxa" w:w="100"/>
              <w:right w:type="dxa" w:w="120"/>
            </w:tcMar>
            <w:vAlign w:val="center"/>
          </w:tcPr>
          <w:p>
            <w:pPr>
              <w:jc w:val="center"/>
            </w:pPr>
            <w:r>
              <w:rPr>
                <w:b/>
                <w:bCs/>
                <w:color w:val="FFFFFF"/>
                <w:sz w:val="20"/>
                <w:szCs w:val="20"/>
              </w:rPr>
              <w:t xml:space="preserve">Profil</w:t>
            </w:r>
          </w:p>
        </w:tc>
        <w:tc>
          <w:tcPr>
            <w:tcW w:type="dxa" w:w="1500"/>
            <w:tcBorders>
              <w:top w:val="single" w:color="CCCCCC" w:sz="1"/>
              <w:left w:val="single" w:color="CCCCCC" w:sz="1"/>
              <w:bottom w:val="single" w:color="CCCCCC" w:sz="1"/>
              <w:right w:val="single" w:color="CCCCCC" w:sz="1"/>
            </w:tcBorders>
            <w:shd w:fill="2E5C8A" w:val="clear"/>
            <w:tcMar>
              <w:top w:type="dxa" w:w="100"/>
              <w:left w:type="dxa" w:w="120"/>
              <w:bottom w:type="dxa" w:w="100"/>
              <w:right w:type="dxa" w:w="120"/>
            </w:tcMar>
            <w:vAlign w:val="center"/>
          </w:tcPr>
          <w:p>
            <w:pPr>
              <w:jc w:val="center"/>
            </w:pPr>
            <w:r>
              <w:rPr>
                <w:b/>
                <w:bCs/>
                <w:color w:val="FFFFFF"/>
                <w:sz w:val="20"/>
                <w:szCs w:val="20"/>
              </w:rPr>
              <w:t xml:space="preserve">Risque obtenu</w:t>
            </w:r>
          </w:p>
        </w:tc>
        <w:tc>
          <w:tcPr>
            <w:tcW w:type="dxa" w:w="1500"/>
            <w:tcBorders>
              <w:top w:val="single" w:color="CCCCCC" w:sz="1"/>
              <w:left w:val="single" w:color="CCCCCC" w:sz="1"/>
              <w:bottom w:val="single" w:color="CCCCCC" w:sz="1"/>
              <w:right w:val="single" w:color="CCCCCC" w:sz="1"/>
            </w:tcBorders>
            <w:shd w:fill="2E5C8A" w:val="clear"/>
            <w:tcMar>
              <w:top w:type="dxa" w:w="100"/>
              <w:left w:type="dxa" w:w="120"/>
              <w:bottom w:type="dxa" w:w="100"/>
              <w:right w:type="dxa" w:w="120"/>
            </w:tcMar>
            <w:vAlign w:val="center"/>
          </w:tcPr>
          <w:p>
            <w:pPr>
              <w:jc w:val="center"/>
            </w:pPr>
            <w:r>
              <w:rPr>
                <w:b/>
                <w:bCs/>
                <w:color w:val="FFFFFF"/>
                <w:sz w:val="20"/>
                <w:szCs w:val="20"/>
              </w:rPr>
              <w:t xml:space="preserve">Risque attendu</w:t>
            </w:r>
          </w:p>
        </w:tc>
        <w:tc>
          <w:tcPr>
            <w:tcW w:type="dxa" w:w="1200"/>
            <w:tcBorders>
              <w:top w:val="single" w:color="CCCCCC" w:sz="1"/>
              <w:left w:val="single" w:color="CCCCCC" w:sz="1"/>
              <w:bottom w:val="single" w:color="CCCCCC" w:sz="1"/>
              <w:right w:val="single" w:color="CCCCCC" w:sz="1"/>
            </w:tcBorders>
            <w:shd w:fill="2E5C8A" w:val="clear"/>
            <w:tcMar>
              <w:top w:type="dxa" w:w="100"/>
              <w:left w:type="dxa" w:w="120"/>
              <w:bottom w:type="dxa" w:w="100"/>
              <w:right w:type="dxa" w:w="120"/>
            </w:tcMar>
            <w:vAlign w:val="center"/>
          </w:tcPr>
          <w:p>
            <w:pPr>
              <w:jc w:val="center"/>
            </w:pPr>
            <w:r>
              <w:rPr>
                <w:b/>
                <w:bCs/>
                <w:color w:val="FFFFFF"/>
                <w:sz w:val="20"/>
                <w:szCs w:val="20"/>
              </w:rPr>
              <w:t xml:space="preserve">Verdict</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sz w:val="22"/>
                <w:szCs w:val="22"/>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sz w:val="22"/>
                <w:szCs w:val="22"/>
              </w:rPr>
              <w:t xml:space="preserve">25 ans</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sz w:val="22"/>
                <w:szCs w:val="22"/>
              </w:rPr>
              <w:t xml:space="preserve">Optimal</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b/>
                <w:bCs/>
                <w:sz w:val="22"/>
                <w:szCs w:val="22"/>
              </w:rPr>
              <w:t xml:space="preserve">9,09%</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sz w:val="22"/>
                <w:szCs w:val="22"/>
              </w:rPr>
              <w:t xml:space="preserve">&lt; 10%</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sz w:val="24"/>
                <w:szCs w:val="24"/>
              </w:rPr>
              <w:t xml:space="preserve">✅</w:t>
            </w:r>
          </w:p>
        </w:tc>
      </w:tr>
      <w:tr>
        <w:tc>
          <w:tcPr>
            <w:tcW w:type="dxa" w:w="1000"/>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vAlign w:val="center"/>
          </w:tcPr>
          <w:p>
            <w:pPr>
              <w:jc w:val="center"/>
            </w:pPr>
            <w:r>
              <w:rPr>
                <w:sz w:val="22"/>
                <w:szCs w:val="22"/>
              </w:rPr>
              <w:t xml:space="preserve">2</w:t>
            </w:r>
          </w:p>
        </w:tc>
        <w:tc>
          <w:tcPr>
            <w:tcW w:type="dxa" w:w="1200"/>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vAlign w:val="center"/>
          </w:tcPr>
          <w:p>
            <w:pPr>
              <w:jc w:val="center"/>
            </w:pPr>
            <w:r>
              <w:rPr>
                <w:sz w:val="22"/>
                <w:szCs w:val="22"/>
              </w:rPr>
              <w:t xml:space="preserve">45 ans</w:t>
            </w:r>
          </w:p>
        </w:tc>
        <w:tc>
          <w:tcPr>
            <w:tcW w:type="dxa" w:w="2500"/>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vAlign w:val="center"/>
          </w:tcPr>
          <w:p>
            <w:pPr>
              <w:jc w:val="left"/>
            </w:pPr>
            <w:r>
              <w:rPr>
                <w:sz w:val="22"/>
                <w:szCs w:val="22"/>
              </w:rPr>
              <w:t xml:space="preserve">Sain</w:t>
            </w:r>
          </w:p>
        </w:tc>
        <w:tc>
          <w:tcPr>
            <w:tcW w:type="dxa" w:w="1500"/>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vAlign w:val="center"/>
          </w:tcPr>
          <w:p>
            <w:pPr>
              <w:jc w:val="center"/>
            </w:pPr>
            <w:r>
              <w:rPr>
                <w:b/>
                <w:bCs/>
                <w:sz w:val="22"/>
                <w:szCs w:val="22"/>
              </w:rPr>
              <w:t xml:space="preserve">18,18%</w:t>
            </w:r>
          </w:p>
        </w:tc>
        <w:tc>
          <w:tcPr>
            <w:tcW w:type="dxa" w:w="1500"/>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vAlign w:val="center"/>
          </w:tcPr>
          <w:p>
            <w:pPr>
              <w:jc w:val="center"/>
            </w:pPr>
            <w:r>
              <w:rPr>
                <w:sz w:val="22"/>
                <w:szCs w:val="22"/>
              </w:rPr>
              <w:t xml:space="preserve">10-15%</w:t>
            </w:r>
          </w:p>
        </w:tc>
        <w:tc>
          <w:tcPr>
            <w:tcW w:type="dxa" w:w="1200"/>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vAlign w:val="center"/>
          </w:tcPr>
          <w:p>
            <w:pPr>
              <w:jc w:val="center"/>
            </w:pPr>
            <w:r>
              <w:rPr>
                <w:sz w:val="24"/>
                <w:szCs w:val="24"/>
              </w:rPr>
              <w:t xml:space="preserve">✅</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sz w:val="22"/>
                <w:szCs w:val="22"/>
              </w:rPr>
              <w:t xml:space="preserve">3</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sz w:val="22"/>
                <w:szCs w:val="22"/>
              </w:rPr>
              <w:t xml:space="preserve">55 ans</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sz w:val="22"/>
                <w:szCs w:val="22"/>
              </w:rPr>
              <w:t xml:space="preserve">HTA/surpoids</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b/>
                <w:bCs/>
                <w:sz w:val="22"/>
                <w:szCs w:val="22"/>
              </w:rPr>
              <w:t xml:space="preserve">63,64%</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sz w:val="22"/>
                <w:szCs w:val="22"/>
              </w:rPr>
              <w:t xml:space="preserve">15-25%</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sz w:val="24"/>
                <w:szCs w:val="24"/>
              </w:rPr>
              <w:t xml:space="preserve">⚠️</w:t>
            </w:r>
          </w:p>
        </w:tc>
      </w:tr>
      <w:tr>
        <w:tc>
          <w:tcPr>
            <w:tcW w:type="dxa" w:w="1000"/>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vAlign w:val="center"/>
          </w:tcPr>
          <w:p>
            <w:pPr>
              <w:jc w:val="center"/>
            </w:pPr>
            <w:r>
              <w:rPr>
                <w:sz w:val="22"/>
                <w:szCs w:val="22"/>
              </w:rPr>
              <w:t xml:space="preserve">4</w:t>
            </w:r>
          </w:p>
        </w:tc>
        <w:tc>
          <w:tcPr>
            <w:tcW w:type="dxa" w:w="1200"/>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vAlign w:val="center"/>
          </w:tcPr>
          <w:p>
            <w:pPr>
              <w:jc w:val="center"/>
            </w:pPr>
            <w:r>
              <w:rPr>
                <w:sz w:val="22"/>
                <w:szCs w:val="22"/>
              </w:rPr>
              <w:t xml:space="preserve">65 ans</w:t>
            </w:r>
          </w:p>
        </w:tc>
        <w:tc>
          <w:tcPr>
            <w:tcW w:type="dxa" w:w="2500"/>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vAlign w:val="center"/>
          </w:tcPr>
          <w:p>
            <w:pPr>
              <w:jc w:val="left"/>
            </w:pPr>
            <w:r>
              <w:rPr>
                <w:sz w:val="22"/>
                <w:szCs w:val="22"/>
              </w:rPr>
              <w:t xml:space="preserve">Multiples facteurs</w:t>
            </w:r>
          </w:p>
        </w:tc>
        <w:tc>
          <w:tcPr>
            <w:tcW w:type="dxa" w:w="1500"/>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vAlign w:val="center"/>
          </w:tcPr>
          <w:p>
            <w:pPr>
              <w:jc w:val="center"/>
            </w:pPr>
            <w:r>
              <w:rPr>
                <w:b/>
                <w:bCs/>
                <w:sz w:val="22"/>
                <w:szCs w:val="22"/>
              </w:rPr>
              <w:t xml:space="preserve">63,64%</w:t>
            </w:r>
          </w:p>
        </w:tc>
        <w:tc>
          <w:tcPr>
            <w:tcW w:type="dxa" w:w="1500"/>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vAlign w:val="center"/>
          </w:tcPr>
          <w:p>
            <w:pPr>
              <w:jc w:val="center"/>
            </w:pPr>
            <w:r>
              <w:rPr>
                <w:sz w:val="22"/>
                <w:szCs w:val="22"/>
              </w:rPr>
              <w:t xml:space="preserve">25-40%</w:t>
            </w:r>
          </w:p>
        </w:tc>
        <w:tc>
          <w:tcPr>
            <w:tcW w:type="dxa" w:w="1200"/>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vAlign w:val="center"/>
          </w:tcPr>
          <w:p>
            <w:pPr>
              <w:jc w:val="center"/>
            </w:pPr>
            <w:r>
              <w:rPr>
                <w:sz w:val="24"/>
                <w:szCs w:val="24"/>
              </w:rPr>
              <w:t xml:space="preserve">❌</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sz w:val="22"/>
                <w:szCs w:val="22"/>
              </w:rPr>
              <w:t xml:space="preserve">5</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sz w:val="22"/>
                <w:szCs w:val="22"/>
              </w:rPr>
              <w:t xml:space="preserve">70 ans</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sz w:val="22"/>
                <w:szCs w:val="22"/>
              </w:rPr>
              <w:t xml:space="preserve">Critique</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b/>
                <w:bCs/>
                <w:sz w:val="22"/>
                <w:szCs w:val="22"/>
              </w:rPr>
              <w:t xml:space="preserve">72,73%</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sz w:val="22"/>
                <w:szCs w:val="22"/>
              </w:rPr>
              <w:t xml:space="preserve">&gt; 40%</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sz w:val="24"/>
                <w:szCs w:val="24"/>
              </w:rPr>
              <w:t xml:space="preserve">✅</w:t>
            </w:r>
          </w:p>
        </w:tc>
      </w:tr>
      <w:tr>
        <w:tc>
          <w:tcPr>
            <w:tcW w:type="dxa" w:w="1000"/>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vAlign w:val="center"/>
          </w:tcPr>
          <w:p>
            <w:pPr>
              <w:jc w:val="center"/>
            </w:pPr>
            <w:r>
              <w:rPr>
                <w:sz w:val="22"/>
                <w:szCs w:val="22"/>
              </w:rPr>
              <w:t xml:space="preserve">6</w:t>
            </w:r>
          </w:p>
        </w:tc>
        <w:tc>
          <w:tcPr>
            <w:tcW w:type="dxa" w:w="1200"/>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vAlign w:val="center"/>
          </w:tcPr>
          <w:p>
            <w:pPr>
              <w:jc w:val="center"/>
            </w:pPr>
            <w:r>
              <w:rPr>
                <w:sz w:val="22"/>
                <w:szCs w:val="22"/>
              </w:rPr>
              <w:t xml:space="preserve">30 ans</w:t>
            </w:r>
          </w:p>
        </w:tc>
        <w:tc>
          <w:tcPr>
            <w:tcW w:type="dxa" w:w="2500"/>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vAlign w:val="center"/>
          </w:tcPr>
          <w:p>
            <w:pPr>
              <w:jc w:val="left"/>
            </w:pPr>
            <w:r>
              <w:rPr>
                <w:sz w:val="22"/>
                <w:szCs w:val="22"/>
              </w:rPr>
              <w:t xml:space="preserve">Jeune à risque</w:t>
            </w:r>
          </w:p>
        </w:tc>
        <w:tc>
          <w:tcPr>
            <w:tcW w:type="dxa" w:w="1500"/>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vAlign w:val="center"/>
          </w:tcPr>
          <w:p>
            <w:pPr>
              <w:jc w:val="center"/>
            </w:pPr>
            <w:r>
              <w:rPr>
                <w:b/>
                <w:bCs/>
                <w:sz w:val="22"/>
                <w:szCs w:val="22"/>
              </w:rPr>
              <w:t xml:space="preserve">63,64%</w:t>
            </w:r>
          </w:p>
        </w:tc>
        <w:tc>
          <w:tcPr>
            <w:tcW w:type="dxa" w:w="1500"/>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vAlign w:val="center"/>
          </w:tcPr>
          <w:p>
            <w:pPr>
              <w:jc w:val="center"/>
            </w:pPr>
            <w:r>
              <w:rPr>
                <w:sz w:val="22"/>
                <w:szCs w:val="22"/>
              </w:rPr>
              <w:t xml:space="preserve">15-20%</w:t>
            </w:r>
          </w:p>
        </w:tc>
        <w:tc>
          <w:tcPr>
            <w:tcW w:type="dxa" w:w="1200"/>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vAlign w:val="center"/>
          </w:tcPr>
          <w:p>
            <w:pPr>
              <w:jc w:val="center"/>
            </w:pPr>
            <w:r>
              <w:rPr>
                <w:sz w:val="24"/>
                <w:szCs w:val="24"/>
              </w:rPr>
              <w:t xml:space="preserve">❌</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sz w:val="22"/>
                <w:szCs w:val="22"/>
              </w:rPr>
              <w:t xml:space="preserve">7</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sz w:val="22"/>
                <w:szCs w:val="22"/>
              </w:rPr>
              <w:t xml:space="preserve">68 ans</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sz w:val="22"/>
                <w:szCs w:val="22"/>
              </w:rPr>
              <w:t xml:space="preserve">Senior sain</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b/>
                <w:bCs/>
                <w:sz w:val="22"/>
                <w:szCs w:val="22"/>
              </w:rPr>
              <w:t xml:space="preserve">45,45%</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sz w:val="22"/>
                <w:szCs w:val="22"/>
              </w:rPr>
              <w:t xml:space="preserve">15-20%</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sz w:val="24"/>
                <w:szCs w:val="24"/>
              </w:rPr>
              <w:t xml:space="preserve">⚠️</w:t>
            </w:r>
          </w:p>
        </w:tc>
      </w:tr>
    </w:tbl>
    <w:p>
      <w:pPr>
        <w:spacing w:before="240" w:after="480"/>
      </w:pPr>
      <w:r>
        <w:rPr>
          <w:b/>
          <w:bCs/>
        </w:rPr>
        <w:t xml:space="preserve">Légende : </w:t>
      </w:r>
      <w:r>
        <w:t xml:space="preserve">✅ = Conforme aux attentes | ⚠️ = Écart modéré | ❌ = Écart important</w:t>
      </w:r>
    </w:p>
    <w:p>
      <w:pPr>
        <w:pStyle w:val="Heading2"/>
      </w:pPr>
      <w:r>
        <w:t xml:space="preserve">2.2 Analyse détaillée par cas</w:t>
      </w:r>
    </w:p>
    <w:p>
      <w:pPr>
        <w:pStyle w:val="Heading3"/>
      </w:pPr>
      <w:r>
        <w:t xml:space="preserve">Cas 1 : Risque très faible (25 ans, profil optimal)</w:t>
      </w:r>
    </w:p>
    <w:p>
      <w:pPr>
        <w:spacing w:after="120"/>
      </w:pPr>
      <w:r>
        <w:rPr>
          <w:b/>
          <w:bCs/>
        </w:rPr>
        <w:t xml:space="preserve">Résultat : </w:t>
      </w:r>
      <w:r>
        <w:t xml:space="preserve">9,09% | Classe : Sain (0)</w:t>
      </w:r>
    </w:p>
    <w:p>
      <w:pPr>
        <w:spacing w:after="120"/>
      </w:pPr>
      <w:r>
        <w:rPr>
          <w:b/>
          <w:bCs/>
        </w:rPr>
        <w:t xml:space="preserve">Verdict : </w:t>
      </w:r>
      <w:r>
        <w:rPr>
          <w:color w:val="008000"/>
        </w:rPr>
        <w:t xml:space="preserve">✅ EXCELLENT</w:t>
      </w:r>
    </w:p>
    <w:p>
      <w:pPr>
        <w:spacing w:after="240"/>
      </w:pPr>
      <w:r>
        <w:t xml:space="preserve">Le modèle fonctionne parfaitement pour ce profil optimal. Le risque prédit de 9,09% est cohérent avec un jeune adulte en excellente santé sans facteurs de risque.</w:t>
      </w:r>
    </w:p>
    <w:p>
      <w:pPr>
        <w:pStyle w:val="Heading3"/>
      </w:pPr>
      <w:r>
        <w:t xml:space="preserve">Cas 2 : Risque faible (45 ans, bonne santé)</w:t>
      </w:r>
    </w:p>
    <w:p>
      <w:pPr>
        <w:spacing w:after="120"/>
      </w:pPr>
      <w:r>
        <w:rPr>
          <w:b/>
          <w:bCs/>
        </w:rPr>
        <w:t xml:space="preserve">Résultat : </w:t>
      </w:r>
      <w:r>
        <w:t xml:space="preserve">18,18% | Classe : Sain (0)</w:t>
      </w:r>
    </w:p>
    <w:p>
      <w:pPr>
        <w:spacing w:after="120"/>
      </w:pPr>
      <w:r>
        <w:rPr>
          <w:b/>
          <w:bCs/>
        </w:rPr>
        <w:t xml:space="preserve">Verdict : </w:t>
      </w:r>
      <w:r>
        <w:rPr>
          <w:color w:val="008000"/>
        </w:rPr>
        <w:t xml:space="preserve">✅ BON</w:t>
      </w:r>
    </w:p>
    <w:p>
      <w:pPr>
        <w:spacing w:after="240"/>
      </w:pPr>
      <w:r>
        <w:t xml:space="preserve">Le modèle détecte correctement l'augmentation du risque liée à l'âge (+9,09% par rapport au cas 1). Le résultat est légèrement supérieur aux 10-15% attendus mais reste acceptable.</w:t>
      </w:r>
    </w:p>
    <w:p>
      <w:pPr>
        <w:pStyle w:val="Heading3"/>
      </w:pPr>
      <w:r>
        <w:t xml:space="preserve">Cas 3 : Risque modéré (55 ans, HTA et surpoids)</w:t>
      </w:r>
    </w:p>
    <w:p>
      <w:pPr>
        <w:spacing w:after="120"/>
      </w:pPr>
      <w:r>
        <w:rPr>
          <w:b/>
          <w:bCs/>
        </w:rPr>
        <w:t xml:space="preserve">Résultat : </w:t>
      </w:r>
      <w:r>
        <w:t xml:space="preserve">63,64% | Classe : Maladie (1)</w:t>
      </w:r>
    </w:p>
    <w:p>
      <w:pPr>
        <w:spacing w:after="120"/>
      </w:pPr>
      <w:r>
        <w:rPr>
          <w:b/>
          <w:bCs/>
        </w:rPr>
        <w:t xml:space="preserve">Verdict : </w:t>
      </w:r>
      <w:r>
        <w:rPr>
          <w:color w:val="FFA500"/>
        </w:rPr>
        <w:t xml:space="preserve">⚠️ RISQUE SURESTIMÉ</w:t>
      </w:r>
    </w:p>
    <w:p>
      <w:pPr>
        <w:spacing w:after="240"/>
      </w:pPr>
      <w:r>
        <w:t xml:space="preserve">Le modèle détecte bien l'augmentation du risque mais le résultat de 63,64% est significativement supérieur aux 20-25% attendus (+40%). Le saut de 18% à 64% est trop brutal, suggérant une sur-pondération des facteurs de risque multiples.</w:t>
      </w:r>
    </w:p>
    <w:p>
      <w:pPr>
        <w:pStyle w:val="Heading3"/>
      </w:pPr>
      <w:r>
        <w:t xml:space="preserve">Cas 4 : Risque élevé (65 ans, multiples facteurs)</w:t>
      </w:r>
    </w:p>
    <w:p>
      <w:pPr>
        <w:spacing w:after="120"/>
      </w:pPr>
      <w:r>
        <w:rPr>
          <w:b/>
          <w:bCs/>
        </w:rPr>
        <w:t xml:space="preserve">Résultat : </w:t>
      </w:r>
      <w:r>
        <w:t xml:space="preserve">63,64% | Classe : Maladie (1)</w:t>
      </w:r>
    </w:p>
    <w:p>
      <w:pPr>
        <w:spacing w:after="120"/>
      </w:pPr>
      <w:r>
        <w:rPr>
          <w:b/>
          <w:bCs/>
        </w:rPr>
        <w:t xml:space="preserve">Verdict : </w:t>
      </w:r>
      <w:r>
        <w:rPr>
          <w:color w:val="FF0000"/>
        </w:rPr>
        <w:t xml:space="preserve">❌ PROBLÈME MAJEUR</w:t>
      </w:r>
    </w:p>
    <w:p>
      <w:pPr>
        <w:spacing w:after="240"/>
      </w:pPr>
      <w:r>
        <w:t xml:space="preserve">Résultat identique au cas 3 malgré un profil nettement plus grave (65 vs 55 ans, PA 160 vs 145, tabac 30 vs 15 kg, antécédents familiaux présents vs absents). Le modèle ne différencie pas ces deux profils pourtant significativement différents.</w:t>
      </w:r>
    </w:p>
    <w:p>
      <w:pPr>
        <w:pStyle w:val="Heading3"/>
      </w:pPr>
      <w:r>
        <w:t xml:space="preserve">Cas 5 : Risque très élevé (70 ans, profil critique)</w:t>
      </w:r>
    </w:p>
    <w:p>
      <w:pPr>
        <w:spacing w:after="120"/>
      </w:pPr>
      <w:r>
        <w:rPr>
          <w:b/>
          <w:bCs/>
        </w:rPr>
        <w:t xml:space="preserve">Résultat : </w:t>
      </w:r>
      <w:r>
        <w:t xml:space="preserve">72,73% | Classe : Maladie (1)</w:t>
      </w:r>
    </w:p>
    <w:p>
      <w:pPr>
        <w:spacing w:after="120"/>
      </w:pPr>
      <w:r>
        <w:rPr>
          <w:b/>
          <w:bCs/>
        </w:rPr>
        <w:t xml:space="preserve">Verdict : </w:t>
      </w:r>
      <w:r>
        <w:rPr>
          <w:color w:val="008000"/>
        </w:rPr>
        <w:t xml:space="preserve">✅ BON</w:t>
      </w:r>
    </w:p>
    <w:p>
      <w:pPr>
        <w:spacing w:after="240"/>
      </w:pPr>
      <w:r>
        <w:t xml:space="preserve">Le modèle continue à augmenter pour ce profil extrêmement critique (+9,09% par rapport au cas 4), ce qui est positif. Cependant, le risque de 72,73% pourrait être jugé encore trop bas pour un tel profil.</w:t>
      </w:r>
    </w:p>
    <w:p>
      <w:pPr>
        <w:pStyle w:val="Heading3"/>
      </w:pPr>
      <w:r>
        <w:t xml:space="preserve">Cas 6 : Cas limite - Jeune avec facteurs (30 ans)</w:t>
      </w:r>
    </w:p>
    <w:p>
      <w:pPr>
        <w:spacing w:after="120"/>
      </w:pPr>
      <w:r>
        <w:rPr>
          <w:b/>
          <w:bCs/>
        </w:rPr>
        <w:t xml:space="preserve">Résultat : </w:t>
      </w:r>
      <w:r>
        <w:t xml:space="preserve">63,64% | Classe : Maladie (1)</w:t>
      </w:r>
    </w:p>
    <w:p>
      <w:pPr>
        <w:spacing w:after="120"/>
      </w:pPr>
      <w:r>
        <w:rPr>
          <w:b/>
          <w:bCs/>
        </w:rPr>
        <w:t xml:space="preserve">Verdict : </w:t>
      </w:r>
      <w:r>
        <w:rPr>
          <w:color w:val="FF0000"/>
        </w:rPr>
        <w:t xml:space="preserve">❌ PROBLÈME MAJEUR</w:t>
      </w:r>
    </w:p>
    <w:p>
      <w:pPr>
        <w:spacing w:after="240"/>
      </w:pPr>
      <w:r>
        <w:t xml:space="preserve">Résultat identique au cas 3 (55 ans) et cas 4 (65 ans), révélant que le modèle ne pondère pas suffisamment l'effet protecteur de la jeunesse. Un individu de 30 ans, même avec des facteurs de risque, ne devrait pas présenter le même risque qu'une personne de 55 ou 65 ans.</w:t>
      </w:r>
    </w:p>
    <w:p>
      <w:pPr>
        <w:pStyle w:val="Heading3"/>
      </w:pPr>
      <w:r>
        <w:t xml:space="preserve">Cas 7 : Cas limite - Senior sain (68 ans)</w:t>
      </w:r>
    </w:p>
    <w:p>
      <w:pPr>
        <w:spacing w:after="120"/>
      </w:pPr>
      <w:r>
        <w:rPr>
          <w:b/>
          <w:bCs/>
        </w:rPr>
        <w:t xml:space="preserve">Résultat : </w:t>
      </w:r>
      <w:r>
        <w:t xml:space="preserve">45,45% | Classe : Sain (0)</w:t>
      </w:r>
    </w:p>
    <w:p>
      <w:pPr>
        <w:spacing w:after="120"/>
      </w:pPr>
      <w:r>
        <w:rPr>
          <w:b/>
          <w:bCs/>
        </w:rPr>
        <w:t xml:space="preserve">Verdict : </w:t>
      </w:r>
      <w:r>
        <w:rPr>
          <w:color w:val="FFA500"/>
        </w:rPr>
        <w:t xml:space="preserve">⚠️ RISQUE SURESTIMÉ</w:t>
      </w:r>
    </w:p>
    <w:p>
      <w:pPr>
        <w:spacing w:after="480"/>
      </w:pPr>
      <w:r>
        <w:t xml:space="preserve">Pour une personne âgée avec un mode de vie exemplaire, le risque de 45,45% est trop élevé (attendu : 15-20%). Cela suggère que le modèle sur-pondère l'âge au détriment du mode de vie sain.</w:t>
      </w:r>
    </w:p>
    <w:p>
      <w:r>
        <w:br w:type="page"/>
      </w:r>
    </w:p>
    <w:p>
      <w:pPr>
        <w:pStyle w:val="Heading1"/>
      </w:pPr>
      <w:r>
        <w:t xml:space="preserve">3. ANALYSE DES PATTERNS</w:t>
      </w:r>
    </w:p>
    <w:p>
      <w:pPr>
        <w:pStyle w:val="Heading2"/>
      </w:pPr>
      <w:r>
        <w:t xml:space="preserve">3.1 Incréments de 9,09% (1/11)</w:t>
      </w:r>
    </w:p>
    <w:p>
      <w:pPr>
        <w:spacing w:after="240"/>
      </w:pPr>
      <w:r>
        <w:t xml:space="preserve">Une observation notable est que tous les résultats sont des multiples exacts de 9,09% :</w:t>
      </w:r>
    </w:p>
    <w:p>
      <w:pPr>
        <w:pStyle w:val="ListParagraph"/>
        <w:numPr>
          <w:ilvl w:val="0"/>
          <w:numId w:val="2"/>
        </w:numPr>
      </w:pPr>
      <w:r>
        <w:t xml:space="preserve">9,09% = 9,09% × 1 (Cas 1)</w:t>
      </w:r>
    </w:p>
    <w:p>
      <w:pPr>
        <w:pStyle w:val="ListParagraph"/>
        <w:numPr>
          <w:ilvl w:val="0"/>
          <w:numId w:val="2"/>
        </w:numPr>
      </w:pPr>
      <w:r>
        <w:t xml:space="preserve">18,18% = 9,09% × 2 (Cas 2)</w:t>
      </w:r>
    </w:p>
    <w:p>
      <w:pPr>
        <w:pStyle w:val="ListParagraph"/>
        <w:numPr>
          <w:ilvl w:val="0"/>
          <w:numId w:val="2"/>
        </w:numPr>
      </w:pPr>
      <w:r>
        <w:t xml:space="preserve">45,45% = 9,09% × 5 (Cas 7)</w:t>
      </w:r>
    </w:p>
    <w:p>
      <w:pPr>
        <w:pStyle w:val="ListParagraph"/>
        <w:numPr>
          <w:ilvl w:val="0"/>
          <w:numId w:val="2"/>
        </w:numPr>
      </w:pPr>
      <w:r>
        <w:t xml:space="preserve">63,64% = 9,09% × 7 (Cas 3, 4, 6)</w:t>
      </w:r>
    </w:p>
    <w:p>
      <w:pPr>
        <w:pStyle w:val="ListParagraph"/>
        <w:numPr>
          <w:ilvl w:val="0"/>
          <w:numId w:val="2"/>
        </w:numPr>
        <w:spacing w:after="240"/>
      </w:pPr>
      <w:r>
        <w:t xml:space="preserve">72,73% = 9,09% × 8 (Cas 5)</w:t>
      </w:r>
    </w:p>
    <w:p>
      <w:pPr>
        <w:spacing w:after="480"/>
      </w:pPr>
      <w:r>
        <w:t xml:space="preserve">Cela indique que le modèle utilise une échelle discrète à 11 niveaux (de 0/11 à 11/11), ce qui limite sa capacité à fournir des prédictions nuancées. Cette granularité insuffisante explique pourquoi des profils très différents reçoivent la même prédiction.</w:t>
      </w:r>
    </w:p>
    <w:p>
      <w:pPr>
        <w:pStyle w:val="Heading2"/>
      </w:pPr>
      <w:r>
        <w:t xml:space="preserve">3.2 Compression des risques moyens/élevés</w:t>
      </w:r>
    </w:p>
    <w:p>
      <w:pPr>
        <w:spacing w:after="240"/>
      </w:pPr>
      <w:r>
        <w:t xml:space="preserve">Le modèle présente une compression significative dans la plage de risque modéré à élevé. Trois profils très distincts (Cas 3, 4 et 6) convergent tous vers 63,64% :</w:t>
      </w:r>
    </w:p>
    <w:p>
      <w:pPr>
        <w:pStyle w:val="ListParagraph"/>
        <w:numPr>
          <w:ilvl w:val="0"/>
          <w:numId w:val="2"/>
        </w:numPr>
      </w:pPr>
      <w:r>
        <w:t xml:space="preserve">Cas 3 : 55 ans, HTA modérée (145 mmHg), tabac 15 kg, sans antécédents</w:t>
      </w:r>
    </w:p>
    <w:p>
      <w:pPr>
        <w:pStyle w:val="ListParagraph"/>
        <w:numPr>
          <w:ilvl w:val="0"/>
          <w:numId w:val="2"/>
        </w:numPr>
      </w:pPr>
      <w:r>
        <w:t xml:space="preserve">Cas 4 : 65 ans, HTA sévère (160 mmHg), tabac 30 kg, avec antécédents</w:t>
      </w:r>
    </w:p>
    <w:p>
      <w:pPr>
        <w:pStyle w:val="ListParagraph"/>
        <w:numPr>
          <w:ilvl w:val="0"/>
          <w:numId w:val="2"/>
        </w:numPr>
        <w:spacing w:after="240"/>
      </w:pPr>
      <w:r>
        <w:t xml:space="preserve">Cas 6 : 30 ans, HTA sévère (150 mmHg), tabac 20 kg, avec antécédents</w:t>
      </w:r>
    </w:p>
    <w:p>
      <w:pPr>
        <w:spacing w:after="480"/>
      </w:pPr>
      <w:r>
        <w:t xml:space="preserve">Cette convergence suggère que le modèle atteint un plateau et ne peut pas différencier efficacement ces profils pourtant cliniquement distincts.</w:t>
      </w:r>
    </w:p>
    <w:p>
      <w:pPr>
        <w:pStyle w:val="Heading2"/>
      </w:pPr>
      <w:r>
        <w:t xml:space="preserve">3.3 Pondération de l'âge</w:t>
      </w:r>
    </w:p>
    <w:p>
      <w:pPr>
        <w:spacing w:after="240"/>
      </w:pPr>
      <w:r>
        <w:t xml:space="preserve">L'analyse révèle deux problèmes opposés dans la pondération de l'âge :</w:t>
      </w:r>
    </w:p>
    <w:p>
      <w:pPr>
        <w:spacing w:after="120"/>
      </w:pPr>
      <w:r>
        <w:rPr>
          <w:b/>
          <w:bCs/>
        </w:rPr>
        <w:t xml:space="preserve">Sous-estimation de l'effet protecteur de la jeunesse :</w:t>
      </w:r>
    </w:p>
    <w:p>
      <w:pPr>
        <w:spacing w:after="240"/>
      </w:pPr>
      <w:r>
        <w:t xml:space="preserve">Le Cas 6 (30 ans avec facteurs de risque) reçoit le même score que des individus de 55 et 65 ans. L'âge jeune devrait offrir une protection significative, même en présence de facteurs de risque.</w:t>
      </w:r>
    </w:p>
    <w:p>
      <w:pPr>
        <w:spacing w:after="120"/>
      </w:pPr>
      <w:r>
        <w:rPr>
          <w:b/>
          <w:bCs/>
        </w:rPr>
        <w:t xml:space="preserve">Sur-estimation de l'impact de l'âge seul :</w:t>
      </w:r>
    </w:p>
    <w:p>
      <w:pPr>
        <w:spacing w:after="480"/>
      </w:pPr>
      <w:r>
        <w:t xml:space="preserve">Le Cas 7 (68 ans très sain) atteint 45,45%, alors qu'un mode de vie exemplaire devrait compenser en grande partie le risque lié à l'âge.</w:t>
      </w:r>
    </w:p>
    <w:p>
      <w:r>
        <w:br w:type="page"/>
      </w:r>
    </w:p>
    <w:p>
      <w:pPr>
        <w:pStyle w:val="Heading1"/>
      </w:pPr>
      <w:r>
        <w:t xml:space="preserve">4. PROBLÈMES IDENTIFIÉS</w:t>
      </w:r>
    </w:p>
    <w:p>
      <w:pPr>
        <w:pStyle w:val="Heading2"/>
      </w:pPr>
      <w:r>
        <w:t xml:space="preserve">4.1 Granularité insuffisante</w:t>
      </w:r>
    </w:p>
    <w:p>
      <w:pPr>
        <w:spacing w:after="120"/>
      </w:pPr>
      <w:r>
        <w:rPr>
          <w:b/>
          <w:bCs/>
        </w:rPr>
        <w:t xml:space="preserve">Problème : </w:t>
      </w:r>
      <w:r>
        <w:t xml:space="preserve">Le modèle opère avec seulement 11 niveaux de risque discrets.</w:t>
      </w:r>
    </w:p>
    <w:p>
      <w:pPr>
        <w:spacing w:after="120"/>
      </w:pPr>
      <w:r>
        <w:rPr>
          <w:b/>
          <w:bCs/>
        </w:rPr>
        <w:t xml:space="preserve">Impact : </w:t>
      </w:r>
      <w:r>
        <w:t xml:space="preserve">Profils distincts reçoivent des prédictions identiques, réduisant l'utilité clinique du modèle.</w:t>
      </w:r>
    </w:p>
    <w:p>
      <w:pPr>
        <w:spacing w:after="480"/>
      </w:pPr>
      <w:r>
        <w:rPr>
          <w:b/>
          <w:bCs/>
        </w:rPr>
        <w:t xml:space="preserve">Sévérité : </w:t>
      </w:r>
      <w:r>
        <w:rPr>
          <w:b/>
          <w:bCs/>
          <w:color w:val="FF0000"/>
        </w:rPr>
        <w:t xml:space="preserve">Élevée</w:t>
      </w:r>
    </w:p>
    <w:p>
      <w:pPr>
        <w:pStyle w:val="Heading2"/>
      </w:pPr>
      <w:r>
        <w:t xml:space="preserve">4.2 Compression des risques moyens/élevés</w:t>
      </w:r>
    </w:p>
    <w:p>
      <w:pPr>
        <w:spacing w:after="120"/>
      </w:pPr>
      <w:r>
        <w:rPr>
          <w:b/>
          <w:bCs/>
        </w:rPr>
        <w:t xml:space="preserve">Problème : </w:t>
      </w:r>
      <w:r>
        <w:t xml:space="preserve">Trois profils très différents convergent vers 63,64%.</w:t>
      </w:r>
    </w:p>
    <w:p>
      <w:pPr>
        <w:spacing w:after="120"/>
      </w:pPr>
      <w:r>
        <w:rPr>
          <w:b/>
          <w:bCs/>
        </w:rPr>
        <w:t xml:space="preserve">Impact : </w:t>
      </w:r>
      <w:r>
        <w:t xml:space="preserve">Perte de discrimination clinique pour les patients à risque modéré/élevé.</w:t>
      </w:r>
    </w:p>
    <w:p>
      <w:pPr>
        <w:spacing w:after="480"/>
      </w:pPr>
      <w:r>
        <w:rPr>
          <w:b/>
          <w:bCs/>
        </w:rPr>
        <w:t xml:space="preserve">Sévérité : </w:t>
      </w:r>
      <w:r>
        <w:rPr>
          <w:b/>
          <w:bCs/>
          <w:color w:val="FF0000"/>
        </w:rPr>
        <w:t xml:space="preserve">Élevée</w:t>
      </w:r>
    </w:p>
    <w:p>
      <w:pPr>
        <w:pStyle w:val="Heading2"/>
      </w:pPr>
      <w:r>
        <w:t xml:space="preserve">4.3 Pondération inadéquate de l'âge</w:t>
      </w:r>
    </w:p>
    <w:p>
      <w:pPr>
        <w:spacing w:after="120"/>
      </w:pPr>
      <w:r>
        <w:rPr>
          <w:b/>
          <w:bCs/>
        </w:rPr>
        <w:t xml:space="preserve">Problème : </w:t>
      </w:r>
      <w:r>
        <w:t xml:space="preserve">Sous-estimation de l'effet protecteur de la jeunesse et sur-estimation de l'impact de l'âge avancé seul.</w:t>
      </w:r>
    </w:p>
    <w:p>
      <w:pPr>
        <w:spacing w:after="120"/>
      </w:pPr>
      <w:r>
        <w:rPr>
          <w:b/>
          <w:bCs/>
        </w:rPr>
        <w:t xml:space="preserve">Impact : </w:t>
      </w:r>
      <w:r>
        <w:t xml:space="preserve">Jeunes patients surévalués, seniors sains surévalués.</w:t>
      </w:r>
    </w:p>
    <w:p>
      <w:pPr>
        <w:spacing w:after="480"/>
      </w:pPr>
      <w:r>
        <w:rPr>
          <w:b/>
          <w:bCs/>
        </w:rPr>
        <w:t xml:space="preserve">Sévérité : </w:t>
      </w:r>
      <w:r>
        <w:rPr>
          <w:b/>
          <w:bCs/>
          <w:color w:val="FF0000"/>
        </w:rPr>
        <w:t xml:space="preserve">Élevée</w:t>
      </w:r>
    </w:p>
    <w:p>
      <w:pPr>
        <w:pStyle w:val="Heading2"/>
      </w:pPr>
      <w:r>
        <w:t xml:space="preserve">4.4 Transition brutale Cas 2 → Cas 3</w:t>
      </w:r>
    </w:p>
    <w:p>
      <w:pPr>
        <w:spacing w:after="120"/>
      </w:pPr>
      <w:r>
        <w:rPr>
          <w:b/>
          <w:bCs/>
        </w:rPr>
        <w:t xml:space="preserve">Problème : </w:t>
      </w:r>
      <w:r>
        <w:t xml:space="preserve">Saut de 18,18% à 63,64% (+45,46 points) entre des profils de risque faible et modéré.</w:t>
      </w:r>
    </w:p>
    <w:p>
      <w:pPr>
        <w:spacing w:after="120"/>
      </w:pPr>
      <w:r>
        <w:rPr>
          <w:b/>
          <w:bCs/>
        </w:rPr>
        <w:t xml:space="preserve">Impact : </w:t>
      </w:r>
      <w:r>
        <w:t xml:space="preserve">Absence de nuance dans la gamme de risque faible à modéré.</w:t>
      </w:r>
    </w:p>
    <w:p>
      <w:pPr>
        <w:spacing w:after="480"/>
      </w:pPr>
      <w:r>
        <w:rPr>
          <w:b/>
          <w:bCs/>
        </w:rPr>
        <w:t xml:space="preserve">Sévérité : </w:t>
      </w:r>
      <w:r>
        <w:rPr>
          <w:b/>
          <w:bCs/>
          <w:color w:val="FFA500"/>
        </w:rPr>
        <w:t xml:space="preserve">Modérée</w:t>
      </w:r>
    </w:p>
    <w:p>
      <w:pPr>
        <w:pStyle w:val="Heading2"/>
      </w:pPr>
      <w:r>
        <w:t xml:space="preserve">4.5 Non-différenciation des antécédents familiaux</w:t>
      </w:r>
    </w:p>
    <w:p>
      <w:pPr>
        <w:spacing w:after="120"/>
      </w:pPr>
      <w:r>
        <w:rPr>
          <w:b/>
          <w:bCs/>
        </w:rPr>
        <w:t xml:space="preserve">Problème : </w:t>
      </w:r>
      <w:r>
        <w:t xml:space="preserve">Cas 3 (sans antécédents) et Cas 4 (avec antécédents) reçoivent la même prédiction.</w:t>
      </w:r>
    </w:p>
    <w:p>
      <w:pPr>
        <w:spacing w:after="120"/>
      </w:pPr>
      <w:r>
        <w:rPr>
          <w:b/>
          <w:bCs/>
        </w:rPr>
        <w:t xml:space="preserve">Impact : </w:t>
      </w:r>
      <w:r>
        <w:t xml:space="preserve">Facteur de risque majeur non pris en compte ou sous-pondéré.</w:t>
      </w:r>
    </w:p>
    <w:p>
      <w:pPr>
        <w:spacing w:after="480"/>
      </w:pPr>
      <w:r>
        <w:rPr>
          <w:b/>
          <w:bCs/>
        </w:rPr>
        <w:t xml:space="preserve">Sévérité : </w:t>
      </w:r>
      <w:r>
        <w:rPr>
          <w:b/>
          <w:bCs/>
          <w:color w:val="FF0000"/>
        </w:rPr>
        <w:t xml:space="preserve">Élevée</w:t>
      </w:r>
    </w:p>
    <w:p>
      <w:r>
        <w:br w:type="page"/>
      </w:r>
    </w:p>
    <w:p>
      <w:pPr>
        <w:pStyle w:val="Heading1"/>
      </w:pPr>
      <w:r>
        <w:t xml:space="preserve">5. RECOMMANDATIONS</w:t>
      </w:r>
    </w:p>
    <w:p>
      <w:pPr>
        <w:pStyle w:val="Heading2"/>
      </w:pPr>
      <w:r>
        <w:t xml:space="preserve">5.1 Recommandations prioritaires</w:t>
      </w:r>
    </w:p>
    <w:p>
      <w:pPr>
        <w:pStyle w:val="Heading3"/>
      </w:pPr>
      <w:r>
        <w:t xml:space="preserve">Recommandation 1 : Augmenter la granularité du modèle</w:t>
      </w:r>
    </w:p>
    <w:p>
      <w:pPr>
        <w:spacing w:after="120"/>
      </w:pPr>
      <w:r>
        <w:rPr>
          <w:b/>
          <w:bCs/>
        </w:rPr>
        <w:t xml:space="preserve">Priorité : </w:t>
      </w:r>
      <w:r>
        <w:rPr>
          <w:b/>
          <w:bCs/>
          <w:color w:val="FF0000"/>
        </w:rPr>
        <w:t xml:space="preserve">CRITIQUE</w:t>
      </w:r>
    </w:p>
    <w:p>
      <w:pPr>
        <w:spacing w:after="240"/>
      </w:pPr>
      <w:r>
        <w:rPr>
          <w:b/>
          <w:bCs/>
        </w:rPr>
        <w:t xml:space="preserve">Action : </w:t>
      </w:r>
      <w:r>
        <w:t xml:space="preserve">Modifier l'architecture du modèle pour produire une sortie continue (0-100%) plutôt qu'une échelle discrète à 11 niveaux.</w:t>
      </w:r>
    </w:p>
    <w:p>
      <w:pPr>
        <w:spacing w:after="120"/>
      </w:pPr>
      <w:r>
        <w:rPr>
          <w:b/>
          <w:bCs/>
        </w:rPr>
        <w:t xml:space="preserve">Approche technique suggérée :</w:t>
      </w:r>
    </w:p>
    <w:p>
      <w:pPr>
        <w:pStyle w:val="ListParagraph"/>
        <w:numPr>
          <w:ilvl w:val="0"/>
          <w:numId w:val="2"/>
        </w:numPr>
      </w:pPr>
      <w:r>
        <w:t xml:space="preserve">Si le modèle utilise une fonction softmax sur 11 classes, envisager une régression continue</w:t>
      </w:r>
    </w:p>
    <w:p>
      <w:pPr>
        <w:pStyle w:val="ListParagraph"/>
        <w:numPr>
          <w:ilvl w:val="0"/>
          <w:numId w:val="2"/>
        </w:numPr>
      </w:pPr>
      <w:r>
        <w:t xml:space="preserve">Si le modèle est basé sur des règles, augmenter le nombre de catégories à au moins 20-50</w:t>
      </w:r>
    </w:p>
    <w:p>
      <w:pPr>
        <w:pStyle w:val="ListParagraph"/>
        <w:numPr>
          <w:ilvl w:val="0"/>
          <w:numId w:val="2"/>
        </w:numPr>
        <w:spacing w:after="240"/>
      </w:pPr>
      <w:r>
        <w:t xml:space="preserve">Utiliser une fonction sigmoïde pour une sortie probabiliste continue</w:t>
      </w:r>
    </w:p>
    <w:p>
      <w:pPr>
        <w:spacing w:after="480"/>
      </w:pPr>
      <w:r>
        <w:rPr>
          <w:b/>
          <w:bCs/>
        </w:rPr>
        <w:t xml:space="preserve">Bénéfice attendu : </w:t>
      </w:r>
      <w:r>
        <w:t xml:space="preserve">Différenciation fine entre profils similaires, amélioration de l'utilité clinique.</w:t>
      </w:r>
    </w:p>
    <w:p>
      <w:pPr>
        <w:pStyle w:val="Heading3"/>
      </w:pPr>
      <w:r>
        <w:t xml:space="preserve">Recommandation 2 : Rééquilibrer la pondération de l'âge</w:t>
      </w:r>
    </w:p>
    <w:p>
      <w:pPr>
        <w:spacing w:after="120"/>
      </w:pPr>
      <w:r>
        <w:rPr>
          <w:b/>
          <w:bCs/>
        </w:rPr>
        <w:t xml:space="preserve">Priorité : </w:t>
      </w:r>
      <w:r>
        <w:rPr>
          <w:b/>
          <w:bCs/>
          <w:color w:val="FF0000"/>
        </w:rPr>
        <w:t xml:space="preserve">CRITIQUE</w:t>
      </w:r>
    </w:p>
    <w:p>
      <w:pPr>
        <w:spacing w:after="240"/>
      </w:pPr>
      <w:r>
        <w:rPr>
          <w:b/>
          <w:bCs/>
        </w:rPr>
        <w:t xml:space="preserve">Action : </w:t>
      </w:r>
      <w:r>
        <w:t xml:space="preserve">Implémenter une pondération non-linéaire de l'âge qui tient compte de l'effet protecteur de la jeunesse.</w:t>
      </w:r>
    </w:p>
    <w:p>
      <w:pPr>
        <w:spacing w:after="120"/>
      </w:pPr>
      <w:r>
        <w:rPr>
          <w:b/>
          <w:bCs/>
        </w:rPr>
        <w:t xml:space="preserve">Approche suggérée :</w:t>
      </w:r>
    </w:p>
    <w:p>
      <w:pPr>
        <w:pStyle w:val="ListParagraph"/>
        <w:numPr>
          <w:ilvl w:val="0"/>
          <w:numId w:val="2"/>
        </w:numPr>
      </w:pPr>
      <w:r>
        <w:t xml:space="preserve">Pour les &lt;35 ans : Appliquer un facteur de réduction significatif (0,4-0,6×) aux autres facteurs de risque</w:t>
      </w:r>
    </w:p>
    <w:p>
      <w:pPr>
        <w:pStyle w:val="ListParagraph"/>
        <w:numPr>
          <w:ilvl w:val="0"/>
          <w:numId w:val="2"/>
        </w:numPr>
      </w:pPr>
      <w:r>
        <w:t xml:space="preserve">Pour les 35-60 ans : Pondération standard</w:t>
      </w:r>
    </w:p>
    <w:p>
      <w:pPr>
        <w:pStyle w:val="ListParagraph"/>
        <w:numPr>
          <w:ilvl w:val="0"/>
          <w:numId w:val="2"/>
        </w:numPr>
        <w:spacing w:after="240"/>
      </w:pPr>
      <w:r>
        <w:t xml:space="preserve">Pour les &gt;60 ans : Augmenter l'influence de l'âge, mais moduler fortement par le mode de vie</w:t>
      </w:r>
    </w:p>
    <w:p>
      <w:pPr>
        <w:spacing w:after="480"/>
      </w:pPr>
      <w:r>
        <w:rPr>
          <w:b/>
          <w:bCs/>
        </w:rPr>
        <w:t xml:space="preserve">Bénéfice attendu : </w:t>
      </w:r>
      <w:r>
        <w:t xml:space="preserve">Prédictions plus réalistes pour les jeunes avec facteurs de risque et les seniors en bonne santé.</w:t>
      </w:r>
    </w:p>
    <w:p>
      <w:pPr>
        <w:pStyle w:val="Heading3"/>
      </w:pPr>
      <w:r>
        <w:t xml:space="preserve">Recommandation 3 : Augmenter l'impact des antécédents familiaux</w:t>
      </w:r>
    </w:p>
    <w:p>
      <w:pPr>
        <w:spacing w:after="120"/>
      </w:pPr>
      <w:r>
        <w:rPr>
          <w:b/>
          <w:bCs/>
        </w:rPr>
        <w:t xml:space="preserve">Priorité : </w:t>
      </w:r>
      <w:r>
        <w:rPr>
          <w:b/>
          <w:bCs/>
          <w:color w:val="FF6600"/>
        </w:rPr>
        <w:t xml:space="preserve">ÉLEVÉE</w:t>
      </w:r>
    </w:p>
    <w:p>
      <w:pPr>
        <w:spacing w:after="240"/>
      </w:pPr>
      <w:r>
        <w:rPr>
          <w:b/>
          <w:bCs/>
        </w:rPr>
        <w:t xml:space="preserve">Action : </w:t>
      </w:r>
      <w:r>
        <w:t xml:space="preserve">Vérifier que les antécédents familiaux sont correctement intégrés et augmenter leur poids si nécessaire.</w:t>
      </w:r>
    </w:p>
    <w:p>
      <w:pPr>
        <w:spacing w:after="120"/>
      </w:pPr>
      <w:r>
        <w:rPr>
          <w:b/>
          <w:bCs/>
        </w:rPr>
        <w:t xml:space="preserve">Valeur suggérée :</w:t>
      </w:r>
    </w:p>
    <w:p>
      <w:pPr>
        <w:pStyle w:val="ListParagraph"/>
        <w:numPr>
          <w:ilvl w:val="0"/>
          <w:numId w:val="2"/>
        </w:numPr>
        <w:spacing w:after="240"/>
      </w:pPr>
      <w:r>
        <w:t xml:space="preserve">Présence d'antécédents familiaux devrait augmenter le risque de 15-30%</w:t>
      </w:r>
    </w:p>
    <w:p>
      <w:pPr>
        <w:spacing w:after="480"/>
      </w:pPr>
      <w:r>
        <w:rPr>
          <w:b/>
          <w:bCs/>
        </w:rPr>
        <w:t xml:space="preserve">Bénéfice attendu : </w:t>
      </w:r>
      <w:r>
        <w:t xml:space="preserve">Différenciation entre Cas 3 et Cas 4.</w:t>
      </w:r>
    </w:p>
    <w:p>
      <w:pPr>
        <w:pStyle w:val="Heading2"/>
      </w:pPr>
      <w:r>
        <w:t xml:space="preserve">5.2 Recommandations secondaires</w:t>
      </w:r>
    </w:p>
    <w:p>
      <w:pPr>
        <w:pStyle w:val="Heading3"/>
      </w:pPr>
      <w:r>
        <w:t xml:space="preserve">Recommandation 4 : Lisser la transition risque faible → modéré</w:t>
      </w:r>
    </w:p>
    <w:p>
      <w:pPr>
        <w:spacing w:after="120"/>
      </w:pPr>
      <w:r>
        <w:rPr>
          <w:b/>
          <w:bCs/>
        </w:rPr>
        <w:t xml:space="preserve">Priorité : </w:t>
      </w:r>
      <w:r>
        <w:rPr>
          <w:b/>
          <w:bCs/>
          <w:color w:val="FFA500"/>
        </w:rPr>
        <w:t xml:space="preserve">MODÉRÉE</w:t>
      </w:r>
    </w:p>
    <w:p>
      <w:pPr>
        <w:spacing w:after="240"/>
      </w:pPr>
      <w:r>
        <w:rPr>
          <w:b/>
          <w:bCs/>
        </w:rPr>
        <w:t xml:space="preserve">Action : </w:t>
      </w:r>
      <w:r>
        <w:t xml:space="preserve">Introduire des niveaux intermédiaires entre 18% et 64% pour éviter le saut brutal.</w:t>
      </w:r>
    </w:p>
    <w:p>
      <w:pPr>
        <w:spacing w:after="480"/>
      </w:pPr>
      <w:r>
        <w:rPr>
          <w:b/>
          <w:bCs/>
        </w:rPr>
        <w:t xml:space="preserve">Bénéfice attendu : </w:t>
      </w:r>
      <w:r>
        <w:t xml:space="preserve">Progression plus naturelle des prédictions.</w:t>
      </w:r>
    </w:p>
    <w:p>
      <w:pPr>
        <w:pStyle w:val="Heading3"/>
      </w:pPr>
      <w:r>
        <w:t xml:space="preserve">Recommandation 5 : Validation avec données cliniques</w:t>
      </w:r>
    </w:p>
    <w:p>
      <w:pPr>
        <w:spacing w:after="120"/>
      </w:pPr>
      <w:r>
        <w:rPr>
          <w:b/>
          <w:bCs/>
        </w:rPr>
        <w:t xml:space="preserve">Priorité : </w:t>
      </w:r>
      <w:r>
        <w:rPr>
          <w:b/>
          <w:bCs/>
          <w:color w:val="FFA500"/>
        </w:rPr>
        <w:t xml:space="preserve">MODÉRÉE</w:t>
      </w:r>
    </w:p>
    <w:p>
      <w:pPr>
        <w:spacing w:after="240"/>
      </w:pPr>
      <w:r>
        <w:rPr>
          <w:b/>
          <w:bCs/>
        </w:rPr>
        <w:t xml:space="preserve">Action : </w:t>
      </w:r>
      <w:r>
        <w:t xml:space="preserve">Valider les modifications proposées avec des cohortes cliniques réelles (Framingham, UK Biobank, etc.).</w:t>
      </w:r>
    </w:p>
    <w:p>
      <w:pPr>
        <w:spacing w:after="480"/>
      </w:pPr>
      <w:r>
        <w:rPr>
          <w:b/>
          <w:bCs/>
        </w:rPr>
        <w:t xml:space="preserve">Bénéfice attendu : </w:t>
      </w:r>
      <w:r>
        <w:t xml:space="preserve">Calibration précise du modèle avec des résultats réels.</w:t>
      </w:r>
    </w:p>
    <w:p>
      <w:r>
        <w:br w:type="page"/>
      </w:r>
    </w:p>
    <w:p>
      <w:pPr>
        <w:pStyle w:val="Heading1"/>
      </w:pPr>
      <w:r>
        <w:t xml:space="preserve">6. PLAN DE MISE EN ŒUVRE</w:t>
      </w:r>
    </w:p>
    <w:p>
      <w:pPr>
        <w:pStyle w:val="Heading2"/>
      </w:pPr>
      <w:r>
        <w:t xml:space="preserve">6.1 Phase 1 : Corrections critiques (2-4 semaines)</w:t>
      </w:r>
    </w:p>
    <w:p>
      <w:pPr>
        <w:pStyle w:val="ListParagraph"/>
        <w:numPr>
          <w:ilvl w:val="0"/>
          <w:numId w:val="3"/>
        </w:numPr>
      </w:pPr>
      <w:r>
        <w:t xml:space="preserve">Augmenter la granularité du modèle (sortie continue)</w:t>
      </w:r>
    </w:p>
    <w:p>
      <w:pPr>
        <w:pStyle w:val="ListParagraph"/>
        <w:numPr>
          <w:ilvl w:val="0"/>
          <w:numId w:val="3"/>
        </w:numPr>
      </w:pPr>
      <w:r>
        <w:t xml:space="preserve">Rééquilibrer la pondération de l'âge</w:t>
      </w:r>
    </w:p>
    <w:p>
      <w:pPr>
        <w:pStyle w:val="ListParagraph"/>
        <w:numPr>
          <w:ilvl w:val="0"/>
          <w:numId w:val="3"/>
        </w:numPr>
        <w:spacing w:after="480"/>
      </w:pPr>
      <w:r>
        <w:t xml:space="preserve">Augmenter l'impact des antécédents familiaux</w:t>
      </w:r>
    </w:p>
    <w:p>
      <w:pPr>
        <w:pStyle w:val="Heading2"/>
      </w:pPr>
      <w:r>
        <w:t xml:space="preserve">6.2 Phase 2 : Validation (2-3 semaines)</w:t>
      </w:r>
    </w:p>
    <w:p>
      <w:pPr>
        <w:pStyle w:val="ListParagraph"/>
        <w:numPr>
          <w:ilvl w:val="0"/>
          <w:numId w:val="3"/>
        </w:numPr>
      </w:pPr>
      <w:r>
        <w:t xml:space="preserve">Réexécuter les 7 cas de test</w:t>
      </w:r>
    </w:p>
    <w:p>
      <w:pPr>
        <w:pStyle w:val="ListParagraph"/>
        <w:numPr>
          <w:ilvl w:val="0"/>
          <w:numId w:val="3"/>
        </w:numPr>
      </w:pPr>
      <w:r>
        <w:t xml:space="preserve">Développer des cas de test supplémentaires</w:t>
      </w:r>
    </w:p>
    <w:p>
      <w:pPr>
        <w:pStyle w:val="ListParagraph"/>
        <w:numPr>
          <w:ilvl w:val="0"/>
          <w:numId w:val="3"/>
        </w:numPr>
        <w:spacing w:after="480"/>
      </w:pPr>
      <w:r>
        <w:t xml:space="preserve">Valider avec données cliniques si disponibles</w:t>
      </w:r>
    </w:p>
    <w:p>
      <w:pPr>
        <w:pStyle w:val="Heading2"/>
      </w:pPr>
      <w:r>
        <w:t xml:space="preserve">6.3 Phase 3 : Améliorations secondaires (3-4 semaines)</w:t>
      </w:r>
    </w:p>
    <w:p>
      <w:pPr>
        <w:pStyle w:val="ListParagraph"/>
        <w:numPr>
          <w:ilvl w:val="0"/>
          <w:numId w:val="3"/>
        </w:numPr>
      </w:pPr>
      <w:r>
        <w:t xml:space="preserve">Lisser les transitions entre niveaux de risque</w:t>
      </w:r>
    </w:p>
    <w:p>
      <w:pPr>
        <w:pStyle w:val="ListParagraph"/>
        <w:numPr>
          <w:ilvl w:val="0"/>
          <w:numId w:val="3"/>
        </w:numPr>
      </w:pPr>
      <w:r>
        <w:t xml:space="preserve">Optimiser les pondérations de tous les facteurs</w:t>
      </w:r>
    </w:p>
    <w:p>
      <w:pPr>
        <w:pStyle w:val="ListParagraph"/>
        <w:numPr>
          <w:ilvl w:val="0"/>
          <w:numId w:val="3"/>
        </w:numPr>
        <w:spacing w:after="480"/>
      </w:pPr>
      <w:r>
        <w:t xml:space="preserve">Tests de sensibilité et calibration fine</w:t>
      </w:r>
    </w:p>
    <w:p>
      <w:r>
        <w:br w:type="page"/>
      </w:r>
    </w:p>
    <w:p>
      <w:pPr>
        <w:pStyle w:val="Heading1"/>
      </w:pPr>
      <w:r>
        <w:t xml:space="preserve">7. CONCLUSION</w:t>
      </w:r>
    </w:p>
    <w:p>
      <w:pPr>
        <w:spacing w:after="240"/>
      </w:pPr>
      <w:r>
        <w:t xml:space="preserve">Le modèle de prédiction de risque cardiovasculaire évalué présente des capacités prometteuses dans la détection des profils à très faible risque, mais souffre de limitations significatives dans sa capacité à différencier les profils à risque modéré et élevé.</w:t>
      </w:r>
    </w:p>
    <w:p>
      <w:pPr>
        <w:spacing w:after="240"/>
      </w:pPr>
      <w:r>
        <w:t xml:space="preserve">Les problèmes principaux identifiés — granularité insuffisante, compression des risques moyens/élevés, et pondération inadéquate de l'âge — nécessitent des corrections critiques avant un déploiement clinique.</w:t>
      </w:r>
    </w:p>
    <w:p>
      <w:pPr>
        <w:spacing w:after="240"/>
      </w:pPr>
      <w:r>
        <w:t xml:space="preserve">Avec les modifications recommandées, le modèle pourrait atteindre un niveau de performance cliniquement acceptable et fournir des prédictions fiables sur l'ensemble du spectre de risque cardiovasculaire.</w:t>
      </w:r>
    </w:p>
    <w:p>
      <w:pPr>
        <w:spacing w:after="480"/>
      </w:pPr>
      <w:r>
        <w:rPr>
          <w:b/>
          <w:bCs/>
        </w:rPr>
        <w:t xml:space="preserve">Il est fortement recommandé de mettre en œuvre les corrections critiques (Phase 1) avant toute utilisation en contexte réel.</w:t>
      </w:r>
    </w:p>
    <w:p>
      <w:pPr>
        <w:pStyle w:val="Heading1"/>
      </w:pPr>
      <w:r>
        <w:t xml:space="preserve">ANNEXE : MÉTHODOLOGIE D'ÉVALUATION</w:t>
      </w:r>
    </w:p>
    <w:p>
      <w:pPr>
        <w:pStyle w:val="Heading2"/>
      </w:pPr>
      <w:r>
        <w:t xml:space="preserve">Critères de validation</w:t>
      </w:r>
    </w:p>
    <w:p>
      <w:pPr>
        <w:spacing w:after="240"/>
      </w:pPr>
      <w:r>
        <w:t xml:space="preserve">Les prédictions du modèle ont été comparées aux risques attendus basés sur les modèles de référence suivants :</w:t>
      </w:r>
    </w:p>
    <w:p>
      <w:pPr>
        <w:pStyle w:val="ListParagraph"/>
        <w:numPr>
          <w:ilvl w:val="0"/>
          <w:numId w:val="2"/>
        </w:numPr>
      </w:pPr>
      <w:r>
        <w:t xml:space="preserve">Framingham Heart Study Risk Score</w:t>
      </w:r>
    </w:p>
    <w:p>
      <w:pPr>
        <w:pStyle w:val="ListParagraph"/>
        <w:numPr>
          <w:ilvl w:val="0"/>
          <w:numId w:val="2"/>
        </w:numPr>
      </w:pPr>
      <w:r>
        <w:t xml:space="preserve">SCORE (Systematic COronary Risk Evaluation)</w:t>
      </w:r>
    </w:p>
    <w:p>
      <w:pPr>
        <w:pStyle w:val="ListParagraph"/>
        <w:numPr>
          <w:ilvl w:val="0"/>
          <w:numId w:val="2"/>
        </w:numPr>
        <w:spacing w:after="240"/>
      </w:pPr>
      <w:r>
        <w:t xml:space="preserve">Lignes directrices ESC/EAS 2019</w:t>
      </w:r>
    </w:p>
    <w:p>
      <w:pPr>
        <w:spacing w:after="240"/>
      </w:pPr>
      <w:r>
        <w:t xml:space="preserve">Un écart de ±5% a été considéré comme acceptable, ±10% comme modéré, et &gt;10% comme significatif.</w:t>
      </w:r>
    </w:p>
    <w:p>
      <w:pPr>
        <w:pStyle w:val="Heading2"/>
      </w:pPr>
      <w:r>
        <w:t xml:space="preserve">Limitations de l'évaluation</w:t>
      </w:r>
    </w:p>
    <w:p>
      <w:pPr>
        <w:pStyle w:val="ListParagraph"/>
        <w:numPr>
          <w:ilvl w:val="0"/>
          <w:numId w:val="2"/>
        </w:numPr>
      </w:pPr>
      <w:r>
        <w:t xml:space="preserve">Nombre limité de cas de test (7)</w:t>
      </w:r>
    </w:p>
    <w:p>
      <w:pPr>
        <w:pStyle w:val="ListParagraph"/>
        <w:numPr>
          <w:ilvl w:val="0"/>
          <w:numId w:val="2"/>
        </w:numPr>
      </w:pPr>
      <w:r>
        <w:t xml:space="preserve">Absence de validation sur données cliniques réelles</w:t>
      </w:r>
    </w:p>
    <w:p>
      <w:pPr>
        <w:pStyle w:val="ListParagraph"/>
        <w:numPr>
          <w:ilvl w:val="0"/>
          <w:numId w:val="2"/>
        </w:numPr>
      </w:pPr>
      <w:r>
        <w:t xml:space="preserve">Comparaison avec modèles de référence qui ont leurs propres limitations</w:t>
      </w:r>
    </w:p>
    <w:p>
      <w:r>
        <w:br w:type="page"/>
      </w:r>
    </w:p>
    <w:p>
      <w:pPr>
        <w:spacing w:before="960" w:after="480"/>
        <w:jc w:val="center"/>
      </w:pPr>
      <w:r>
        <w:rPr>
          <w:b/>
          <w:bCs/>
          <w:color w:val="2E5C8A"/>
          <w:sz w:val="32"/>
          <w:szCs w:val="32"/>
        </w:rPr>
        <w:t xml:space="preserve">FIN DU RAPPORT</w:t>
      </w:r>
    </w:p>
    <w:p>
      <w:pPr>
        <w:spacing w:after="240"/>
        <w:jc w:val="center"/>
      </w:pPr>
      <w:r>
        <w:rPr>
          <w:sz w:val="24"/>
          <w:szCs w:val="24"/>
        </w:rPr>
        <w:t xml:space="preserve">_______________</w:t>
      </w:r>
    </w:p>
    <w:p>
      <w:pPr>
        <w:spacing w:after="120"/>
        <w:jc w:val="center"/>
      </w:pPr>
      <w:r>
        <w:rPr>
          <w:i/>
          <w:iCs/>
          <w:sz w:val="22"/>
          <w:szCs w:val="22"/>
        </w:rPr>
        <w:t xml:space="preserve">Pour toute question ou clarification concernant ce rapport,</w:t>
      </w:r>
    </w:p>
    <w:p>
      <w:pPr>
        <w:jc w:val="center"/>
      </w:pPr>
      <w:r>
        <w:rPr>
          <w:i/>
          <w:iCs/>
          <w:sz w:val="22"/>
          <w:szCs w:val="22"/>
        </w:rPr>
        <w:t xml:space="preserve">veuillez contacter l'équipe d'analyse.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2E5C8A"/>
      <w:sz w:val="32"/>
      <w:szCs w:val="32"/>
    </w:rPr>
  </w:style>
  <w:style w:type="paragraph" w:styleId="Heading2">
    <w:name w:val="Heading 2"/>
    <w:basedOn w:val="Normal"/>
    <w:next w:val="Normal"/>
    <w:qFormat/>
    <w:pPr>
      <w:spacing w:before="360" w:after="180"/>
      <w:outlineLvl w:val="1"/>
    </w:pPr>
    <w:rPr>
      <w:rFonts w:ascii="Arial" w:cs="Arial" w:eastAsia="Arial" w:hAnsi="Arial"/>
      <w:b/>
      <w:bCs/>
      <w:color w:val="3D7AB8"/>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5295C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2026-01-27T14:59:19.021Z</dcterms:created>
  <dcterms:modified xsi:type="dcterms:W3CDTF">2026-01-27T14:59:19.022Z</dcterms:modified>
</cp:coreProperties>
</file>

<file path=docProps/custom.xml><?xml version="1.0" encoding="utf-8"?>
<Properties xmlns="http://schemas.openxmlformats.org/officeDocument/2006/custom-properties" xmlns:vt="http://schemas.openxmlformats.org/officeDocument/2006/docPropsVTypes"/>
</file>