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pBdr>
          <w:bottom w:val="single" w:color="2E75B6" w:sz="12" w:space="8"/>
        </w:pBdr>
      </w:pPr>
    </w:p>
    <w:p>
      <w:pPr>
        <w:spacing w:after="200"/>
      </w:pPr>
    </w:p>
    <w:p>
      <w:pPr>
        <w:spacing w:after="100"/>
        <w:jc w:val="left"/>
      </w:pPr>
      <w:r>
        <w:rPr>
          <w:rFonts w:ascii="Arial" w:cs="Arial" w:eastAsia="Arial" w:hAnsi="Arial"/>
          <w:b/>
          <w:bCs/>
          <w:color w:val="1B3A5C"/>
          <w:sz w:val="56"/>
          <w:szCs w:val="56"/>
        </w:rPr>
        <w:t xml:space="preserve">System Design Document</w:t>
      </w:r>
    </w:p>
    <w:p>
      <w:pPr>
        <w:spacing w:after="80"/>
      </w:pPr>
      <w:r>
        <w:rPr>
          <w:rFonts w:ascii="Arial" w:cs="Arial" w:eastAsia="Arial" w:hAnsi="Arial"/>
          <w:color w:val="2E75B6"/>
          <w:sz w:val="36"/>
          <w:szCs w:val="36"/>
        </w:rPr>
        <w:t xml:space="preserve">HubSpot CRM Configuration</w:t>
      </w:r>
    </w:p>
    <w:p>
      <w:pPr>
        <w:spacing w:after="200"/>
      </w:pPr>
      <w:r>
        <w:rPr>
          <w:rFonts w:ascii="Arial" w:cs="Arial" w:eastAsia="Arial" w:hAnsi="Arial"/>
          <w:color w:val="666666"/>
          <w:sz w:val="28"/>
          <w:szCs w:val="28"/>
        </w:rPr>
        <w:t xml:space="preserve">Customer Success Operations Module</w:t>
      </w:r>
    </w:p>
    <w:p>
      <w:pPr>
        <w:pBdr>
          <w:bottom w:val="single" w:color="2E75B6" w:sz="12" w:space="8"/>
        </w:pBdr>
      </w:pPr>
    </w:p>
    <w:p>
      <w:pPr>
        <w:spacing w:after="6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r>
              <w:rPr>
                <w:rFonts w:ascii="Arial" w:cs="Arial" w:eastAsia="Arial" w:hAnsi="Arial"/>
                <w:b/>
                <w:bCs/>
                <w:color w:val="666666"/>
                <w:sz w:val="22"/>
                <w:szCs w:val="22"/>
              </w:rPr>
              <w:t xml:space="preserve">Client:</w:t>
            </w:r>
          </w:p>
        </w:tc>
        <w:tc>
          <w:tcPr>
            <w:tcW w:type="dxa" w:w="3000"/>
            <w:tcBorders>
              <w:top w:val="none" w:sz="0"/>
              <w:left w:val="none" w:sz="0"/>
              <w:bottom w:val="none" w:sz="0"/>
              <w:right w:val="none" w:sz="0"/>
            </w:tcBorders>
          </w:tcPr>
          <w:p>
            <w:r>
              <w:rPr>
                <w:rFonts w:ascii="Arial" w:cs="Arial" w:eastAsia="Arial" w:hAnsi="Arial"/>
                <w:color w:val="2D2D2D"/>
                <w:sz w:val="22"/>
                <w:szCs w:val="22"/>
              </w:rPr>
              <w:t xml:space="preserve">Acme Corporation</w:t>
            </w:r>
          </w:p>
        </w:tc>
      </w:tr>
      <w:tr>
        <w:tc>
          <w:tcPr>
            <w:tcW w:type="dxa" w:w="2000"/>
            <w:tcBorders>
              <w:top w:val="none" w:sz="0"/>
              <w:left w:val="none" w:sz="0"/>
              <w:bottom w:val="none" w:sz="0"/>
              <w:right w:val="none" w:sz="0"/>
            </w:tcBorders>
          </w:tcPr>
          <w:p>
            <w:r>
              <w:rPr>
                <w:rFonts w:ascii="Arial" w:cs="Arial" w:eastAsia="Arial" w:hAnsi="Arial"/>
                <w:b/>
                <w:bCs/>
                <w:color w:val="666666"/>
                <w:sz w:val="22"/>
                <w:szCs w:val="22"/>
              </w:rPr>
              <w:t xml:space="preserve">Project:</w:t>
            </w:r>
          </w:p>
        </w:tc>
        <w:tc>
          <w:tcPr>
            <w:tcW w:type="dxa" w:w="3000"/>
            <w:tcBorders>
              <w:top w:val="none" w:sz="0"/>
              <w:left w:val="none" w:sz="0"/>
              <w:bottom w:val="none" w:sz="0"/>
              <w:right w:val="none" w:sz="0"/>
            </w:tcBorders>
          </w:tcPr>
          <w:p>
            <w:r>
              <w:rPr>
                <w:rFonts w:ascii="Arial" w:cs="Arial" w:eastAsia="Arial" w:hAnsi="Arial"/>
                <w:color w:val="2D2D2D"/>
                <w:sz w:val="22"/>
                <w:szCs w:val="22"/>
              </w:rPr>
              <w:t xml:space="preserve">CS Operations Transformation</w:t>
            </w:r>
          </w:p>
        </w:tc>
      </w:tr>
      <w:tr>
        <w:tc>
          <w:tcPr>
            <w:tcW w:type="dxa" w:w="2000"/>
            <w:tcBorders>
              <w:top w:val="none" w:sz="0"/>
              <w:left w:val="none" w:sz="0"/>
              <w:bottom w:val="none" w:sz="0"/>
              <w:right w:val="none" w:sz="0"/>
            </w:tcBorders>
          </w:tcPr>
          <w:p>
            <w:r>
              <w:rPr>
                <w:rFonts w:ascii="Arial" w:cs="Arial" w:eastAsia="Arial" w:hAnsi="Arial"/>
                <w:b/>
                <w:bCs/>
                <w:color w:val="666666"/>
                <w:sz w:val="22"/>
                <w:szCs w:val="22"/>
              </w:rPr>
              <w:t xml:space="preserve">Prepared by:</w:t>
            </w:r>
          </w:p>
        </w:tc>
        <w:tc>
          <w:tcPr>
            <w:tcW w:type="dxa" w:w="3000"/>
            <w:tcBorders>
              <w:top w:val="none" w:sz="0"/>
              <w:left w:val="none" w:sz="0"/>
              <w:bottom w:val="none" w:sz="0"/>
              <w:right w:val="none" w:sz="0"/>
            </w:tcBorders>
          </w:tcPr>
          <w:p>
            <w:r>
              <w:rPr>
                <w:rFonts w:ascii="Arial" w:cs="Arial" w:eastAsia="Arial" w:hAnsi="Arial"/>
                <w:color w:val="2D2D2D"/>
                <w:sz w:val="22"/>
                <w:szCs w:val="22"/>
              </w:rPr>
              <w:t xml:space="preserve">Meridian Consulting Partners</w:t>
            </w:r>
          </w:p>
        </w:tc>
      </w:tr>
      <w:tr>
        <w:tc>
          <w:tcPr>
            <w:tcW w:type="dxa" w:w="2000"/>
            <w:tcBorders>
              <w:top w:val="none" w:sz="0"/>
              <w:left w:val="none" w:sz="0"/>
              <w:bottom w:val="none" w:sz="0"/>
              <w:right w:val="none" w:sz="0"/>
            </w:tcBorders>
          </w:tcPr>
          <w:p>
            <w:r>
              <w:rPr>
                <w:rFonts w:ascii="Arial" w:cs="Arial" w:eastAsia="Arial" w:hAnsi="Arial"/>
                <w:b/>
                <w:bCs/>
                <w:color w:val="666666"/>
                <w:sz w:val="22"/>
                <w:szCs w:val="22"/>
              </w:rPr>
              <w:t xml:space="preserve">Date:</w:t>
            </w:r>
          </w:p>
        </w:tc>
        <w:tc>
          <w:tcPr>
            <w:tcW w:type="dxa" w:w="3000"/>
            <w:tcBorders>
              <w:top w:val="none" w:sz="0"/>
              <w:left w:val="none" w:sz="0"/>
              <w:bottom w:val="none" w:sz="0"/>
              <w:right w:val="none" w:sz="0"/>
            </w:tcBorders>
          </w:tcPr>
          <w:p>
            <w:r>
              <w:rPr>
                <w:rFonts w:ascii="Arial" w:cs="Arial" w:eastAsia="Arial" w:hAnsi="Arial"/>
                <w:color w:val="2D2D2D"/>
                <w:sz w:val="22"/>
                <w:szCs w:val="22"/>
              </w:rPr>
              <w:t xml:space="preserve">May 16, 2026</w:t>
            </w:r>
          </w:p>
        </w:tc>
      </w:tr>
      <w:tr>
        <w:tc>
          <w:tcPr>
            <w:tcW w:type="dxa" w:w="2000"/>
            <w:tcBorders>
              <w:top w:val="none" w:sz="0"/>
              <w:left w:val="none" w:sz="0"/>
              <w:bottom w:val="none" w:sz="0"/>
              <w:right w:val="none" w:sz="0"/>
            </w:tcBorders>
          </w:tcPr>
          <w:p>
            <w:r>
              <w:rPr>
                <w:rFonts w:ascii="Arial" w:cs="Arial" w:eastAsia="Arial" w:hAnsi="Arial"/>
                <w:b/>
                <w:bCs/>
                <w:color w:val="666666"/>
                <w:sz w:val="22"/>
                <w:szCs w:val="22"/>
              </w:rPr>
              <w:t xml:space="preserve">Version:</w:t>
            </w:r>
          </w:p>
        </w:tc>
        <w:tc>
          <w:tcPr>
            <w:tcW w:type="dxa" w:w="3000"/>
            <w:tcBorders>
              <w:top w:val="none" w:sz="0"/>
              <w:left w:val="none" w:sz="0"/>
              <w:bottom w:val="none" w:sz="0"/>
              <w:right w:val="none" w:sz="0"/>
            </w:tcBorders>
          </w:tcPr>
          <w:p>
            <w:r>
              <w:rPr>
                <w:rFonts w:ascii="Arial" w:cs="Arial" w:eastAsia="Arial" w:hAnsi="Arial"/>
                <w:color w:val="2D2D2D"/>
                <w:sz w:val="22"/>
                <w:szCs w:val="22"/>
              </w:rPr>
              <w:t xml:space="preserve">2.1 (Final)</w:t>
            </w:r>
          </w:p>
        </w:tc>
      </w:tr>
    </w:tbl>
    <w:p>
      <w:pPr>
        <w:spacing w:after="1200"/>
      </w:pPr>
    </w:p>
    <w:p>
      <w:r>
        <w:rPr>
          <w:rFonts w:ascii="Arial" w:cs="Arial" w:eastAsia="Arial" w:hAnsi="Arial"/>
          <w:b/>
          <w:bCs/>
          <w:color w:val="666666"/>
          <w:sz w:val="20"/>
          <w:szCs w:val="20"/>
        </w:rPr>
        <w:t xml:space="preserve">CONFIDENTIAL</w:t>
      </w:r>
    </w:p>
    <w:p>
      <w:r>
        <w:rPr>
          <w:rFonts w:ascii="Arial" w:cs="Arial" w:eastAsia="Arial" w:hAnsi="Arial"/>
          <w:i/>
          <w:iCs/>
          <w:color w:val="666666"/>
          <w:sz w:val="18"/>
          <w:szCs w:val="18"/>
        </w:rPr>
        <w:t xml:space="preserve">This document contains proprietary information. Distribution is restricted to project stakeholders.</w:t>
      </w:r>
    </w:p>
    <w:p>
      <w:pPr>
        <w:sectPr>
          <w:pgSz w:w="12240" w:h="15840" w:orient="portrait"/>
          <w:pgMar w:top="1440" w:right="1440" w:bottom="1440" w:left="1440" w:header="708" w:footer="708" w:gutter="0"/>
          <w:pgNumType/>
          <w:docGrid w:linePitch="360"/>
        </w:sectPr>
      </w:pPr>
    </w:p>
    <w:p>
      <w:pPr>
        <w:pStyle w:val="Heading1"/>
      </w:pPr>
      <w:r>
        <w:t xml:space="preserve">Document Control</w:t>
      </w:r>
    </w:p>
    <w:p>
      <w:pPr>
        <w:spacing w:after="120"/>
      </w:pPr>
      <w:r>
        <w:rPr>
          <w:rFonts w:ascii="Arial" w:cs="Arial" w:eastAsia="Arial" w:hAnsi="Arial"/>
          <w:b/>
          <w:bCs/>
          <w:color w:val="2D2D2D"/>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April 18,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Sarah Mitchell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Initial draft based on discovery workshops</w:t>
            </w:r>
          </w:p>
        </w:tc>
      </w:tr>
      <w:tr>
        <w:tc>
          <w:tcPr>
            <w:tcW w:type="dxa" w:w="12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1.1</w:t>
            </w:r>
          </w:p>
        </w:tc>
        <w:tc>
          <w:tcPr>
            <w:tcW w:type="dxa" w:w="18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April 29, 2026</w:t>
            </w:r>
          </w:p>
        </w:tc>
        <w:tc>
          <w:tcPr>
            <w:tcW w:type="dxa" w:w="21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Sarah Mitchell</w:t>
            </w:r>
          </w:p>
        </w:tc>
        <w:tc>
          <w:tcPr>
            <w:tcW w:type="dxa" w:w="42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Incorporated client feedback from design review session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8, 2026</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James Reeves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Added workflow specifications and test cases per client sign-off</w:t>
            </w:r>
          </w:p>
        </w:tc>
      </w:tr>
      <w:tr>
        <w:tc>
          <w:tcPr>
            <w:tcW w:type="dxa" w:w="12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2.1</w:t>
            </w:r>
          </w:p>
        </w:tc>
        <w:tc>
          <w:tcPr>
            <w:tcW w:type="dxa" w:w="18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16, 2026</w:t>
            </w:r>
          </w:p>
        </w:tc>
        <w:tc>
          <w:tcPr>
            <w:tcW w:type="dxa" w:w="21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Sarah Mitchell</w:t>
            </w:r>
          </w:p>
        </w:tc>
        <w:tc>
          <w:tcPr>
            <w:tcW w:type="dxa" w:w="42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Final version. Approved for configuration.</w:t>
            </w:r>
          </w:p>
        </w:tc>
      </w:tr>
    </w:tbl>
    <w:p>
      <w:pPr>
        <w:spacing w:after="120"/>
      </w:pPr>
    </w:p>
    <w:p>
      <w:pPr>
        <w:spacing w:after="120"/>
      </w:pPr>
      <w:r>
        <w:rPr>
          <w:rFonts w:ascii="Arial" w:cs="Arial" w:eastAsia="Arial" w:hAnsi="Arial"/>
          <w:b/>
          <w:bCs/>
          <w:color w:val="2D2D2D"/>
          <w:sz w:val="22"/>
          <w:szCs w:val="22"/>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Priya Sharma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VP, Customer Success (Acme)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12,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Approved</w:t>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David Chen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Director, RevOps (Acme)</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13, 2026</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Approved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Sarah Mitchell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Lead Consultant (Meridian)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May 16, 2026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Approved</w:t>
            </w:r>
          </w:p>
        </w:tc>
      </w:tr>
    </w:tbl>
    <w:p>
      <w:r>
        <w:br w:type="page"/>
      </w:r>
    </w:p>
    <w:p>
      <w:pPr>
        <w:pStyle w:val="Heading1"/>
      </w:pPr>
      <w:r>
        <w:t xml:space="preserve">1. Executive Summary</w:t>
      </w:r>
    </w:p>
    <w:p>
      <w:pPr>
        <w:spacing w:after="120"/>
      </w:pPr>
      <w:r>
        <w:rPr>
          <w:rFonts w:ascii="Arial" w:cs="Arial" w:eastAsia="Arial" w:hAnsi="Arial"/>
          <w:color w:val="2D2D2D"/>
          <w:sz w:val="22"/>
          <w:szCs w:val="22"/>
        </w:rPr>
        <w:t xml:space="preserve">This document defines the system design for the Customer Success Operations module of Acme Corporation’s HubSpot CRM implementation. It specifies the custom properties, deal pipelines, and automation workflows required to operationalize Acme’s customer health monitoring and renewal management processes within HubSpot.</w:t>
      </w:r>
    </w:p>
    <w:p>
      <w:pPr>
        <w:spacing w:after="120"/>
      </w:pPr>
      <w:r>
        <w:rPr>
          <w:rFonts w:ascii="Arial" w:cs="Arial" w:eastAsia="Arial" w:hAnsi="Arial"/>
          <w:color w:val="2D2D2D"/>
          <w:sz w:val="22"/>
          <w:szCs w:val="22"/>
        </w:rPr>
        <w:t xml:space="preserve">The design is based on requirements gathered during three discovery workshops conducted between April 7–15, 2026, and has been validated through two design review sessions with Acme’s Customer Success and Revenue Operations teams.</w:t>
      </w:r>
    </w:p>
    <w:p>
      <w:pPr>
        <w:spacing w:after="120"/>
      </w:pPr>
      <w:r>
        <w:rPr>
          <w:rFonts w:ascii="Arial" w:cs="Arial" w:eastAsia="Arial" w:hAnsi="Arial"/>
          <w:color w:val="2D2D2D"/>
          <w:sz w:val="22"/>
          <w:szCs w:val="22"/>
        </w:rPr>
        <w:t xml:space="preserve">Upon approval, this document serves as the authoritative specification for all configuration work. Any deviations from this design require a formal change request and re-approval from both parties.</w:t>
      </w:r>
    </w:p>
    <w:p>
      <w:pPr>
        <w:pStyle w:val="Heading1"/>
      </w:pPr>
      <w:r>
        <w:t xml:space="preserve">2. Scope</w:t>
      </w:r>
    </w:p>
    <w:p>
      <w:pPr>
        <w:pStyle w:val="Heading2"/>
      </w:pPr>
      <w:r>
        <w:t xml:space="preserve">2.1 In Scope</w:t>
      </w:r>
    </w:p>
    <w:p>
      <w:pPr>
        <w:pStyle w:val="ListParagraph"/>
        <w:numPr>
          <w:ilvl w:val="0"/>
          <w:numId w:val="2"/>
        </w:numPr>
        <w:spacing w:after="60"/>
      </w:pPr>
      <w:r>
        <w:rPr>
          <w:rFonts w:ascii="Arial" w:cs="Arial" w:eastAsia="Arial" w:hAnsi="Arial"/>
          <w:sz w:val="22"/>
          <w:szCs w:val="22"/>
        </w:rPr>
        <w:t xml:space="preserve">Custom contact properties for customer health tracking</w:t>
      </w:r>
    </w:p>
    <w:p>
      <w:pPr>
        <w:pStyle w:val="ListParagraph"/>
        <w:numPr>
          <w:ilvl w:val="0"/>
          <w:numId w:val="2"/>
        </w:numPr>
        <w:spacing w:after="60"/>
      </w:pPr>
      <w:r>
        <w:rPr>
          <w:rFonts w:ascii="Arial" w:cs="Arial" w:eastAsia="Arial" w:hAnsi="Arial"/>
          <w:sz w:val="22"/>
          <w:szCs w:val="22"/>
        </w:rPr>
        <w:t xml:space="preserve">Custom company properties for account segmentation</w:t>
      </w:r>
    </w:p>
    <w:p>
      <w:pPr>
        <w:pStyle w:val="ListParagraph"/>
        <w:numPr>
          <w:ilvl w:val="0"/>
          <w:numId w:val="2"/>
        </w:numPr>
        <w:spacing w:after="60"/>
      </w:pPr>
      <w:r>
        <w:rPr>
          <w:rFonts w:ascii="Arial" w:cs="Arial" w:eastAsia="Arial" w:hAnsi="Arial"/>
          <w:sz w:val="22"/>
          <w:szCs w:val="22"/>
        </w:rPr>
        <w:t xml:space="preserve">Deal pipeline for enterprise renewal management</w:t>
      </w:r>
    </w:p>
    <w:p>
      <w:pPr>
        <w:pStyle w:val="ListParagraph"/>
        <w:numPr>
          <w:ilvl w:val="0"/>
          <w:numId w:val="2"/>
        </w:numPr>
        <w:spacing w:after="60"/>
      </w:pPr>
      <w:r>
        <w:rPr>
          <w:rFonts w:ascii="Arial" w:cs="Arial" w:eastAsia="Arial" w:hAnsi="Arial"/>
          <w:sz w:val="22"/>
          <w:szCs w:val="22"/>
        </w:rPr>
        <w:t xml:space="preserve">Automated workflows for at-risk customer alerting</w:t>
      </w:r>
    </w:p>
    <w:p>
      <w:pPr>
        <w:pStyle w:val="ListParagraph"/>
        <w:numPr>
          <w:ilvl w:val="0"/>
          <w:numId w:val="2"/>
        </w:numPr>
        <w:spacing w:after="60"/>
      </w:pPr>
      <w:r>
        <w:rPr>
          <w:rFonts w:ascii="Arial" w:cs="Arial" w:eastAsia="Arial" w:hAnsi="Arial"/>
          <w:sz w:val="22"/>
          <w:szCs w:val="22"/>
        </w:rPr>
        <w:t xml:space="preserve">Automated workflow for renewal pipeline creation</w:t>
      </w:r>
    </w:p>
    <w:p>
      <w:pPr>
        <w:pStyle w:val="ListParagraph"/>
        <w:numPr>
          <w:ilvl w:val="0"/>
          <w:numId w:val="2"/>
        </w:numPr>
        <w:spacing w:after="120"/>
      </w:pPr>
      <w:r>
        <w:rPr>
          <w:rFonts w:ascii="Arial" w:cs="Arial" w:eastAsia="Arial" w:hAnsi="Arial"/>
          <w:sz w:val="22"/>
          <w:szCs w:val="22"/>
        </w:rPr>
        <w:t xml:space="preserve">Dashboard configuration for CS leadership reporting</w:t>
      </w:r>
    </w:p>
    <w:p>
      <w:pPr>
        <w:pStyle w:val="Heading2"/>
      </w:pPr>
      <w:r>
        <w:t xml:space="preserve">2.2 Out of Scope</w:t>
      </w:r>
    </w:p>
    <w:p>
      <w:pPr>
        <w:pStyle w:val="ListParagraph"/>
        <w:numPr>
          <w:ilvl w:val="0"/>
          <w:numId w:val="2"/>
        </w:numPr>
        <w:spacing w:after="60"/>
      </w:pPr>
      <w:r>
        <w:rPr>
          <w:rFonts w:ascii="Arial" w:cs="Arial" w:eastAsia="Arial" w:hAnsi="Arial"/>
          <w:sz w:val="22"/>
          <w:szCs w:val="22"/>
        </w:rPr>
        <w:t xml:space="preserve">Data migration from the existing Salesforce instance (covered in separate Data Migration Design Document)</w:t>
      </w:r>
    </w:p>
    <w:p>
      <w:pPr>
        <w:pStyle w:val="ListParagraph"/>
        <w:numPr>
          <w:ilvl w:val="0"/>
          <w:numId w:val="2"/>
        </w:numPr>
        <w:spacing w:after="60"/>
      </w:pPr>
      <w:r>
        <w:rPr>
          <w:rFonts w:ascii="Arial" w:cs="Arial" w:eastAsia="Arial" w:hAnsi="Arial"/>
          <w:sz w:val="22"/>
          <w:szCs w:val="22"/>
        </w:rPr>
        <w:t xml:space="preserve">Integration with product usage analytics platform (Phase 2)</w:t>
      </w:r>
    </w:p>
    <w:p>
      <w:pPr>
        <w:pStyle w:val="ListParagraph"/>
        <w:numPr>
          <w:ilvl w:val="0"/>
          <w:numId w:val="2"/>
        </w:numPr>
        <w:spacing w:after="120"/>
      </w:pPr>
      <w:r>
        <w:rPr>
          <w:rFonts w:ascii="Arial" w:cs="Arial" w:eastAsia="Arial" w:hAnsi="Arial"/>
          <w:sz w:val="22"/>
          <w:szCs w:val="22"/>
        </w:rPr>
        <w:t xml:space="preserve">Custom reporting beyond the dashboards specified in Section 7</w:t>
      </w:r>
    </w:p>
    <w:p>
      <w:pPr>
        <w:pStyle w:val="Heading2"/>
      </w:pPr>
      <w:r>
        <w:t xml:space="preserve">2.3 Assumptions and Dependencies</w:t>
      </w:r>
    </w:p>
    <w:p>
      <w:pPr>
        <w:pStyle w:val="ListParagraph"/>
        <w:numPr>
          <w:ilvl w:val="0"/>
          <w:numId w:val="2"/>
        </w:numPr>
        <w:spacing w:after="60"/>
      </w:pPr>
      <w:r>
        <w:rPr>
          <w:rFonts w:ascii="Arial" w:cs="Arial" w:eastAsia="Arial" w:hAnsi="Arial"/>
          <w:sz w:val="22"/>
          <w:szCs w:val="22"/>
        </w:rPr>
        <w:t xml:space="preserve">Acme has an active HubSpot Professional or Enterprise subscription with access to Workflows and Custom Properties</w:t>
      </w:r>
    </w:p>
    <w:p>
      <w:pPr>
        <w:pStyle w:val="ListParagraph"/>
        <w:numPr>
          <w:ilvl w:val="0"/>
          <w:numId w:val="2"/>
        </w:numPr>
        <w:spacing w:after="60"/>
      </w:pPr>
      <w:r>
        <w:rPr>
          <w:rFonts w:ascii="Arial" w:cs="Arial" w:eastAsia="Arial" w:hAnsi="Arial"/>
          <w:sz w:val="22"/>
          <w:szCs w:val="22"/>
        </w:rPr>
        <w:t xml:space="preserve">CSM team members (12 users) will be provisioned with Sales Hub Professional licenses</w:t>
      </w:r>
    </w:p>
    <w:p>
      <w:pPr>
        <w:pStyle w:val="ListParagraph"/>
        <w:numPr>
          <w:ilvl w:val="0"/>
          <w:numId w:val="2"/>
        </w:numPr>
        <w:spacing w:after="60"/>
      </w:pPr>
      <w:r>
        <w:rPr>
          <w:rFonts w:ascii="Arial" w:cs="Arial" w:eastAsia="Arial" w:hAnsi="Arial"/>
          <w:sz w:val="22"/>
          <w:szCs w:val="22"/>
        </w:rPr>
        <w:t xml:space="preserve">NPS data will be manually entered or imported via CSV until the Phase 2 integration is complete</w:t>
      </w:r>
    </w:p>
    <w:p>
      <w:pPr>
        <w:pStyle w:val="ListParagraph"/>
        <w:numPr>
          <w:ilvl w:val="0"/>
          <w:numId w:val="2"/>
        </w:numPr>
        <w:spacing w:after="120"/>
      </w:pPr>
      <w:r>
        <w:rPr>
          <w:rFonts w:ascii="Arial" w:cs="Arial" w:eastAsia="Arial" w:hAnsi="Arial"/>
          <w:sz w:val="22"/>
          <w:szCs w:val="22"/>
        </w:rPr>
        <w:t xml:space="preserve">Acme’s internal naming conventions (prefix “ACS_” for all custom properties) will be followed</w:t>
      </w:r>
    </w:p>
    <w:p>
      <w:r>
        <w:br w:type="page"/>
      </w:r>
    </w:p>
    <w:p>
      <w:pPr>
        <w:pStyle w:val="Heading1"/>
      </w:pPr>
      <w:r>
        <w:t xml:space="preserve">3. Contact Property Configuration</w:t>
      </w:r>
    </w:p>
    <w:p>
      <w:pPr>
        <w:spacing w:after="120"/>
      </w:pPr>
      <w:r>
        <w:rPr>
          <w:rFonts w:ascii="Arial" w:cs="Arial" w:eastAsia="Arial" w:hAnsi="Arial"/>
          <w:color w:val="2D2D2D"/>
          <w:sz w:val="22"/>
          <w:szCs w:val="22"/>
        </w:rPr>
        <w:t xml:space="preserve">The following custom properties will be created on the Contact object to support customer health tracking and segmentation. All properties use the Acme naming convention prefix “ACS_”.</w:t>
      </w:r>
    </w:p>
    <w:p>
      <w:pPr>
        <w:pStyle w:val="Heading2"/>
      </w:pPr>
      <w:r>
        <w:t xml:space="preserve">3.1 ACS_Risk_Score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Risk Score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acs_risk_score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Number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Composite risk score calculated from product usage, support ticket volume, and NPS. Range: 0–100. Higher values indicate greater risk of churn.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Validation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Minimum: 0, Maximum: 100</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teams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Used in 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Yes — At-Risk Customer Alert (Section 6.1)</w:t>
            </w:r>
          </w:p>
        </w:tc>
      </w:tr>
    </w:tbl>
    <w:p>
      <w:pPr>
        <w:spacing w:after="120"/>
      </w:pPr>
    </w:p>
    <w:p>
      <w:pPr>
        <w:pStyle w:val="Heading2"/>
      </w:pPr>
      <w:r>
        <w:t xml:space="preserve">3.2 ACS_Customer_Segment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Customer Segment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acs_customer_segment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Dropdown select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segmentation tier based on ARR band and strategic importance.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Options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Enterprise ($500K+ ARR) | Mid-Market ($100K–$499K ARR) | SMB ($25K–$99K ARR) | Startup (&lt; $25K ARR)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Default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None (required field during onboarding)</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teams</w:t>
            </w:r>
          </w:p>
        </w:tc>
      </w:tr>
    </w:tbl>
    <w:p>
      <w:pPr>
        <w:spacing w:after="120"/>
      </w:pPr>
    </w:p>
    <w:p>
      <w:pPr>
        <w:pStyle w:val="Heading2"/>
      </w:pPr>
      <w:r>
        <w:t xml:space="preserve">3.3 ACS_NPS_Score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NPS Score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acs_nps_score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Number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Most recent Net Promoter Score from quarterly survey. Range: 0–10.</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Validation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Minimum: 0, Maximum: 10</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teams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Used in 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Yes — At-Risk Customer Alert (Section 6.1)</w:t>
            </w:r>
          </w:p>
        </w:tc>
      </w:tr>
    </w:tbl>
    <w:p>
      <w:pPr>
        <w:spacing w:after="120"/>
      </w:pPr>
    </w:p>
    <w:p>
      <w:pPr>
        <w:pStyle w:val="Heading2"/>
      </w:pPr>
      <w:r>
        <w:t xml:space="preserve">3.4 ACS_Renewal_Date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Renewal Date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acs_renewal_date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Date picker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Deal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renewal date for the customer’s current subscription period.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teams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Used in Workflows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Yes — Renewal Pipeline Creation (Section 6.2)</w:t>
            </w:r>
          </w:p>
        </w:tc>
      </w:tr>
    </w:tbl>
    <w:p>
      <w:pPr>
        <w:spacing w:after="120"/>
      </w:pPr>
    </w:p>
    <w:p>
      <w:pPr>
        <w:pStyle w:val="Heading2"/>
      </w:pPr>
      <w:r>
        <w:t xml:space="preserve">3.5 ACS_CSM_Assigned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CSM Assigned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acs_csm_assigned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HubSpot user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The Customer Success Manager assigned to this contact. Used for workflow routing and task assignment.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All teams</w:t>
            </w:r>
          </w:p>
        </w:tc>
      </w:tr>
    </w:tbl>
    <w:p>
      <w:r>
        <w:br w:type="page"/>
      </w:r>
    </w:p>
    <w:p>
      <w:pPr>
        <w:pStyle w:val="Heading1"/>
      </w:pPr>
      <w:r>
        <w:t xml:space="preserve">4. Company Property Configuration</w:t>
      </w:r>
    </w:p>
    <w:p>
      <w:pPr>
        <w:spacing w:after="120"/>
      </w:pPr>
      <w:r>
        <w:rPr>
          <w:rFonts w:ascii="Arial" w:cs="Arial" w:eastAsia="Arial" w:hAnsi="Arial"/>
          <w:color w:val="2D2D2D"/>
          <w:sz w:val="22"/>
          <w:szCs w:val="22"/>
        </w:rPr>
        <w:t xml:space="preserve">The following custom properties will be created on the Company object to support account-level segmentation and health tracking.</w:t>
      </w:r>
    </w:p>
    <w:p>
      <w:pPr>
        <w:pStyle w:val="Heading2"/>
      </w:pPr>
      <w:r>
        <w:t xml:space="preserve">4.1 ACS_Account_Health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Account Health</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acs_account_health</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Company</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Dropdown select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Company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Overall health status of the customer account. Set manually by CSM or via workflow based on aggregate risk scores.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Options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Healthy | Needs Attention | At Risk | Churned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Default Value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Healthy</w:t>
            </w:r>
          </w:p>
        </w:tc>
      </w:tr>
    </w:tbl>
    <w:p>
      <w:pPr>
        <w:spacing w:after="120"/>
      </w:pPr>
    </w:p>
    <w:p>
      <w:pPr>
        <w:pStyle w:val="Heading2"/>
      </w:pPr>
      <w:r>
        <w:t xml:space="preserve">4.2 ACS_ARR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Label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Annual Recurring Revenue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Internal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acs_arr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Company</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Field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Number (formatted as currency)</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Property Group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Company information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Current annual recurring revenue for this account in USD.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Sales and CS teams only</w:t>
            </w:r>
          </w:p>
        </w:tc>
      </w:tr>
    </w:tbl>
    <w:p>
      <w:r>
        <w:br w:type="page"/>
      </w:r>
    </w:p>
    <w:p>
      <w:pPr>
        <w:pStyle w:val="Heading1"/>
      </w:pPr>
      <w:r>
        <w:t xml:space="preserve">5. Deal Pipeline Configuration</w:t>
      </w:r>
    </w:p>
    <w:p>
      <w:pPr>
        <w:pStyle w:val="Heading2"/>
      </w:pPr>
      <w:r>
        <w:t xml:space="preserve">5.1 Enterprise Renewals Pipeline</w:t>
      </w:r>
    </w:p>
    <w:p>
      <w:pPr>
        <w:spacing w:after="120"/>
      </w:pPr>
      <w:r>
        <w:rPr>
          <w:rFonts w:ascii="Arial" w:cs="Arial" w:eastAsia="Arial" w:hAnsi="Arial"/>
          <w:color w:val="2D2D2D"/>
          <w:sz w:val="22"/>
          <w:szCs w:val="22"/>
        </w:rPr>
        <w:t xml:space="preserve">A dedicated deal pipeline will be created to manage the renewal process for Enterprise and Mid-Market customers. This pipeline is separate from the existing Sales pipeline to ensure renewal-specific stages and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Pipeline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Enterprise Renewals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Pipeline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Deal pipeline</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CS team and Sales leadership</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Default Pipeline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 (existing Sales pipeline remains default)</w:t>
            </w:r>
          </w:p>
        </w:tc>
      </w:tr>
    </w:tbl>
    <w:p>
      <w:pPr>
        <w:spacing w:after="120"/>
      </w:pPr>
    </w:p>
    <w:p>
      <w:pPr>
        <w:spacing w:after="120"/>
      </w:pPr>
      <w:r>
        <w:rPr>
          <w:rFonts w:ascii="Arial" w:cs="Arial" w:eastAsia="Arial" w:hAnsi="Arial"/>
          <w:b/>
          <w:bCs/>
          <w:color w:val="2D2D2D"/>
          <w:sz w:val="22"/>
          <w:szCs w:val="22"/>
        </w:rPr>
        <w:t xml:space="preserve">Pipeline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340"/>
        <w:gridCol w:w="1560"/>
        <w:gridCol w:w="46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 Name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Win Probability</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 / Entry Criteria</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Renewal Identified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Renewal date is within 120 days. Deal auto-created by workflow (Section 6.2).</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Health Assessment</w:t>
            </w:r>
          </w:p>
        </w:tc>
        <w:tc>
          <w:tcPr>
            <w:tcW w:type="dxa" w:w="15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30%</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CSM has reviewed account health, product usage, and open support tickets. Risk score updated.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Proposal Sent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Renewal proposal or pricing confirmation sent to the customer.</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Negotiation</w:t>
            </w:r>
          </w:p>
        </w:tc>
        <w:tc>
          <w:tcPr>
            <w:tcW w:type="dxa" w:w="15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65%</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Active negotiation on terms, pricing, or scope changes.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Verbal Commit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85%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has verbally confirmed renewal. Awaiting contract execution.</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Closed Won</w:t>
            </w:r>
          </w:p>
        </w:tc>
        <w:tc>
          <w:tcPr>
            <w:tcW w:type="dxa" w:w="156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100%</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Contract signed and renewal processed.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Closed Lost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has confirmed they will not renew. Churn reason captured.</w:t>
            </w:r>
          </w:p>
        </w:tc>
      </w:tr>
    </w:tbl>
    <w:p>
      <w:r>
        <w:br w:type="page"/>
      </w:r>
    </w:p>
    <w:p>
      <w:pPr>
        <w:pStyle w:val="Heading1"/>
      </w:pPr>
      <w:r>
        <w:t xml:space="preserve">6. Workflow Configuration</w:t>
      </w:r>
    </w:p>
    <w:p>
      <w:pPr>
        <w:pStyle w:val="Heading2"/>
      </w:pPr>
      <w:r>
        <w:t xml:space="preserve">6.1 At-Risk Customer Alert</w:t>
      </w:r>
    </w:p>
    <w:p>
      <w:pPr>
        <w:spacing w:after="120"/>
      </w:pPr>
      <w:r>
        <w:rPr>
          <w:rFonts w:ascii="Arial" w:cs="Arial" w:eastAsia="Arial" w:hAnsi="Arial"/>
          <w:color w:val="2D2D2D"/>
          <w:sz w:val="22"/>
          <w:szCs w:val="22"/>
        </w:rPr>
        <w:t xml:space="preserve">This workflow monitors customer risk indicators and automatically alerts the assigned CSM when a contact is identified as at-risk, ensuring timely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Workflow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At-Risk Customer Alert</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Contact-based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Enrollment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Automatic (re-enrollment enabled)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Status after 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Active</w:t>
            </w:r>
          </w:p>
        </w:tc>
      </w:tr>
    </w:tbl>
    <w:p>
      <w:pPr>
        <w:spacing w:after="120"/>
      </w:pPr>
    </w:p>
    <w:p>
      <w:pPr>
        <w:spacing w:after="120"/>
      </w:pPr>
      <w:r>
        <w:rPr>
          <w:rFonts w:ascii="Arial" w:cs="Arial" w:eastAsia="Arial" w:hAnsi="Arial"/>
          <w:b/>
          <w:bCs/>
          <w:color w:val="2D2D2D"/>
          <w:sz w:val="22"/>
          <w:szCs w:val="22"/>
        </w:rPr>
        <w:t xml:space="preserve">Enrollment Trigger</w:t>
      </w:r>
    </w:p>
    <w:p>
      <w:pPr>
        <w:spacing w:after="120"/>
      </w:pPr>
      <w:r>
        <w:rPr>
          <w:rFonts w:ascii="Arial" w:cs="Arial" w:eastAsia="Arial" w:hAnsi="Arial"/>
          <w:color w:val="2D2D2D"/>
          <w:sz w:val="22"/>
          <w:szCs w:val="22"/>
        </w:rPr>
        <w:t xml:space="preserve">Contact meets ANY of the following criteria:</w:t>
      </w:r>
    </w:p>
    <w:p>
      <w:pPr>
        <w:pStyle w:val="ListParagraph"/>
        <w:numPr>
          <w:ilvl w:val="0"/>
          <w:numId w:val="2"/>
        </w:numPr>
        <w:spacing w:after="60"/>
      </w:pPr>
      <w:r>
        <w:rPr>
          <w:rFonts w:ascii="Arial" w:cs="Arial" w:eastAsia="Arial" w:hAnsi="Arial"/>
          <w:sz w:val="22"/>
          <w:szCs w:val="22"/>
        </w:rPr>
        <w:t xml:space="preserve">Contact property “ACS Risk Score” is greater than 75</w:t>
      </w:r>
    </w:p>
    <w:p>
      <w:pPr>
        <w:pStyle w:val="ListParagraph"/>
        <w:numPr>
          <w:ilvl w:val="0"/>
          <w:numId w:val="2"/>
        </w:numPr>
        <w:spacing w:after="120"/>
      </w:pPr>
      <w:r>
        <w:rPr>
          <w:rFonts w:ascii="Arial" w:cs="Arial" w:eastAsia="Arial" w:hAnsi="Arial"/>
          <w:sz w:val="22"/>
          <w:szCs w:val="22"/>
        </w:rPr>
        <w:t xml:space="preserve">Contact property “ACS NPS Score” is less than 7</w:t>
      </w:r>
    </w:p>
    <w:p>
      <w:pPr>
        <w:spacing w:after="120"/>
      </w:pPr>
      <w:r>
        <w:rPr>
          <w:rFonts w:ascii="Arial" w:cs="Arial" w:eastAsia="Arial" w:hAnsi="Arial"/>
          <w:b/>
          <w:bCs/>
          <w:color w:val="2D2D2D"/>
          <w:sz w:val="22"/>
          <w:szCs w:val="22"/>
        </w:rPr>
        <w:t xml:space="preserve">Workflow Actions (executed in sequence)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64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Type</w:t>
            </w:r>
          </w:p>
        </w:tc>
        <w:tc>
          <w:tcPr>
            <w:tcW w:type="dxa" w:w="6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Details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Delay</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Wait 1 minute (to allow batch property updates to complete before triggering downstream actions)</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2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Set property value</w:t>
            </w:r>
          </w:p>
        </w:tc>
        <w:tc>
          <w:tcPr>
            <w:tcW w:type="dxa" w:w="64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Set contact property “ACS Customer Segment” to value “At-Risk”</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Send internal email notification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Recipient: Contact owner (ACS CSM Assigned). Subject: “[Action Required] At-Risk Alert: {{contact.firstname}} {{contact.lastname}} at {{contact.company}}”. Body: Include risk score, NPS score, customer segment, and link to contact record.</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2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Create task</w:t>
            </w:r>
          </w:p>
        </w:tc>
        <w:tc>
          <w:tcPr>
            <w:tcW w:type="dxa" w:w="64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Title: “Review at-risk customer: {{contact.firstname}} {{contact.lastname}}”. Assigned to: Contact owner. Due date: 2 business days from trigger. Priority: High. Notes: “Risk Score: {{contact.acs_risk_score}}. NPS: {{contact.acs_nps_score}}. Review account health and schedule a check-in call.”</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Send internal Slack notification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Channel: #cs-alerts. Message: “:warning: At-risk alert: {{contact.firstname}} {{contact.lastname}} ({{contact.company}}) — Risk Score: {{contact.acs_risk_score}}, NPS: {{contact.acs_nps_score}}. Assigned to {{contact.hubspot_owner_id}}.”</w:t>
            </w:r>
          </w:p>
        </w:tc>
      </w:tr>
    </w:tbl>
    <w:p>
      <w:pPr>
        <w:spacing w:after="120"/>
      </w:pPr>
    </w:p>
    <w:p>
      <w:pPr>
        <w:spacing w:after="120"/>
      </w:pPr>
      <w:r>
        <w:rPr>
          <w:rFonts w:ascii="Arial" w:cs="Arial" w:eastAsia="Arial" w:hAnsi="Arial"/>
          <w:i/>
          <w:iCs/>
          <w:color w:val="666666"/>
          <w:sz w:val="20"/>
          <w:szCs w:val="20"/>
        </w:rPr>
        <w:t xml:space="preserve">Note: The Slack notification action (Step 5) requires the HubSpot-Slack integration to be configured. If the integration is not active at go-live, this step will be added post-launch. All other actions are independent of external integrations.</w:t>
      </w:r>
    </w:p>
    <w:p>
      <w:pPr>
        <w:spacing w:after="120"/>
      </w:pPr>
    </w:p>
    <w:p>
      <w:pPr>
        <w:pStyle w:val="Heading2"/>
      </w:pPr>
      <w:r>
        <w:t xml:space="preserve">6.2 Renewal Pipeline Auto-Creation</w:t>
      </w:r>
    </w:p>
    <w:p>
      <w:pPr>
        <w:spacing w:after="120"/>
      </w:pPr>
      <w:r>
        <w:rPr>
          <w:rFonts w:ascii="Arial" w:cs="Arial" w:eastAsia="Arial" w:hAnsi="Arial"/>
          <w:color w:val="2D2D2D"/>
          <w:sz w:val="22"/>
          <w:szCs w:val="22"/>
        </w:rPr>
        <w:t xml:space="preserve">This workflow automatically creates a renewal deal in the Enterprise Renewals pipeline when a customer’s renewal date is approaching, ensuring no renewal is missed.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Workflow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ACS Renewal Pipeline Auto-Creation</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Contact-based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Enrollment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Automatic (re-enrollment disabled)</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Status after configuration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Active</w:t>
            </w:r>
          </w:p>
        </w:tc>
      </w:tr>
    </w:tbl>
    <w:p>
      <w:pPr>
        <w:spacing w:after="120"/>
      </w:pPr>
    </w:p>
    <w:p>
      <w:pPr>
        <w:spacing w:after="120"/>
      </w:pPr>
      <w:r>
        <w:rPr>
          <w:rFonts w:ascii="Arial" w:cs="Arial" w:eastAsia="Arial" w:hAnsi="Arial"/>
          <w:b/>
          <w:bCs/>
          <w:color w:val="2D2D2D"/>
          <w:sz w:val="22"/>
          <w:szCs w:val="22"/>
        </w:rPr>
        <w:t xml:space="preserve">Enrollment Trigger</w:t>
      </w:r>
    </w:p>
    <w:p>
      <w:pPr>
        <w:spacing w:after="120"/>
      </w:pPr>
      <w:r>
        <w:rPr>
          <w:rFonts w:ascii="Arial" w:cs="Arial" w:eastAsia="Arial" w:hAnsi="Arial"/>
          <w:color w:val="2D2D2D"/>
          <w:sz w:val="22"/>
          <w:szCs w:val="22"/>
        </w:rPr>
        <w:t xml:space="preserve">Contact meets ALL of the following criteria:</w:t>
      </w:r>
    </w:p>
    <w:p>
      <w:pPr>
        <w:pStyle w:val="ListParagraph"/>
        <w:numPr>
          <w:ilvl w:val="0"/>
          <w:numId w:val="2"/>
        </w:numPr>
        <w:spacing w:after="60"/>
      </w:pPr>
      <w:r>
        <w:rPr>
          <w:rFonts w:ascii="Arial" w:cs="Arial" w:eastAsia="Arial" w:hAnsi="Arial"/>
          <w:sz w:val="22"/>
          <w:szCs w:val="22"/>
        </w:rPr>
        <w:t xml:space="preserve">Contact property “ACS Renewal Date” is within the next 120 days</w:t>
      </w:r>
    </w:p>
    <w:p>
      <w:pPr>
        <w:pStyle w:val="ListParagraph"/>
        <w:numPr>
          <w:ilvl w:val="0"/>
          <w:numId w:val="2"/>
        </w:numPr>
        <w:spacing w:after="60"/>
      </w:pPr>
      <w:r>
        <w:rPr>
          <w:rFonts w:ascii="Arial" w:cs="Arial" w:eastAsia="Arial" w:hAnsi="Arial"/>
          <w:sz w:val="22"/>
          <w:szCs w:val="22"/>
        </w:rPr>
        <w:t xml:space="preserve">Contact property “ACS Customer Segment” is any of: Enterprise, Mid-Market</w:t>
      </w:r>
    </w:p>
    <w:p>
      <w:pPr>
        <w:pStyle w:val="ListParagraph"/>
        <w:numPr>
          <w:ilvl w:val="0"/>
          <w:numId w:val="2"/>
        </w:numPr>
        <w:spacing w:after="120"/>
      </w:pPr>
      <w:r>
        <w:rPr>
          <w:rFonts w:ascii="Arial" w:cs="Arial" w:eastAsia="Arial" w:hAnsi="Arial"/>
          <w:sz w:val="22"/>
          <w:szCs w:val="22"/>
        </w:rPr>
        <w:t xml:space="preserve">Contact is NOT currently enrolled in this workflow</w:t>
      </w:r>
    </w:p>
    <w:p>
      <w:pPr>
        <w:spacing w:after="120"/>
      </w:pPr>
      <w:r>
        <w:rPr>
          <w:rFonts w:ascii="Arial" w:cs="Arial" w:eastAsia="Arial" w:hAnsi="Arial"/>
          <w:b/>
          <w:bCs/>
          <w:color w:val="2D2D2D"/>
          <w:sz w:val="22"/>
          <w:szCs w:val="22"/>
        </w:rPr>
        <w:t xml:space="preserve">Workflow Actions (executed in sequence)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100"/>
        <w:gridCol w:w="64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Type</w:t>
            </w:r>
          </w:p>
        </w:tc>
        <w:tc>
          <w:tcPr>
            <w:tcW w:type="dxa" w:w="6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Details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Create deal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Pipeline: Enterprise Renewals. Stage: Renewal Identified. Deal name: “Renewal: {{contact.company}} — {{contact.acs_renewal_date}}”. Close date: Value of ACS Renewal Date. Deal owner: Contact owner.</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21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Create task</w:t>
            </w:r>
          </w:p>
        </w:tc>
        <w:tc>
          <w:tcPr>
            <w:tcW w:type="dxa" w:w="64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Title: “Begin renewal process for {{contact.company}}”. Assigned to: Contact owner. Due date: 7 business days from trigger. Priority: Medium. Notes: “Renewal date: {{contact.acs_renewal_date}}. Segment: {{contact.acs_customer_segment}}. Begin health assessment.”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Send internal email notification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Recipient: Contact owner. Subject: “[Renewal] {{contact.company}} renewal approaching on {{contact.acs_renewal_date}}”. Body: Include customer segment, ARR (if available), renewal date, and link to the newly created deal.</w:t>
            </w:r>
          </w:p>
        </w:tc>
      </w:tr>
    </w:tbl>
    <w:p>
      <w:r>
        <w:br w:type="page"/>
      </w:r>
    </w:p>
    <w:p>
      <w:pPr>
        <w:pStyle w:val="Heading1"/>
      </w:pPr>
      <w:r>
        <w:t xml:space="preserve">7. Dashboard Configuration</w:t>
      </w:r>
    </w:p>
    <w:p>
      <w:pPr>
        <w:pStyle w:val="Heading2"/>
      </w:pPr>
      <w:r>
        <w:t xml:space="preserve">7.1 CS Leadership Dashboard</w:t>
      </w:r>
    </w:p>
    <w:p>
      <w:pPr>
        <w:spacing w:after="120"/>
      </w:pPr>
      <w:r>
        <w:rPr>
          <w:rFonts w:ascii="Arial" w:cs="Arial" w:eastAsia="Arial" w:hAnsi="Arial"/>
          <w:color w:val="2D2D2D"/>
          <w:sz w:val="22"/>
          <w:szCs w:val="22"/>
        </w:rPr>
        <w:t xml:space="preserve">A dashboard will be created to provide the VP of Customer Success and CS leadership team with an at-a-glance view of customer health and renewal pipeline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Dashboard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CS Operations Overview</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Visible to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CS Team, Sales Leadership, Executive Team</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Default date range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Current quarter</w:t>
            </w:r>
          </w:p>
        </w:tc>
      </w:tr>
    </w:tbl>
    <w:p>
      <w:pPr>
        <w:spacing w:after="120"/>
      </w:pPr>
    </w:p>
    <w:p>
      <w:pPr>
        <w:spacing w:after="120"/>
      </w:pPr>
      <w:r>
        <w:rPr>
          <w:rFonts w:ascii="Arial" w:cs="Arial" w:eastAsia="Arial" w:hAnsi="Arial"/>
          <w:b/>
          <w:bCs/>
          <w:color w:val="2D2D2D"/>
          <w:sz w:val="22"/>
          <w:szCs w:val="22"/>
        </w:rPr>
        <w:t xml:space="preserve">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120"/>
        <w:gridCol w:w="2340"/>
        <w:gridCol w:w="312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Widget Title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Chart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 / Filter</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Renewal Pipeline Summary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Horizontal bar chart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Deals in Enterprise Renewals pipeline, grouped by stage</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At-Risk Customers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Number / KPI</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Count of contacts where ACS Risk Score &gt; 75</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Customer Segment Breakdown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Pie chart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Contacts grouped by ACS Customer Segment</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Upcoming Renewals (90 days)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Table / List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Contacts where ACS Renewal Date is within 90 days, sorted by date ascending</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NPS Distribution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Bar chart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Contacts grouped by ACS NPS Score value (0–10)</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Tasks Due This Week</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Table / List</w:t>
            </w:r>
          </w:p>
        </w:tc>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Open tasks assigned to CS team, due within 7 days, sorted by due date</w:t>
            </w:r>
          </w:p>
        </w:tc>
      </w:tr>
    </w:tbl>
    <w:p>
      <w:r>
        <w:br w:type="page"/>
      </w:r>
    </w:p>
    <w:p>
      <w:pPr>
        <w:pStyle w:val="Heading1"/>
      </w:pPr>
      <w:r>
        <w:t xml:space="preserve">8. Acceptance Test Cases</w:t>
      </w:r>
    </w:p>
    <w:p>
      <w:pPr>
        <w:spacing w:after="120"/>
      </w:pPr>
      <w:r>
        <w:rPr>
          <w:rFonts w:ascii="Arial" w:cs="Arial" w:eastAsia="Arial" w:hAnsi="Arial"/>
          <w:color w:val="2D2D2D"/>
          <w:sz w:val="22"/>
          <w:szCs w:val="22"/>
        </w:rPr>
        <w:t xml:space="preserve">The following test cases will be executed after configuration to validate that all components function as designed. Each test must pass before the module is approved for User Acceptance Testing (UAT).</w:t>
      </w:r>
    </w:p>
    <w:p>
      <w:pPr>
        <w:spacing w:after="120"/>
      </w:pPr>
    </w:p>
    <w:p>
      <w:pPr>
        <w:pStyle w:val="Heading2"/>
      </w:pPr>
      <w:r>
        <w:t xml:space="preserve">TC-001: Contact Property Creation and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Verify all custom contact properties are created with correct field types, options, and validation rules.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Preconditions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Configuration of Section 3 is complete.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Navigate to Settings → Properties → Contact properties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Properties page loads successfully</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Search for “ACS Risk Score”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Property found. Type: Number.</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Search for “ACS Customer Segment”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Property found. Type: Dropdown. Options: Enterprise, Mid-Market, SMB, Startup.</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Search for “ACS NPS Score”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Property found. Type: Number.</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Search for “ACS Renewal Date”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Property found. Type: Date picker.</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Navigate to a test contact record. Enter Risk Score = 85. Save.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Value saves successfully. Risk Score displays 85.</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On same contact, set ACS Customer Segment to “Enterprise”. Save.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Dropdown shows all 4 options. “Enterprise” saves correctly.</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8</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 Risk Score = 150 (exceeds maximum). Save.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Validation error displayed. Value does not save.</w:t>
            </w:r>
          </w:p>
        </w:tc>
      </w:tr>
    </w:tbl>
    <w:p>
      <w:pPr>
        <w:spacing w:after="120"/>
      </w:pPr>
    </w:p>
    <w:p>
      <w:pPr>
        <w:pStyle w:val="Heading2"/>
      </w:pPr>
      <w:r>
        <w:t xml:space="preserve">TC-002: Enterprise Renewals Pipeline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Verify the Enterprise Renewals pipeline exists with correct stages, probabilities, and display order.</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Preconditions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Configuration of Section 5 is complete.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Navigate to Deals. Open pipeline selector.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“Enterprise Renewals” appears as an available pipeline.</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Select Enterprise Renewals pipeline.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Pipeline view loads with 7 stage columns in correct order: Renewal Identified, Health Assessment, Proposal Sent, Negotiation, Verbal Commit, Closed Won, Closed Lost.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Create a test deal in the pipeline. Set stage to “Proposal Sent.”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Deal created. Win probability displays 50%.</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Move the deal through each stage.</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Each stage transition succeeds. Probability updates correctly at each stage.</w:t>
            </w:r>
          </w:p>
        </w:tc>
      </w:tr>
    </w:tbl>
    <w:p>
      <w:pPr>
        <w:spacing w:after="120"/>
      </w:pPr>
    </w:p>
    <w:p>
      <w:pPr>
        <w:pStyle w:val="Heading2"/>
      </w:pPr>
      <w:r>
        <w:t xml:space="preserve">TC-003: At-Risk Customer Alert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Verify the at-risk workflow triggers correctly, sets the segment, creates a task, and sends notifications.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Preconditions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Sections 3 and 6.1 configured. Test contact exists with ACS CSM Assigned set to a test user.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Navigate to test contact. Set ACS Risk Score to 80.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Value saves. Workflow should trigger (score &gt; 75).</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Wait 3 minutes for workflow execution.</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Workflow enrollment confirmed in contact’s workflow history.</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Check contact property “ACS Customer Segment.”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Value has been changed to “At-Risk.”</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Check tasks for the contact owner.</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 exists: “Review at-risk customer: [Name].” Due in 2 business days. Priority: High.</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Check email inbox of contact owner.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Internal notification email received with correct subject line, risk score, and NPS score.</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6</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Reset contact: Set ACS Risk Score to 40. Wait 5 minutes.</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Workflow should NOT re-trigger (score is not &gt; 75). Contact remains in current segment.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7</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Set ACS NPS Score to 5 (below 7 threshold).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Workflow re-triggers via NPS condition (re-enrollment enabled). New task created.</w:t>
            </w:r>
          </w:p>
        </w:tc>
      </w:tr>
    </w:tbl>
    <w:p>
      <w:pPr>
        <w:spacing w:after="120"/>
      </w:pPr>
    </w:p>
    <w:p>
      <w:pPr>
        <w:pStyle w:val="Heading2"/>
      </w:pPr>
      <w:r>
        <w:t xml:space="preserve">TC-004: Renewal Pipeline Auto-Creation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Objective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Verify the renewal workflow creates a deal and task when a customer’s renewal date approaches.</w:t>
            </w:r>
          </w:p>
        </w:tc>
      </w:tr>
      <w:tr>
        <w:tc>
          <w:tcPr>
            <w:tcW w:type="dxa" w:w="312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bCs/>
                <w:color w:val="2D2D2D"/>
                <w:sz w:val="20"/>
                <w:szCs w:val="20"/>
              </w:rPr>
              <w:t xml:space="preserve">Preconditions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Sections 3, 5, and 6.2 configured. Test contact with ACS Customer Segment = Enterprise and ACS CSM Assigned set.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4680"/>
      </w:tblGrid>
      <w:tr>
        <w:tc>
          <w:tcPr>
            <w:tcW w:type="dxa" w:w="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Result</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1</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Set test contact’s ACS Renewal Date to 90 days from today.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Value saves. Workflow should trigger (within 120 days, Enterprise segment).</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2</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Wait 3 minutes for workflow execution.</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Workflow enrollment confirmed.</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3</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Navigate to Enterprise Renewals pipeline.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New deal exists in “Renewal Identified” stage. Deal name: “Renewal: [Company] — [Date].” Close date matches renewal date.</w:t>
            </w:r>
          </w:p>
        </w:tc>
      </w:tr>
      <w:tr>
        <w:tc>
          <w:tcPr>
            <w:tcW w:type="dxa" w:w="7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4</w:t>
            </w:r>
          </w:p>
        </w:tc>
        <w:tc>
          <w:tcPr>
            <w:tcW w:type="dxa" w:w="390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Check tasks for contact owner.</w:t>
            </w:r>
          </w:p>
        </w:tc>
        <w:tc>
          <w:tcPr>
            <w:tcW w:type="dxa" w:w="468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Task exists: “Begin renewal process for [Company].” Due in 7 business days.</w:t>
            </w:r>
          </w:p>
        </w:tc>
      </w:tr>
      <w:tr>
        <w:tc>
          <w:tcPr>
            <w:tcW w:type="dxa" w:w="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Check email inbox of contact owner.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Notification email received with renewal date, segment, and link to deal.</w:t>
            </w:r>
          </w:p>
        </w:tc>
      </w:tr>
    </w:tbl>
    <w:p>
      <w:r>
        <w:br w:type="page"/>
      </w:r>
    </w:p>
    <w:p>
      <w:pPr>
        <w:pStyle w:val="Heading1"/>
      </w:pPr>
      <w:r>
        <w:t xml:space="preserve">9. Configuration Sign-Off</w:t>
      </w:r>
    </w:p>
    <w:p>
      <w:pPr>
        <w:spacing w:after="120"/>
      </w:pPr>
      <w:r>
        <w:rPr>
          <w:rFonts w:ascii="Arial" w:cs="Arial" w:eastAsia="Arial" w:hAnsi="Arial"/>
          <w:color w:val="2D2D2D"/>
          <w:sz w:val="22"/>
          <w:szCs w:val="22"/>
        </w:rPr>
        <w:t xml:space="preserve">Upon successful completion of all test cases listed in Section 8, the following stakeholders will provide formal sign-off to proceed to User Acceptance Testing (UAT).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Priya Sharma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VP, Customer Success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David Chen</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Director, RevOps</w:t>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shd w:fill="EDF3FA" w:val="clear"/>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Sarah Mitchell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Lead Consultant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2D2D2D"/>
                <w:sz w:val="20"/>
                <w:szCs w:val="20"/>
              </w:rPr>
              <w:t xml:space="preserve"/>
            </w:r>
          </w:p>
        </w:tc>
      </w:tr>
    </w:tbl>
    <w:p>
      <w:pPr>
        <w:spacing w:after="600"/>
      </w:pPr>
    </w:p>
    <w:p>
      <w:pPr>
        <w:spacing w:after="120"/>
      </w:pPr>
      <w:r>
        <w:rPr>
          <w:rFonts w:ascii="Arial" w:cs="Arial" w:eastAsia="Arial" w:hAnsi="Arial"/>
          <w:i/>
          <w:iCs/>
          <w:color w:val="666666"/>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666666"/>
        <w:sz w:val="16"/>
        <w:szCs w:val="16"/>
      </w:rPr>
      <w:t xml:space="preserve">Meridian Consulting Partners</w:t>
    </w:r>
    <w:r>
      <w:ptab w:alignment="right" w:relativeTo="margin" w:leader="none"/>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666666"/>
        <w:sz w:val="16"/>
        <w:szCs w:val="16"/>
      </w:rPr>
      <w:t xml:space="preserve">Acme Corporation | System Design Document</w:t>
    </w:r>
    <w:r>
      <w:ptab w:alignment="right" w:relativeTo="margin" w:leader="none"/>
    </w:r>
    <w:r>
      <w:rPr>
        <w:rFonts w:ascii="Arial" w:cs="Arial" w:eastAsia="Arial" w:hAnsi="Arial"/>
        <w:i/>
        <w:iCs/>
        <w:color w:val="666666"/>
        <w:sz w:val="16"/>
        <w:szCs w:val="16"/>
      </w:rPr>
      <w:t xml:space="preserve">v2.1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2026-05-16T06:28:47.044Z</dcterms:created>
  <dcterms:modified xsi:type="dcterms:W3CDTF">2026-05-16T06:28:47.044Z</dcterms:modified>
</cp:coreProperties>
</file>

<file path=docProps/custom.xml><?xml version="1.0" encoding="utf-8"?>
<Properties xmlns="http://schemas.openxmlformats.org/officeDocument/2006/custom-properties" xmlns:vt="http://schemas.openxmlformats.org/officeDocument/2006/docPropsVTypes"/>
</file>