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DF" w:rsidRDefault="00142EDF" w:rsidP="00142EDF">
      <w:pPr>
        <w:jc w:val="both"/>
        <w:rPr>
          <w:rFonts w:eastAsia="Arial"/>
          <w:bCs/>
          <w:sz w:val="20"/>
        </w:rPr>
      </w:pPr>
      <w:r w:rsidRPr="00AE730D">
        <w:rPr>
          <w:rFonts w:eastAsia="Arial"/>
          <w:bCs/>
          <w:sz w:val="20"/>
        </w:rPr>
        <w:t>Para el desarrollo de la presente solución se implementó l</w:t>
      </w:r>
      <w:r>
        <w:rPr>
          <w:rFonts w:eastAsia="Arial"/>
          <w:bCs/>
          <w:sz w:val="20"/>
        </w:rPr>
        <w:t xml:space="preserve">a siguiente </w:t>
      </w:r>
      <w:r w:rsidRPr="00AE730D">
        <w:rPr>
          <w:rFonts w:eastAsia="Arial"/>
          <w:bCs/>
          <w:sz w:val="20"/>
        </w:rPr>
        <w:t>m</w:t>
      </w:r>
      <w:r>
        <w:rPr>
          <w:rFonts w:eastAsia="Arial"/>
          <w:bCs/>
          <w:sz w:val="20"/>
        </w:rPr>
        <w:t>etodología:</w:t>
      </w:r>
    </w:p>
    <w:p w:rsidR="00142EDF" w:rsidRPr="00F66997" w:rsidRDefault="00142EDF" w:rsidP="00142EDF">
      <w:pPr>
        <w:spacing w:after="0"/>
        <w:contextualSpacing/>
        <w:rPr>
          <w:rStyle w:val="Textoennegrita"/>
          <w:rFonts w:cstheme="minorHAnsi"/>
          <w:bCs w:val="0"/>
          <w:color w:val="C00000"/>
          <w:sz w:val="20"/>
          <w:szCs w:val="20"/>
        </w:rPr>
      </w:pPr>
      <w:r w:rsidRPr="00F66997">
        <w:rPr>
          <w:rStyle w:val="Textoennegrita"/>
          <w:rFonts w:cstheme="minorHAnsi"/>
          <w:bCs w:val="0"/>
          <w:color w:val="C00000"/>
          <w:sz w:val="20"/>
          <w:szCs w:val="20"/>
        </w:rPr>
        <w:t>Etapa: Diagnóstico AS-IS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Diagnóstico sobre la arquitectura actual (AS-IS).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Evaluación y entendimiento de las estrategias de negocio planteadas por el </w:t>
      </w:r>
      <w:proofErr w:type="spellStart"/>
      <w:r>
        <w:rPr>
          <w:rFonts w:eastAsia="Arial"/>
          <w:bCs/>
          <w:sz w:val="20"/>
        </w:rPr>
        <w:t>Market</w:t>
      </w:r>
      <w:proofErr w:type="spellEnd"/>
      <w:r>
        <w:rPr>
          <w:rFonts w:eastAsia="Arial"/>
          <w:bCs/>
          <w:sz w:val="20"/>
        </w:rPr>
        <w:t xml:space="preserve"> Place de los Alpes.</w:t>
      </w:r>
    </w:p>
    <w:p w:rsidR="00142EDF" w:rsidRPr="00F66997" w:rsidRDefault="00142EDF" w:rsidP="00142EDF">
      <w:pPr>
        <w:spacing w:after="0"/>
        <w:contextualSpacing/>
        <w:rPr>
          <w:rStyle w:val="Textoennegrita"/>
          <w:rFonts w:cstheme="minorHAnsi"/>
          <w:b w:val="0"/>
          <w:color w:val="C00000"/>
          <w:szCs w:val="20"/>
        </w:rPr>
      </w:pPr>
      <w:r w:rsidRPr="002E2CC8">
        <w:rPr>
          <w:rStyle w:val="Textoennegrita"/>
          <w:rFonts w:cstheme="minorHAnsi"/>
          <w:bCs w:val="0"/>
          <w:color w:val="C00000"/>
          <w:sz w:val="20"/>
          <w:szCs w:val="20"/>
        </w:rPr>
        <w:t>Etapa: Diseño TO-BE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Diseño de la arquitectura objetivo (TO-BE) para cada una de las estrategias de negocio.</w:t>
      </w:r>
    </w:p>
    <w:p w:rsidR="00142EDF" w:rsidRDefault="00142EDF" w:rsidP="00142EDF">
      <w:pPr>
        <w:spacing w:after="0"/>
        <w:rPr>
          <w:rStyle w:val="Textoennegrita"/>
          <w:rFonts w:cstheme="minorHAnsi"/>
          <w:bCs w:val="0"/>
          <w:color w:val="C00000"/>
          <w:sz w:val="20"/>
          <w:szCs w:val="20"/>
        </w:rPr>
      </w:pPr>
    </w:p>
    <w:p w:rsidR="00142EDF" w:rsidRPr="008D6404" w:rsidRDefault="00142EDF" w:rsidP="00142EDF">
      <w:pPr>
        <w:spacing w:after="0"/>
        <w:rPr>
          <w:rFonts w:cstheme="minorHAnsi"/>
          <w:bCs/>
          <w:color w:val="C00000"/>
          <w:szCs w:val="20"/>
        </w:rPr>
      </w:pPr>
      <w:r>
        <w:rPr>
          <w:rStyle w:val="Textoennegrita"/>
          <w:rFonts w:cstheme="minorHAnsi"/>
          <w:bCs w:val="0"/>
          <w:color w:val="C00000"/>
          <w:sz w:val="20"/>
          <w:szCs w:val="20"/>
        </w:rPr>
        <w:t>Etapa: Análisis de brecha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Confrontación de la arquitectura actual contra la arquitectura objetivo para realizar el análisis de brecha. Éste análisis se realizó por estrategia y luego por cada vista arquitectural.</w:t>
      </w:r>
    </w:p>
    <w:p w:rsidR="00142EDF" w:rsidRPr="00F111E8" w:rsidRDefault="00142EDF" w:rsidP="00142EDF">
      <w:pPr>
        <w:spacing w:after="0"/>
        <w:rPr>
          <w:rFonts w:cstheme="minorHAnsi"/>
          <w:bCs/>
          <w:color w:val="C00000"/>
          <w:szCs w:val="20"/>
        </w:rPr>
      </w:pPr>
      <w:r w:rsidRPr="00F111E8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Etapa: </w:t>
      </w:r>
      <w:r>
        <w:rPr>
          <w:rStyle w:val="Textoennegrita"/>
          <w:rFonts w:cstheme="minorHAnsi"/>
          <w:bCs w:val="0"/>
          <w:color w:val="C00000"/>
          <w:sz w:val="20"/>
          <w:szCs w:val="20"/>
        </w:rPr>
        <w:t>Definición de proyectos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Identificación y definición de proyectos por cada vista arquitectural.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Consolidación de proyectos bajo el criterio de cada  una de las estrategias.</w:t>
      </w:r>
    </w:p>
    <w:p w:rsidR="00142EDF" w:rsidRDefault="00142EDF" w:rsidP="00142EDF">
      <w:pPr>
        <w:pStyle w:val="Prrafodelista"/>
        <w:numPr>
          <w:ilvl w:val="1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Identificación de motivadores de negocio que se soportan con los proyectos planteados.</w:t>
      </w:r>
    </w:p>
    <w:p w:rsidR="00142EDF" w:rsidRPr="00F111E8" w:rsidRDefault="00142EDF" w:rsidP="00142EDF">
      <w:pPr>
        <w:spacing w:after="0"/>
        <w:rPr>
          <w:rFonts w:eastAsia="Arial"/>
          <w:bCs/>
          <w:sz w:val="20"/>
        </w:rPr>
      </w:pPr>
      <w:r w:rsidRPr="00F111E8">
        <w:rPr>
          <w:rStyle w:val="Textoennegrita"/>
          <w:rFonts w:cstheme="minorHAnsi"/>
          <w:bCs w:val="0"/>
          <w:color w:val="C00000"/>
          <w:sz w:val="20"/>
          <w:szCs w:val="20"/>
        </w:rPr>
        <w:t xml:space="preserve">Etapa: </w:t>
      </w:r>
      <w:r>
        <w:rPr>
          <w:rStyle w:val="Textoennegrita"/>
          <w:rFonts w:cstheme="minorHAnsi"/>
          <w:bCs w:val="0"/>
          <w:color w:val="C00000"/>
          <w:sz w:val="20"/>
          <w:szCs w:val="20"/>
        </w:rPr>
        <w:t>Arquitectura de solución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 xml:space="preserve">Identificación de nuevos servicios de negocio mediante el enfoque “in </w:t>
      </w:r>
      <w:proofErr w:type="spellStart"/>
      <w:r>
        <w:rPr>
          <w:rFonts w:eastAsia="Arial"/>
          <w:bCs/>
          <w:sz w:val="20"/>
        </w:rPr>
        <w:t>the</w:t>
      </w:r>
      <w:proofErr w:type="spellEnd"/>
      <w:r>
        <w:rPr>
          <w:rFonts w:eastAsia="Arial"/>
          <w:bCs/>
          <w:sz w:val="20"/>
        </w:rPr>
        <w:t xml:space="preserve"> </w:t>
      </w:r>
      <w:proofErr w:type="spellStart"/>
      <w:r>
        <w:rPr>
          <w:rFonts w:eastAsia="Arial"/>
          <w:bCs/>
          <w:sz w:val="20"/>
        </w:rPr>
        <w:t>middle</w:t>
      </w:r>
      <w:proofErr w:type="spellEnd"/>
      <w:r>
        <w:rPr>
          <w:rFonts w:eastAsia="Arial"/>
          <w:bCs/>
          <w:sz w:val="20"/>
        </w:rPr>
        <w:t xml:space="preserve">” y </w:t>
      </w:r>
      <w:r>
        <w:rPr>
          <w:rFonts w:eastAsia="Arial"/>
          <w:bCs/>
          <w:sz w:val="20"/>
        </w:rPr>
        <w:br/>
        <w:t>"top-</w:t>
      </w:r>
      <w:proofErr w:type="spellStart"/>
      <w:r>
        <w:rPr>
          <w:rFonts w:eastAsia="Arial"/>
          <w:bCs/>
          <w:sz w:val="20"/>
        </w:rPr>
        <w:t>down</w:t>
      </w:r>
      <w:proofErr w:type="spellEnd"/>
      <w:r>
        <w:rPr>
          <w:rFonts w:eastAsia="Arial"/>
          <w:bCs/>
          <w:sz w:val="20"/>
        </w:rPr>
        <w:t>”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Definición del catálogo de servicios teniendo en cuenta las taxonomías existentes.</w:t>
      </w:r>
    </w:p>
    <w:p w:rsidR="00142EDF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Definición de los atributos de calidad.</w:t>
      </w:r>
    </w:p>
    <w:p w:rsidR="00142EDF" w:rsidRPr="004519C6" w:rsidRDefault="00142EDF" w:rsidP="00142EDF">
      <w:pPr>
        <w:pStyle w:val="Prrafodelista"/>
        <w:numPr>
          <w:ilvl w:val="0"/>
          <w:numId w:val="1"/>
        </w:numPr>
        <w:jc w:val="both"/>
        <w:rPr>
          <w:rFonts w:eastAsia="Arial"/>
          <w:bCs/>
          <w:sz w:val="20"/>
        </w:rPr>
      </w:pPr>
      <w:r>
        <w:rPr>
          <w:rFonts w:eastAsia="Arial"/>
          <w:bCs/>
          <w:sz w:val="20"/>
        </w:rPr>
        <w:t>Diseño de la arquitectura de solución respetando las zonas existentes.</w:t>
      </w:r>
    </w:p>
    <w:p w:rsidR="00142EDF" w:rsidRDefault="00142EDF" w:rsidP="00142EDF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142EDF" w:rsidRDefault="00142EDF" w:rsidP="00142EDF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Roles y Responsabilidades</w:t>
      </w:r>
    </w:p>
    <w:p w:rsidR="00142EDF" w:rsidRPr="006F4690" w:rsidRDefault="00142EDF" w:rsidP="00142EDF">
      <w:pPr>
        <w:spacing w:after="0"/>
        <w:contextualSpacing/>
      </w:pPr>
    </w:p>
    <w:p w:rsidR="00142EDF" w:rsidRDefault="00142EDF" w:rsidP="00142EDF">
      <w:pPr>
        <w:jc w:val="both"/>
        <w:rPr>
          <w:rFonts w:eastAsia="Arial" w:cstheme="minorHAnsi"/>
          <w:sz w:val="20"/>
        </w:rPr>
      </w:pPr>
      <w:r>
        <w:rPr>
          <w:rFonts w:eastAsia="Arial" w:cstheme="minorHAnsi"/>
          <w:sz w:val="20"/>
        </w:rPr>
        <w:t>Todo el equipo de trabajo debe estar involucrado en cada una de las actividades a realizar. Se establecen como roles principales todos los miembros los siguientes:</w:t>
      </w:r>
    </w:p>
    <w:p w:rsidR="00142EDF" w:rsidRDefault="00142EDF" w:rsidP="00142EDF">
      <w:pPr>
        <w:jc w:val="both"/>
        <w:rPr>
          <w:rFonts w:eastAsia="Arial" w:cstheme="minorHAnsi"/>
          <w:sz w:val="20"/>
        </w:rPr>
      </w:pPr>
    </w:p>
    <w:tbl>
      <w:tblPr>
        <w:tblW w:w="7494" w:type="dxa"/>
        <w:jc w:val="center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1382"/>
        <w:gridCol w:w="1276"/>
        <w:gridCol w:w="1134"/>
        <w:gridCol w:w="1417"/>
        <w:gridCol w:w="1247"/>
      </w:tblGrid>
      <w:tr w:rsidR="00142EDF" w:rsidRPr="00790A5B" w:rsidTr="00B60533">
        <w:trPr>
          <w:trHeight w:val="409"/>
          <w:jc w:val="center"/>
        </w:trPr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138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implementación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Líder de </w:t>
            </w:r>
            <w:proofErr w:type="spellStart"/>
            <w:r>
              <w:rPr>
                <w:rFonts w:cstheme="minorHAnsi"/>
                <w:sz w:val="18"/>
                <w:szCs w:val="18"/>
              </w:rPr>
              <w:t>implentación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142EDF" w:rsidRPr="00790A5B" w:rsidTr="00B60533">
        <w:trPr>
          <w:trHeight w:val="455"/>
          <w:jc w:val="center"/>
        </w:trPr>
        <w:tc>
          <w:tcPr>
            <w:tcW w:w="103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María Paula Forero Cano</w:t>
            </w:r>
          </w:p>
        </w:tc>
        <w:tc>
          <w:tcPr>
            <w:tcW w:w="138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Felipe Rojas Echeverri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Julián Aguirre </w:t>
            </w:r>
            <w:proofErr w:type="spellStart"/>
            <w:r>
              <w:rPr>
                <w:rFonts w:cstheme="minorHAnsi"/>
                <w:sz w:val="18"/>
                <w:szCs w:val="18"/>
              </w:rPr>
              <w:t>Dominguez</w:t>
            </w:r>
            <w:proofErr w:type="spellEnd"/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Pedro Mendoza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Gladys Mireya Castro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Néstor Cruz Hernández</w:t>
            </w:r>
          </w:p>
        </w:tc>
      </w:tr>
    </w:tbl>
    <w:p w:rsidR="00142EDF" w:rsidRPr="002F5D63" w:rsidRDefault="00142EDF" w:rsidP="00142EDF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Roles</w:t>
      </w:r>
    </w:p>
    <w:p w:rsidR="00142EDF" w:rsidRDefault="00142EDF" w:rsidP="00142EDF">
      <w:pPr>
        <w:jc w:val="both"/>
        <w:rPr>
          <w:rFonts w:cstheme="minorHAnsi"/>
        </w:rPr>
      </w:pPr>
    </w:p>
    <w:p w:rsidR="00142EDF" w:rsidRDefault="00142EDF" w:rsidP="00142EDF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Matriz de Responsabilidades</w:t>
      </w:r>
    </w:p>
    <w:p w:rsidR="00142EDF" w:rsidRDefault="00142EDF" w:rsidP="00142EDF">
      <w:pPr>
        <w:jc w:val="both"/>
        <w:rPr>
          <w:rFonts w:cstheme="minorHAnsi"/>
        </w:rPr>
      </w:pPr>
    </w:p>
    <w:tbl>
      <w:tblPr>
        <w:tblW w:w="9370" w:type="dxa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540"/>
        <w:gridCol w:w="1350"/>
        <w:gridCol w:w="1530"/>
        <w:gridCol w:w="810"/>
        <w:gridCol w:w="990"/>
        <w:gridCol w:w="810"/>
      </w:tblGrid>
      <w:tr w:rsidR="00142EDF" w:rsidRPr="00790A5B" w:rsidTr="00B60533">
        <w:trPr>
          <w:trHeight w:val="643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ind w:left="180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b/>
                <w:sz w:val="18"/>
                <w:szCs w:val="18"/>
              </w:rPr>
              <w:t>Hito Principal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implementación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implementación 2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142EDF" w:rsidRPr="00790A5B" w:rsidTr="00B60533">
        <w:trPr>
          <w:trHeight w:val="257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sz w:val="18"/>
                <w:szCs w:val="18"/>
              </w:rPr>
              <w:t>Acta de Constitución de Proyecto Aprobada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42EDF" w:rsidRPr="00790A5B" w:rsidTr="00B60533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lastRenderedPageBreak/>
              <w:t>Calendario y ruta critica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</w:tr>
      <w:tr w:rsidR="00142EDF" w:rsidRPr="00790A5B" w:rsidTr="00B60533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 de Riesgos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A,C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142EDF" w:rsidRPr="00790A5B" w:rsidTr="00B60533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negocio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42EDF" w:rsidRPr="00790A5B" w:rsidTr="00B60533">
        <w:trPr>
          <w:trHeight w:val="243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datos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42EDF" w:rsidRPr="00790A5B" w:rsidTr="00B60533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aplicaciones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42EDF" w:rsidRPr="00790A5B" w:rsidTr="00B60533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infraestructura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42EDF" w:rsidRPr="00790A5B" w:rsidTr="00B60533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Análisis de brecha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A,E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</w:p>
        </w:tc>
      </w:tr>
      <w:tr w:rsidR="00142EDF" w:rsidRPr="00790A5B" w:rsidTr="00B60533">
        <w:trPr>
          <w:trHeight w:val="228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Roadmap</w:t>
            </w:r>
            <w:proofErr w:type="spellEnd"/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A,C</w:t>
            </w: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</w:p>
        </w:tc>
      </w:tr>
      <w:tr w:rsidR="00142EDF" w:rsidRPr="00790A5B" w:rsidTr="00B60533">
        <w:trPr>
          <w:trHeight w:val="1351"/>
        </w:trPr>
        <w:tc>
          <w:tcPr>
            <w:tcW w:w="3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b/>
                <w:sz w:val="18"/>
                <w:szCs w:val="18"/>
              </w:rPr>
            </w:pPr>
            <w:r w:rsidRPr="00790A5B">
              <w:rPr>
                <w:rFonts w:cstheme="minorHAnsi"/>
                <w:b/>
                <w:sz w:val="18"/>
                <w:szCs w:val="18"/>
              </w:rPr>
              <w:t>Leyenda</w:t>
            </w:r>
          </w:p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E= Responsable de ejecutar (puede ser compartida)</w:t>
            </w:r>
          </w:p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A= Autoridad de aprobación final</w:t>
            </w:r>
          </w:p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C= Debe ser consultado</w:t>
            </w:r>
          </w:p>
          <w:p w:rsidR="00142EDF" w:rsidRPr="00790A5B" w:rsidRDefault="00142EDF" w:rsidP="00B6053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I= Debe ser informado</w:t>
            </w:r>
          </w:p>
        </w:tc>
        <w:tc>
          <w:tcPr>
            <w:tcW w:w="5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42EDF" w:rsidRPr="00790A5B" w:rsidRDefault="00142EDF" w:rsidP="00B6053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213C96" w:rsidRDefault="00142EDF">
      <w:pPr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 xml:space="preserve">Tabla </w:t>
      </w:r>
      <w:r>
        <w:rPr>
          <w:rStyle w:val="Textoennegrita"/>
          <w:color w:val="C00000"/>
          <w:szCs w:val="28"/>
        </w:rPr>
        <w:t>xx. R</w:t>
      </w:r>
      <w:r w:rsidRPr="002F5D63">
        <w:rPr>
          <w:rStyle w:val="Textoennegrita"/>
          <w:color w:val="C00000"/>
          <w:szCs w:val="28"/>
        </w:rPr>
        <w:t>es</w:t>
      </w:r>
      <w:r>
        <w:rPr>
          <w:rStyle w:val="Textoennegrita"/>
          <w:color w:val="C00000"/>
          <w:szCs w:val="28"/>
        </w:rPr>
        <w:t>ponsabilidades</w:t>
      </w:r>
    </w:p>
    <w:p w:rsidR="00142EDF" w:rsidRDefault="00142EDF">
      <w:pPr>
        <w:rPr>
          <w:rStyle w:val="Textoennegrita"/>
          <w:color w:val="C00000"/>
          <w:szCs w:val="28"/>
        </w:rPr>
      </w:pPr>
    </w:p>
    <w:p w:rsidR="00142EDF" w:rsidRPr="009A61AF" w:rsidRDefault="00142EDF" w:rsidP="00142EDF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Considerando las 480 horas disponibles para implementar la solución y la priorización de los proyectos, se estima llevar a cabo los proyectos PC1, PC2, PC4 con una duración estimada de 432 horas.</w:t>
      </w:r>
    </w:p>
    <w:p w:rsidR="00142EDF" w:rsidRDefault="00142EDF">
      <w:bookmarkStart w:id="0" w:name="_GoBack"/>
      <w:bookmarkEnd w:id="0"/>
    </w:p>
    <w:sectPr w:rsidR="00142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00EC"/>
    <w:multiLevelType w:val="hybridMultilevel"/>
    <w:tmpl w:val="EDC68C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DF"/>
    <w:rsid w:val="00142EDF"/>
    <w:rsid w:val="002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D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EDF"/>
    <w:rPr>
      <w:b/>
      <w:bCs/>
    </w:rPr>
  </w:style>
  <w:style w:type="paragraph" w:styleId="Prrafodelista">
    <w:name w:val="List Paragraph"/>
    <w:basedOn w:val="Normal"/>
    <w:uiPriority w:val="34"/>
    <w:qFormat/>
    <w:rsid w:val="0014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2013-05-08T03:56:00Z</dcterms:created>
  <dcterms:modified xsi:type="dcterms:W3CDTF">2013-05-08T04:02:00Z</dcterms:modified>
</cp:coreProperties>
</file>