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EDF" w:rsidRDefault="00E121FB" w:rsidP="00142EDF">
      <w:p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La metodología que se adoptó comprende las siguientes etapas:</w:t>
      </w:r>
    </w:p>
    <w:p w:rsidR="00142EDF" w:rsidRPr="00D60CA3" w:rsidRDefault="00142EDF" w:rsidP="00D60CA3">
      <w:pPr>
        <w:pStyle w:val="Prrafodelista"/>
        <w:numPr>
          <w:ilvl w:val="0"/>
          <w:numId w:val="2"/>
        </w:numPr>
        <w:spacing w:after="0"/>
        <w:rPr>
          <w:rFonts w:cstheme="minorHAnsi"/>
          <w:b/>
          <w:color w:val="C00000"/>
          <w:sz w:val="20"/>
          <w:szCs w:val="20"/>
        </w:rPr>
      </w:pPr>
      <w:r w:rsidRPr="00D60CA3">
        <w:rPr>
          <w:rStyle w:val="Textoennegrita"/>
          <w:rFonts w:cstheme="minorHAnsi"/>
          <w:bCs w:val="0"/>
          <w:color w:val="C00000"/>
          <w:sz w:val="20"/>
          <w:szCs w:val="20"/>
        </w:rPr>
        <w:t>Etapa: Diagnóstico AS-IS</w:t>
      </w:r>
      <w:r w:rsidR="002E331A" w:rsidRPr="00D60CA3">
        <w:rPr>
          <w:rStyle w:val="Textoennegrita"/>
          <w:rFonts w:cstheme="minorHAnsi"/>
          <w:bCs w:val="0"/>
          <w:color w:val="C00000"/>
          <w:sz w:val="20"/>
          <w:szCs w:val="20"/>
        </w:rPr>
        <w:t xml:space="preserve">  </w:t>
      </w:r>
      <w:r w:rsidRPr="00D60CA3">
        <w:rPr>
          <w:rFonts w:eastAsia="Arial"/>
          <w:bCs/>
          <w:sz w:val="20"/>
        </w:rPr>
        <w:t xml:space="preserve">Diagnóstico </w:t>
      </w:r>
      <w:r w:rsidR="0011451A" w:rsidRPr="00D60CA3">
        <w:rPr>
          <w:rFonts w:eastAsia="Arial"/>
          <w:bCs/>
          <w:sz w:val="20"/>
        </w:rPr>
        <w:t>AS-IS</w:t>
      </w:r>
      <w:r w:rsidR="002E331A" w:rsidRPr="00D60CA3">
        <w:rPr>
          <w:rFonts w:cstheme="minorHAnsi"/>
          <w:b/>
          <w:color w:val="C00000"/>
          <w:sz w:val="20"/>
          <w:szCs w:val="20"/>
        </w:rPr>
        <w:t xml:space="preserve">, </w:t>
      </w:r>
      <w:r w:rsidRPr="00D60CA3">
        <w:rPr>
          <w:rFonts w:eastAsia="Arial"/>
          <w:bCs/>
          <w:sz w:val="20"/>
        </w:rPr>
        <w:t xml:space="preserve">Evaluación y entendimiento de las estrategias de negocio </w:t>
      </w:r>
      <w:r w:rsidR="0011451A" w:rsidRPr="00D60CA3">
        <w:rPr>
          <w:rFonts w:eastAsia="Arial"/>
          <w:bCs/>
          <w:sz w:val="20"/>
        </w:rPr>
        <w:t>del</w:t>
      </w:r>
      <w:r w:rsidRPr="00D60CA3">
        <w:rPr>
          <w:rFonts w:eastAsia="Arial"/>
          <w:bCs/>
          <w:sz w:val="20"/>
        </w:rPr>
        <w:t xml:space="preserve"> </w:t>
      </w:r>
      <w:proofErr w:type="spellStart"/>
      <w:r w:rsidRPr="00D60CA3">
        <w:rPr>
          <w:rFonts w:eastAsia="Arial"/>
          <w:bCs/>
          <w:sz w:val="20"/>
        </w:rPr>
        <w:t>Market</w:t>
      </w:r>
      <w:proofErr w:type="spellEnd"/>
      <w:r w:rsidRPr="00D60CA3">
        <w:rPr>
          <w:rFonts w:eastAsia="Arial"/>
          <w:bCs/>
          <w:sz w:val="20"/>
        </w:rPr>
        <w:t xml:space="preserve"> Place de los Alpes.</w:t>
      </w:r>
    </w:p>
    <w:p w:rsidR="00142EDF" w:rsidRPr="00D60CA3" w:rsidRDefault="00142EDF" w:rsidP="00D60CA3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color w:val="C00000"/>
          <w:szCs w:val="20"/>
        </w:rPr>
      </w:pPr>
      <w:r w:rsidRPr="00D60CA3">
        <w:rPr>
          <w:rStyle w:val="Textoennegrita"/>
          <w:rFonts w:cstheme="minorHAnsi"/>
          <w:bCs w:val="0"/>
          <w:color w:val="C00000"/>
          <w:sz w:val="20"/>
          <w:szCs w:val="20"/>
        </w:rPr>
        <w:t>Etapa: Diseño TO-BE</w:t>
      </w:r>
      <w:r w:rsidR="002E331A" w:rsidRPr="00D60CA3">
        <w:rPr>
          <w:rStyle w:val="Textoennegrita"/>
          <w:rFonts w:cstheme="minorHAnsi"/>
          <w:b w:val="0"/>
          <w:color w:val="C00000"/>
          <w:szCs w:val="20"/>
        </w:rPr>
        <w:t xml:space="preserve"> </w:t>
      </w:r>
      <w:r w:rsidRPr="00D60CA3">
        <w:rPr>
          <w:rFonts w:eastAsia="Arial"/>
          <w:bCs/>
          <w:sz w:val="20"/>
        </w:rPr>
        <w:t>Diseño de la arquitectura objetivo (TO-BE) para cada una de las estrategias de negocio.</w:t>
      </w:r>
    </w:p>
    <w:p w:rsidR="002E331A" w:rsidRPr="00D60CA3" w:rsidRDefault="00142EDF" w:rsidP="00D60CA3">
      <w:pPr>
        <w:pStyle w:val="Prrafodelista"/>
        <w:numPr>
          <w:ilvl w:val="0"/>
          <w:numId w:val="2"/>
        </w:numPr>
        <w:spacing w:after="0"/>
        <w:rPr>
          <w:rStyle w:val="Textoennegrita"/>
          <w:rFonts w:cstheme="minorHAnsi"/>
          <w:b w:val="0"/>
          <w:color w:val="C00000"/>
          <w:szCs w:val="20"/>
        </w:rPr>
      </w:pPr>
      <w:r w:rsidRPr="00D60CA3">
        <w:rPr>
          <w:rStyle w:val="Textoennegrita"/>
          <w:rFonts w:cstheme="minorHAnsi"/>
          <w:bCs w:val="0"/>
          <w:color w:val="C00000"/>
          <w:sz w:val="20"/>
          <w:szCs w:val="20"/>
        </w:rPr>
        <w:t>Etapa: Análisis de brecha</w:t>
      </w:r>
      <w:r w:rsidR="002E331A" w:rsidRPr="00D60CA3">
        <w:rPr>
          <w:rFonts w:cstheme="minorHAnsi"/>
          <w:bCs/>
          <w:color w:val="C00000"/>
          <w:szCs w:val="20"/>
        </w:rPr>
        <w:t xml:space="preserve"> </w:t>
      </w:r>
      <w:r w:rsidRPr="00D60CA3">
        <w:rPr>
          <w:rFonts w:eastAsia="Arial"/>
          <w:bCs/>
          <w:sz w:val="20"/>
        </w:rPr>
        <w:t xml:space="preserve">Confrontación de la arquitectura actual contra la arquitectura objetivo para realizar el análisis de brecha. </w:t>
      </w:r>
    </w:p>
    <w:p w:rsidR="00142EDF" w:rsidRPr="00D60CA3" w:rsidRDefault="00142EDF" w:rsidP="00D60CA3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bCs/>
          <w:color w:val="C00000"/>
          <w:szCs w:val="20"/>
        </w:rPr>
      </w:pPr>
      <w:r w:rsidRPr="00D60CA3">
        <w:rPr>
          <w:rStyle w:val="Textoennegrita"/>
          <w:rFonts w:cstheme="minorHAnsi"/>
          <w:bCs w:val="0"/>
          <w:color w:val="C00000"/>
          <w:sz w:val="20"/>
          <w:szCs w:val="20"/>
        </w:rPr>
        <w:t>Etapa: Definición de proyectos</w:t>
      </w:r>
      <w:r w:rsidR="002E331A" w:rsidRPr="00D60CA3">
        <w:rPr>
          <w:rFonts w:cstheme="minorHAnsi"/>
          <w:bCs/>
          <w:color w:val="C00000"/>
          <w:szCs w:val="20"/>
        </w:rPr>
        <w:t xml:space="preserve"> </w:t>
      </w:r>
      <w:r w:rsidRPr="00D60CA3">
        <w:rPr>
          <w:rFonts w:eastAsia="Arial"/>
          <w:bCs/>
          <w:sz w:val="20"/>
        </w:rPr>
        <w:t>Identificación y definición de proyectos por cada vista arquitectural.</w:t>
      </w:r>
      <w:r w:rsidR="002E331A" w:rsidRPr="00D60CA3">
        <w:rPr>
          <w:rFonts w:cstheme="minorHAnsi"/>
          <w:bCs/>
          <w:color w:val="C00000"/>
          <w:szCs w:val="20"/>
        </w:rPr>
        <w:t xml:space="preserve"> </w:t>
      </w:r>
      <w:r w:rsidRPr="00D60CA3">
        <w:rPr>
          <w:rFonts w:eastAsia="Arial"/>
          <w:bCs/>
          <w:sz w:val="20"/>
        </w:rPr>
        <w:t>Consolidación de proyectos bajo el criterio de cada  una de las estrategias.</w:t>
      </w:r>
    </w:p>
    <w:p w:rsidR="00142EDF" w:rsidRDefault="00142EDF" w:rsidP="00D60CA3">
      <w:pPr>
        <w:pStyle w:val="Prrafodelista"/>
        <w:numPr>
          <w:ilvl w:val="0"/>
          <w:numId w:val="2"/>
        </w:numPr>
        <w:spacing w:after="0"/>
        <w:rPr>
          <w:rFonts w:eastAsia="Arial"/>
          <w:bCs/>
          <w:sz w:val="20"/>
        </w:rPr>
      </w:pPr>
      <w:r w:rsidRPr="00D60CA3">
        <w:rPr>
          <w:rStyle w:val="Textoennegrita"/>
          <w:rFonts w:cstheme="minorHAnsi"/>
          <w:bCs w:val="0"/>
          <w:color w:val="C00000"/>
          <w:sz w:val="20"/>
          <w:szCs w:val="20"/>
        </w:rPr>
        <w:t>Etapa: Arquitectura de solución</w:t>
      </w:r>
      <w:r w:rsidR="008A0AD0">
        <w:rPr>
          <w:rStyle w:val="Textoennegrita"/>
          <w:rFonts w:cstheme="minorHAnsi"/>
          <w:bCs w:val="0"/>
          <w:color w:val="C00000"/>
          <w:sz w:val="20"/>
          <w:szCs w:val="20"/>
        </w:rPr>
        <w:t xml:space="preserve"> I</w:t>
      </w:r>
      <w:r w:rsidRPr="00D60CA3">
        <w:rPr>
          <w:rFonts w:eastAsia="Arial"/>
          <w:bCs/>
          <w:sz w:val="20"/>
        </w:rPr>
        <w:t xml:space="preserve">dentificación de nuevos servicios de negocio mediante el enfoque “in </w:t>
      </w:r>
      <w:proofErr w:type="spellStart"/>
      <w:r w:rsidRPr="00D60CA3">
        <w:rPr>
          <w:rFonts w:eastAsia="Arial"/>
          <w:bCs/>
          <w:sz w:val="20"/>
        </w:rPr>
        <w:t>the</w:t>
      </w:r>
      <w:proofErr w:type="spellEnd"/>
      <w:r w:rsidRPr="00D60CA3">
        <w:rPr>
          <w:rFonts w:eastAsia="Arial"/>
          <w:bCs/>
          <w:sz w:val="20"/>
        </w:rPr>
        <w:t xml:space="preserve"> </w:t>
      </w:r>
      <w:proofErr w:type="spellStart"/>
      <w:r w:rsidRPr="00D60CA3">
        <w:rPr>
          <w:rFonts w:eastAsia="Arial"/>
          <w:bCs/>
          <w:sz w:val="20"/>
        </w:rPr>
        <w:t>middle</w:t>
      </w:r>
      <w:proofErr w:type="spellEnd"/>
      <w:r w:rsidRPr="00D60CA3">
        <w:rPr>
          <w:rFonts w:eastAsia="Arial"/>
          <w:bCs/>
          <w:sz w:val="20"/>
        </w:rPr>
        <w:t xml:space="preserve">” y </w:t>
      </w:r>
      <w:r w:rsidRPr="00D60CA3">
        <w:rPr>
          <w:rFonts w:eastAsia="Arial"/>
          <w:bCs/>
          <w:sz w:val="20"/>
        </w:rPr>
        <w:br/>
        <w:t>"top-</w:t>
      </w:r>
      <w:proofErr w:type="spellStart"/>
      <w:r w:rsidRPr="00D60CA3">
        <w:rPr>
          <w:rFonts w:eastAsia="Arial"/>
          <w:bCs/>
          <w:sz w:val="20"/>
        </w:rPr>
        <w:t>down</w:t>
      </w:r>
      <w:proofErr w:type="spellEnd"/>
      <w:r w:rsidRPr="00D60CA3">
        <w:rPr>
          <w:rFonts w:eastAsia="Arial"/>
          <w:bCs/>
          <w:sz w:val="20"/>
        </w:rPr>
        <w:t>”</w:t>
      </w:r>
    </w:p>
    <w:p w:rsidR="00E23E84" w:rsidRDefault="00E23E84" w:rsidP="00E23E84">
      <w:pPr>
        <w:spacing w:after="0"/>
        <w:rPr>
          <w:rFonts w:eastAsia="Arial"/>
          <w:bCs/>
          <w:sz w:val="20"/>
        </w:rPr>
      </w:pPr>
    </w:p>
    <w:p w:rsidR="00E23E84" w:rsidRDefault="00E23E84" w:rsidP="00E23E84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¿Por qué cambiar?</w:t>
      </w:r>
    </w:p>
    <w:p w:rsidR="00E23E84" w:rsidRDefault="00E23E84" w:rsidP="00E23E84">
      <w:pPr>
        <w:spacing w:after="0"/>
        <w:rPr>
          <w:rFonts w:eastAsia="Arial"/>
          <w:bCs/>
          <w:sz w:val="20"/>
        </w:rPr>
      </w:pPr>
    </w:p>
    <w:p w:rsidR="00000000" w:rsidRPr="00E23E84" w:rsidRDefault="00883AAD" w:rsidP="00E23E84">
      <w:pPr>
        <w:numPr>
          <w:ilvl w:val="0"/>
          <w:numId w:val="3"/>
        </w:numPr>
        <w:spacing w:after="0"/>
        <w:rPr>
          <w:rFonts w:eastAsia="Arial"/>
          <w:bCs/>
          <w:sz w:val="20"/>
          <w:lang w:val="es-CO"/>
        </w:rPr>
      </w:pPr>
      <w:r w:rsidRPr="00E23E84">
        <w:rPr>
          <w:rFonts w:eastAsia="Arial"/>
          <w:bCs/>
          <w:sz w:val="20"/>
        </w:rPr>
        <w:t>Motivador principal: Enfocar la operación de la empresa hacia las necesidades de los clientes.</w:t>
      </w:r>
    </w:p>
    <w:p w:rsidR="00000000" w:rsidRPr="00E23E84" w:rsidRDefault="00883AAD" w:rsidP="00E23E84">
      <w:pPr>
        <w:numPr>
          <w:ilvl w:val="0"/>
          <w:numId w:val="3"/>
        </w:numPr>
        <w:spacing w:after="0"/>
        <w:rPr>
          <w:rFonts w:eastAsia="Arial"/>
          <w:bCs/>
          <w:sz w:val="20"/>
          <w:lang w:val="es-CO"/>
        </w:rPr>
      </w:pPr>
      <w:r w:rsidRPr="00E23E84">
        <w:rPr>
          <w:rFonts w:eastAsia="Arial"/>
          <w:bCs/>
          <w:sz w:val="20"/>
        </w:rPr>
        <w:t xml:space="preserve">Plan estratégico MPLA 2013: Proveer a los clientes de </w:t>
      </w:r>
      <w:r w:rsidRPr="00E23E84">
        <w:rPr>
          <w:rFonts w:eastAsia="Arial"/>
          <w:bCs/>
          <w:sz w:val="20"/>
        </w:rPr>
        <w:t>nuevas funcionalidades que satisfagan sus necesidades e inciten a utilizar más la plataforma que se les ofrece</w:t>
      </w:r>
    </w:p>
    <w:p w:rsidR="00000000" w:rsidRPr="00E23E84" w:rsidRDefault="00883AAD" w:rsidP="00E23E84">
      <w:pPr>
        <w:numPr>
          <w:ilvl w:val="0"/>
          <w:numId w:val="3"/>
        </w:numPr>
        <w:spacing w:after="0"/>
        <w:rPr>
          <w:rFonts w:eastAsia="Arial"/>
          <w:bCs/>
          <w:sz w:val="20"/>
          <w:lang w:val="es-CO"/>
        </w:rPr>
      </w:pPr>
      <w:r w:rsidRPr="00E23E84">
        <w:rPr>
          <w:rFonts w:eastAsia="Arial"/>
          <w:bCs/>
          <w:sz w:val="20"/>
        </w:rPr>
        <w:t>Características de la nuevas funcionalidades:</w:t>
      </w:r>
    </w:p>
    <w:p w:rsidR="00000000" w:rsidRPr="00E23E84" w:rsidRDefault="00883AAD" w:rsidP="00E23E84">
      <w:pPr>
        <w:numPr>
          <w:ilvl w:val="1"/>
          <w:numId w:val="3"/>
        </w:numPr>
        <w:spacing w:after="0"/>
        <w:rPr>
          <w:rFonts w:eastAsia="Arial"/>
          <w:bCs/>
          <w:sz w:val="20"/>
          <w:lang w:val="es-CO"/>
        </w:rPr>
      </w:pPr>
      <w:r w:rsidRPr="00E23E84">
        <w:rPr>
          <w:rFonts w:eastAsia="Arial"/>
          <w:bCs/>
          <w:sz w:val="20"/>
        </w:rPr>
        <w:t>Brindar nuevos medios transaccionales a sus clientes</w:t>
      </w:r>
    </w:p>
    <w:p w:rsidR="00000000" w:rsidRPr="00E23E84" w:rsidRDefault="00883AAD" w:rsidP="00E23E84">
      <w:pPr>
        <w:numPr>
          <w:ilvl w:val="1"/>
          <w:numId w:val="3"/>
        </w:numPr>
        <w:spacing w:after="0"/>
        <w:rPr>
          <w:rFonts w:eastAsia="Arial"/>
          <w:bCs/>
          <w:sz w:val="20"/>
          <w:lang w:val="es-CO"/>
        </w:rPr>
      </w:pPr>
      <w:r w:rsidRPr="00E23E84">
        <w:rPr>
          <w:rFonts w:eastAsia="Arial"/>
          <w:bCs/>
          <w:sz w:val="20"/>
        </w:rPr>
        <w:t xml:space="preserve">Ofrecer a los clientes mayor control sobre las transacciones </w:t>
      </w:r>
    </w:p>
    <w:p w:rsidR="00E23E84" w:rsidRDefault="00E23E84" w:rsidP="00E23E84">
      <w:pPr>
        <w:spacing w:after="0"/>
        <w:rPr>
          <w:rFonts w:eastAsia="Arial"/>
          <w:bCs/>
          <w:sz w:val="20"/>
          <w:lang w:val="es-CO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2164"/>
        <w:gridCol w:w="6351"/>
      </w:tblGrid>
      <w:tr w:rsidR="008458B9" w:rsidRPr="00CB3686" w:rsidTr="006328B4">
        <w:trPr>
          <w:trHeight w:val="300"/>
          <w:jc w:val="center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8458B9" w:rsidRPr="00CB3686" w:rsidRDefault="008458B9" w:rsidP="006328B4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FFFFFF" w:themeColor="background1"/>
              </w:rPr>
            </w:pPr>
            <w:r>
              <w:rPr>
                <w:rFonts w:eastAsia="Times New Roman"/>
                <w:b/>
                <w:color w:val="FFFFFF" w:themeColor="background1"/>
              </w:rPr>
              <w:t>Id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hideMark/>
          </w:tcPr>
          <w:p w:rsidR="008458B9" w:rsidRPr="00CB3686" w:rsidRDefault="008458B9" w:rsidP="006328B4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FFFFFF" w:themeColor="background1"/>
              </w:rPr>
            </w:pPr>
            <w:r w:rsidRPr="00CB3686">
              <w:rPr>
                <w:rFonts w:eastAsia="Times New Roman"/>
                <w:b/>
                <w:color w:val="FFFFFF" w:themeColor="background1"/>
              </w:rPr>
              <w:t>Nombre</w:t>
            </w:r>
          </w:p>
        </w:tc>
        <w:tc>
          <w:tcPr>
            <w:tcW w:w="3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hideMark/>
          </w:tcPr>
          <w:p w:rsidR="008458B9" w:rsidRPr="00CB3686" w:rsidRDefault="008458B9" w:rsidP="006328B4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FFFFFF" w:themeColor="background1"/>
              </w:rPr>
            </w:pPr>
            <w:r w:rsidRPr="00CB3686">
              <w:rPr>
                <w:rFonts w:eastAsia="Times New Roman"/>
                <w:b/>
                <w:color w:val="FFFFFF" w:themeColor="background1"/>
              </w:rPr>
              <w:t>Descripción</w:t>
            </w:r>
          </w:p>
        </w:tc>
      </w:tr>
      <w:tr w:rsidR="008458B9" w:rsidRPr="00CB3686" w:rsidTr="006328B4">
        <w:trPr>
          <w:trHeight w:val="818"/>
          <w:jc w:val="center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B9" w:rsidRPr="00CB3686" w:rsidRDefault="008458B9" w:rsidP="006328B4">
            <w:pPr>
              <w:spacing w:line="240" w:lineRule="auto"/>
              <w:contextualSpacing/>
              <w:jc w:val="center"/>
              <w:rPr>
                <w:rFonts w:eastAsia="Times New Roman" w:cs="Arial"/>
                <w:b/>
                <w:color w:val="222222"/>
              </w:rPr>
            </w:pPr>
            <w:r>
              <w:rPr>
                <w:rFonts w:eastAsia="Times New Roman" w:cs="Arial"/>
                <w:b/>
                <w:color w:val="222222"/>
              </w:rPr>
              <w:t>ES1</w:t>
            </w:r>
          </w:p>
        </w:tc>
        <w:tc>
          <w:tcPr>
            <w:tcW w:w="1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8B9" w:rsidRPr="001463DC" w:rsidRDefault="008458B9" w:rsidP="006328B4">
            <w:pPr>
              <w:spacing w:line="240" w:lineRule="auto"/>
              <w:contextualSpacing/>
              <w:rPr>
                <w:rFonts w:eastAsia="Times New Roman" w:cs="Arial"/>
                <w:color w:val="222222"/>
              </w:rPr>
            </w:pPr>
            <w:r w:rsidRPr="001463DC">
              <w:rPr>
                <w:rFonts w:eastAsia="Times New Roman" w:cs="Arial"/>
                <w:color w:val="222222"/>
              </w:rPr>
              <w:t>Implementar nuevos procesos de mediación de transacciones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8B9" w:rsidRPr="00CB3686" w:rsidRDefault="008458B9" w:rsidP="006328B4">
            <w:pPr>
              <w:spacing w:line="240" w:lineRule="auto"/>
              <w:contextualSpacing/>
              <w:rPr>
                <w:rFonts w:eastAsia="Times New Roman" w:cs="Arial"/>
                <w:color w:val="222222"/>
              </w:rPr>
            </w:pPr>
            <w:r w:rsidRPr="00CB3686">
              <w:rPr>
                <w:rFonts w:eastAsia="Times New Roman" w:cs="Arial"/>
                <w:color w:val="222222"/>
              </w:rPr>
              <w:t xml:space="preserve">Creación de nuevos medios </w:t>
            </w:r>
            <w:r>
              <w:rPr>
                <w:rFonts w:eastAsia="Times New Roman" w:cs="Arial"/>
                <w:color w:val="222222"/>
              </w:rPr>
              <w:t>transaccionales</w:t>
            </w:r>
            <w:r w:rsidRPr="00CB3686">
              <w:rPr>
                <w:rFonts w:eastAsia="Times New Roman" w:cs="Arial"/>
                <w:color w:val="222222"/>
              </w:rPr>
              <w:t xml:space="preserve"> que promuevan nuevas dinámicas de interacción entre los fabricantes y comercios, permitiendo la creación de cotizaciones y la gestión de </w:t>
            </w:r>
            <w:r>
              <w:rPr>
                <w:rFonts w:eastAsia="Times New Roman" w:cs="Arial"/>
                <w:color w:val="222222"/>
              </w:rPr>
              <w:t>intencion</w:t>
            </w:r>
            <w:r w:rsidRPr="00CB3686">
              <w:rPr>
                <w:rFonts w:eastAsia="Times New Roman" w:cs="Arial"/>
                <w:color w:val="222222"/>
              </w:rPr>
              <w:t xml:space="preserve">es de compra y venta </w:t>
            </w:r>
            <w:r>
              <w:rPr>
                <w:rFonts w:eastAsia="Times New Roman" w:cs="Arial"/>
                <w:color w:val="222222"/>
              </w:rPr>
              <w:t xml:space="preserve">en un sistema de bolsa </w:t>
            </w:r>
            <w:r w:rsidRPr="00CB3686">
              <w:rPr>
                <w:rFonts w:eastAsia="Times New Roman" w:cs="Arial"/>
                <w:color w:val="222222"/>
              </w:rPr>
              <w:t>de manera ágil y eficiente</w:t>
            </w:r>
          </w:p>
        </w:tc>
      </w:tr>
      <w:tr w:rsidR="008458B9" w:rsidRPr="00CB3686" w:rsidTr="006328B4">
        <w:trPr>
          <w:trHeight w:val="829"/>
          <w:jc w:val="center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B9" w:rsidRPr="00CB3686" w:rsidRDefault="008458B9" w:rsidP="006328B4">
            <w:pPr>
              <w:spacing w:line="240" w:lineRule="auto"/>
              <w:contextualSpacing/>
              <w:jc w:val="center"/>
              <w:rPr>
                <w:rFonts w:eastAsia="Times New Roman" w:cs="Arial"/>
                <w:b/>
                <w:color w:val="222222"/>
              </w:rPr>
            </w:pPr>
            <w:r>
              <w:rPr>
                <w:rFonts w:eastAsia="Times New Roman" w:cs="Arial"/>
                <w:b/>
                <w:color w:val="222222"/>
              </w:rPr>
              <w:t>ES2</w:t>
            </w:r>
          </w:p>
        </w:tc>
        <w:tc>
          <w:tcPr>
            <w:tcW w:w="1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8B9" w:rsidRPr="001463DC" w:rsidRDefault="008458B9" w:rsidP="006328B4">
            <w:pPr>
              <w:spacing w:line="240" w:lineRule="auto"/>
              <w:contextualSpacing/>
              <w:rPr>
                <w:rFonts w:eastAsia="Times New Roman" w:cs="Arial"/>
                <w:color w:val="222222"/>
              </w:rPr>
            </w:pPr>
            <w:r w:rsidRPr="001463DC">
              <w:rPr>
                <w:rFonts w:eastAsia="Times New Roman" w:cs="Arial"/>
                <w:color w:val="222222"/>
              </w:rPr>
              <w:t>Implementar estrategias de fidelización y atracción de clientes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8B9" w:rsidRPr="00CB3686" w:rsidRDefault="008458B9" w:rsidP="006328B4">
            <w:pPr>
              <w:spacing w:line="240" w:lineRule="auto"/>
              <w:contextualSpacing/>
              <w:rPr>
                <w:rFonts w:eastAsia="Times New Roman" w:cs="Arial"/>
                <w:color w:val="222222"/>
              </w:rPr>
            </w:pPr>
            <w:r w:rsidRPr="00CB3686">
              <w:rPr>
                <w:rFonts w:eastAsia="Times New Roman" w:cs="Arial"/>
                <w:color w:val="222222"/>
              </w:rPr>
              <w:t>Implementar las capacidades necesarias para poder crear campañas de mercadeo a listas específicas de clientes activos y potenciales, a través de canales convencionales cómo correos electrónicos o no convencionales como las redes sociales</w:t>
            </w:r>
          </w:p>
        </w:tc>
      </w:tr>
      <w:tr w:rsidR="008458B9" w:rsidRPr="00CB3686" w:rsidTr="006328B4">
        <w:trPr>
          <w:trHeight w:val="1265"/>
          <w:jc w:val="center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B9" w:rsidRPr="00CB3686" w:rsidRDefault="008458B9" w:rsidP="006328B4">
            <w:pPr>
              <w:spacing w:line="240" w:lineRule="auto"/>
              <w:contextualSpacing/>
              <w:jc w:val="center"/>
              <w:rPr>
                <w:rFonts w:eastAsia="Times New Roman" w:cs="Arial"/>
                <w:b/>
                <w:color w:val="222222"/>
              </w:rPr>
            </w:pPr>
            <w:r>
              <w:rPr>
                <w:rFonts w:eastAsia="Times New Roman" w:cs="Arial"/>
                <w:b/>
                <w:color w:val="222222"/>
              </w:rPr>
              <w:t>ES3</w:t>
            </w:r>
          </w:p>
        </w:tc>
        <w:tc>
          <w:tcPr>
            <w:tcW w:w="1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8B9" w:rsidRPr="001463DC" w:rsidRDefault="008458B9" w:rsidP="006328B4">
            <w:pPr>
              <w:spacing w:line="240" w:lineRule="auto"/>
              <w:contextualSpacing/>
              <w:rPr>
                <w:rFonts w:eastAsia="Times New Roman" w:cs="Arial"/>
                <w:color w:val="222222"/>
              </w:rPr>
            </w:pPr>
            <w:r w:rsidRPr="001463DC">
              <w:rPr>
                <w:rFonts w:eastAsia="Times New Roman" w:cs="Arial"/>
                <w:color w:val="222222"/>
              </w:rPr>
              <w:t>Implementación medios de retroalimentación y reconocimiento de clientes y productos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8B9" w:rsidRPr="00CB3686" w:rsidRDefault="008458B9" w:rsidP="006328B4">
            <w:pPr>
              <w:spacing w:line="240" w:lineRule="auto"/>
              <w:contextualSpacing/>
              <w:rPr>
                <w:rFonts w:eastAsia="Times New Roman" w:cs="Arial"/>
                <w:color w:val="222222"/>
              </w:rPr>
            </w:pPr>
            <w:r w:rsidRPr="00CB3686">
              <w:rPr>
                <w:rFonts w:eastAsia="Times New Roman" w:cs="Arial"/>
                <w:color w:val="222222"/>
              </w:rPr>
              <w:t>Implementar diferentes medios para que el MPLA sea capaz de recibir retroalimentación de las experiencias que los clientes han tenido con otros clientes y con sus productos. Así mismo usar esta retroalimentación sirva como criterio para definir listas de clientes y productos destacados, así como nuevos criterios de selección automática de ganadores a subastas o satisfacción de órdenes de compra</w:t>
            </w:r>
          </w:p>
        </w:tc>
      </w:tr>
      <w:tr w:rsidR="008458B9" w:rsidRPr="00CB3686" w:rsidTr="006328B4">
        <w:trPr>
          <w:trHeight w:val="862"/>
          <w:jc w:val="center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B9" w:rsidRPr="00CB3686" w:rsidRDefault="008458B9" w:rsidP="006328B4">
            <w:pPr>
              <w:spacing w:line="240" w:lineRule="auto"/>
              <w:contextualSpacing/>
              <w:jc w:val="center"/>
              <w:rPr>
                <w:rFonts w:eastAsia="Times New Roman" w:cs="Arial"/>
                <w:b/>
                <w:color w:val="222222"/>
              </w:rPr>
            </w:pPr>
            <w:r>
              <w:rPr>
                <w:rFonts w:eastAsia="Times New Roman" w:cs="Arial"/>
                <w:b/>
                <w:color w:val="222222"/>
              </w:rPr>
              <w:t>ES4</w:t>
            </w:r>
          </w:p>
        </w:tc>
        <w:tc>
          <w:tcPr>
            <w:tcW w:w="1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8B9" w:rsidRPr="001463DC" w:rsidRDefault="008458B9" w:rsidP="006328B4">
            <w:pPr>
              <w:spacing w:line="240" w:lineRule="auto"/>
              <w:contextualSpacing/>
              <w:rPr>
                <w:rFonts w:eastAsia="Times New Roman" w:cs="Arial"/>
                <w:color w:val="222222"/>
              </w:rPr>
            </w:pPr>
            <w:r w:rsidRPr="001463DC">
              <w:rPr>
                <w:rFonts w:eastAsia="Times New Roman" w:cs="Arial"/>
                <w:color w:val="222222"/>
              </w:rPr>
              <w:t>Implementar un panel de control de manejo de transacciones activas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8B9" w:rsidRPr="00CB3686" w:rsidRDefault="008458B9" w:rsidP="006328B4">
            <w:pPr>
              <w:spacing w:line="240" w:lineRule="auto"/>
              <w:contextualSpacing/>
              <w:rPr>
                <w:rFonts w:eastAsia="Times New Roman" w:cs="Arial"/>
                <w:color w:val="222222"/>
              </w:rPr>
            </w:pPr>
            <w:r w:rsidRPr="00CB3686">
              <w:rPr>
                <w:rFonts w:eastAsia="Times New Roman" w:cs="Arial"/>
                <w:color w:val="222222"/>
              </w:rPr>
              <w:t xml:space="preserve">Implemente un panel de control que muestre a sus clientes las </w:t>
            </w:r>
            <w:r>
              <w:rPr>
                <w:rFonts w:eastAsia="Times New Roman" w:cs="Arial"/>
                <w:color w:val="222222"/>
              </w:rPr>
              <w:t>transaccion</w:t>
            </w:r>
            <w:r w:rsidRPr="00CB3686">
              <w:rPr>
                <w:rFonts w:eastAsia="Times New Roman" w:cs="Arial"/>
                <w:color w:val="222222"/>
              </w:rPr>
              <w:t xml:space="preserve">es que actualmente se encuentran activas y que brinde la posibilidad, para cada transacción, de que sea cancelada o modificada mientras se encuentra en ejecución. </w:t>
            </w:r>
          </w:p>
        </w:tc>
      </w:tr>
      <w:tr w:rsidR="008458B9" w:rsidRPr="00CB3686" w:rsidTr="006328B4">
        <w:trPr>
          <w:trHeight w:val="1020"/>
          <w:jc w:val="center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B9" w:rsidRPr="00CB3686" w:rsidRDefault="008458B9" w:rsidP="006328B4">
            <w:pPr>
              <w:spacing w:line="240" w:lineRule="auto"/>
              <w:contextualSpacing/>
              <w:jc w:val="center"/>
              <w:rPr>
                <w:rFonts w:eastAsia="Times New Roman" w:cs="Arial"/>
                <w:b/>
                <w:color w:val="222222"/>
              </w:rPr>
            </w:pPr>
            <w:r>
              <w:rPr>
                <w:rFonts w:eastAsia="Times New Roman" w:cs="Arial"/>
                <w:b/>
                <w:color w:val="222222"/>
              </w:rPr>
              <w:t>ES5</w:t>
            </w:r>
          </w:p>
        </w:tc>
        <w:tc>
          <w:tcPr>
            <w:tcW w:w="1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8B9" w:rsidRPr="001463DC" w:rsidRDefault="008458B9" w:rsidP="006328B4">
            <w:pPr>
              <w:spacing w:line="240" w:lineRule="auto"/>
              <w:contextualSpacing/>
              <w:rPr>
                <w:rFonts w:eastAsia="Times New Roman" w:cs="Arial"/>
                <w:color w:val="222222"/>
              </w:rPr>
            </w:pPr>
            <w:r w:rsidRPr="001463DC">
              <w:rPr>
                <w:rFonts w:eastAsia="Times New Roman" w:cs="Arial"/>
                <w:color w:val="222222"/>
              </w:rPr>
              <w:t>Implementación de gestión automática de acuerdos de servicio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8B9" w:rsidRPr="00CB3686" w:rsidRDefault="008458B9" w:rsidP="006328B4">
            <w:pPr>
              <w:spacing w:line="240" w:lineRule="auto"/>
              <w:contextualSpacing/>
              <w:rPr>
                <w:rFonts w:eastAsia="Times New Roman" w:cs="Arial"/>
                <w:color w:val="222222"/>
              </w:rPr>
            </w:pPr>
            <w:r w:rsidRPr="00CB3686">
              <w:rPr>
                <w:rFonts w:eastAsia="Times New Roman" w:cs="Arial"/>
                <w:color w:val="222222"/>
              </w:rPr>
              <w:t>Establecer una gestión de acuerdos, dónde los clientes que usen los servicios del MPLA se comprometan a cumplir ciertas condiciones y/o cláusulas que aseguren un buen uso de la plataforma, Garantizando que ciertos derechos o condiciones se deben cumplir para con sus clientes.</w:t>
            </w:r>
          </w:p>
        </w:tc>
      </w:tr>
    </w:tbl>
    <w:p w:rsidR="007E0EFE" w:rsidRDefault="00430014" w:rsidP="00E23E84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lastRenderedPageBreak/>
        <w:t>Resumen impacto brecha:</w:t>
      </w:r>
    </w:p>
    <w:p w:rsidR="00430014" w:rsidRDefault="00430014" w:rsidP="00E23E84">
      <w:pPr>
        <w:spacing w:after="0"/>
        <w:rPr>
          <w:rFonts w:eastAsia="Arial"/>
          <w:bCs/>
          <w:sz w:val="20"/>
        </w:rPr>
      </w:pPr>
    </w:p>
    <w:p w:rsidR="00430014" w:rsidRDefault="00430014" w:rsidP="00E23E84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En la cadena de valor se realizan modificaciones sobre los </w:t>
      </w:r>
      <w:proofErr w:type="spellStart"/>
      <w:r>
        <w:rPr>
          <w:rFonts w:eastAsia="Arial"/>
          <w:bCs/>
          <w:sz w:val="20"/>
        </w:rPr>
        <w:t>macroprocesos</w:t>
      </w:r>
      <w:proofErr w:type="spellEnd"/>
      <w:r>
        <w:rPr>
          <w:rFonts w:eastAsia="Arial"/>
          <w:bCs/>
          <w:sz w:val="20"/>
        </w:rPr>
        <w:t xml:space="preserve"> de Mercadeo, ventas y evaluación</w:t>
      </w:r>
      <w:r w:rsidR="007E0EFE">
        <w:rPr>
          <w:rFonts w:eastAsia="Arial"/>
          <w:bCs/>
          <w:sz w:val="20"/>
        </w:rPr>
        <w:t>. Para detallar los cambios en cada una de las vistas arquitecturales tenemos la siguiente imagen</w:t>
      </w:r>
      <w:r w:rsidR="00151529">
        <w:rPr>
          <w:rFonts w:eastAsia="Arial"/>
          <w:bCs/>
          <w:sz w:val="20"/>
        </w:rPr>
        <w:t>:</w:t>
      </w:r>
    </w:p>
    <w:p w:rsidR="00151529" w:rsidRDefault="00151529" w:rsidP="00E23E84">
      <w:pPr>
        <w:spacing w:after="0"/>
        <w:rPr>
          <w:rFonts w:eastAsia="Arial"/>
          <w:bCs/>
          <w:sz w:val="20"/>
        </w:rPr>
      </w:pPr>
    </w:p>
    <w:p w:rsidR="00151529" w:rsidRDefault="00151529" w:rsidP="00151529">
      <w:pPr>
        <w:pStyle w:val="Prrafodelista"/>
        <w:numPr>
          <w:ilvl w:val="0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AN:</w:t>
      </w:r>
      <w:r w:rsidR="00B232E8">
        <w:rPr>
          <w:rFonts w:eastAsia="Arial"/>
          <w:bCs/>
          <w:sz w:val="20"/>
        </w:rPr>
        <w:t xml:space="preserve"> </w:t>
      </w:r>
      <w:r w:rsidR="00D5661E">
        <w:rPr>
          <w:rFonts w:eastAsia="Arial"/>
          <w:bCs/>
          <w:sz w:val="20"/>
        </w:rPr>
        <w:t>El proceso de solicitar cotización, registrar intención de compra, registrar intención de venta, solicitar subasta y el subproceso de subasta interna se agregan al eslabón de ventas. En ese mismo eslabón se efectuó la modificación del proceso de procesar orden de compra y aviso de despacho.</w:t>
      </w:r>
    </w:p>
    <w:p w:rsidR="00920D6D" w:rsidRDefault="00920D6D" w:rsidP="00920D6D">
      <w:pPr>
        <w:spacing w:after="0"/>
        <w:ind w:left="708"/>
        <w:rPr>
          <w:rFonts w:eastAsia="Arial"/>
          <w:bCs/>
          <w:sz w:val="20"/>
        </w:rPr>
      </w:pPr>
    </w:p>
    <w:p w:rsidR="00920D6D" w:rsidRDefault="00920D6D" w:rsidP="00920D6D">
      <w:pPr>
        <w:spacing w:after="0"/>
        <w:ind w:left="708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Los procesos de crear campaña y controlar campaña fueron agregados al eslabón de mercadeo.</w:t>
      </w:r>
    </w:p>
    <w:p w:rsidR="00920D6D" w:rsidRDefault="00920D6D" w:rsidP="00920D6D">
      <w:pPr>
        <w:spacing w:after="0"/>
        <w:ind w:left="708"/>
        <w:rPr>
          <w:rFonts w:eastAsia="Arial"/>
          <w:bCs/>
          <w:sz w:val="20"/>
        </w:rPr>
      </w:pPr>
    </w:p>
    <w:p w:rsidR="00920D6D" w:rsidRDefault="00920D6D" w:rsidP="00920D6D">
      <w:pPr>
        <w:spacing w:after="0"/>
        <w:ind w:left="708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Y por último, el proceso de retroalimentación de clientes o productos fue agregado al eslabón de Evaluación.</w:t>
      </w:r>
    </w:p>
    <w:p w:rsidR="0061333B" w:rsidRDefault="0061333B" w:rsidP="0061333B">
      <w:pPr>
        <w:pStyle w:val="Prrafodelista"/>
        <w:numPr>
          <w:ilvl w:val="0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AD: </w:t>
      </w:r>
      <w:r w:rsidR="00A62547">
        <w:rPr>
          <w:rFonts w:eastAsia="Arial"/>
          <w:bCs/>
          <w:sz w:val="20"/>
        </w:rPr>
        <w:t>Se agregaron 14 entidades al modelo ontológico de datos. Se modifican 3.</w:t>
      </w:r>
    </w:p>
    <w:p w:rsidR="0033051C" w:rsidRDefault="0033051C" w:rsidP="00171E5E">
      <w:pPr>
        <w:pStyle w:val="Prrafodelista"/>
        <w:numPr>
          <w:ilvl w:val="0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AA: </w:t>
      </w:r>
      <w:r w:rsidR="009A09BE">
        <w:rPr>
          <w:rFonts w:eastAsia="Arial"/>
          <w:bCs/>
          <w:sz w:val="20"/>
        </w:rPr>
        <w:t xml:space="preserve">Se modificaron </w:t>
      </w:r>
      <w:r w:rsidR="00464E3F" w:rsidRPr="00B5155C">
        <w:rPr>
          <w:rFonts w:eastAsia="Arial"/>
          <w:bCs/>
          <w:sz w:val="20"/>
          <w:highlight w:val="yellow"/>
        </w:rPr>
        <w:t xml:space="preserve">CRM </w:t>
      </w:r>
      <w:proofErr w:type="spellStart"/>
      <w:r w:rsidR="00464E3F" w:rsidRPr="00B5155C">
        <w:rPr>
          <w:rFonts w:eastAsia="Arial"/>
          <w:bCs/>
          <w:sz w:val="20"/>
          <w:highlight w:val="yellow"/>
        </w:rPr>
        <w:t>On</w:t>
      </w:r>
      <w:proofErr w:type="spellEnd"/>
      <w:r w:rsidR="00464E3F" w:rsidRPr="00B5155C">
        <w:rPr>
          <w:rFonts w:eastAsia="Arial"/>
          <w:bCs/>
          <w:sz w:val="20"/>
          <w:highlight w:val="yellow"/>
        </w:rPr>
        <w:t xml:space="preserve"> </w:t>
      </w:r>
      <w:proofErr w:type="spellStart"/>
      <w:r w:rsidR="00464E3F" w:rsidRPr="00B5155C">
        <w:rPr>
          <w:rFonts w:eastAsia="Arial"/>
          <w:bCs/>
          <w:sz w:val="20"/>
          <w:highlight w:val="yellow"/>
        </w:rPr>
        <w:t>Demand</w:t>
      </w:r>
      <w:proofErr w:type="spellEnd"/>
      <w:r w:rsidR="00464E3F">
        <w:rPr>
          <w:rFonts w:eastAsia="Arial"/>
          <w:bCs/>
          <w:sz w:val="20"/>
        </w:rPr>
        <w:t xml:space="preserve"> que soporta los procesos de solicitar cotización, </w:t>
      </w:r>
      <w:r w:rsidR="00464E3F" w:rsidRPr="00464E3F">
        <w:rPr>
          <w:rFonts w:eastAsia="Arial"/>
          <w:bCs/>
          <w:sz w:val="20"/>
        </w:rPr>
        <w:t>Registrar intención de venta</w:t>
      </w:r>
      <w:r w:rsidR="00DB286D">
        <w:rPr>
          <w:rFonts w:eastAsia="Arial"/>
          <w:bCs/>
          <w:sz w:val="20"/>
        </w:rPr>
        <w:t>, Registrar intención de compra</w:t>
      </w:r>
      <w:r w:rsidR="00CE6C04">
        <w:rPr>
          <w:rFonts w:eastAsia="Arial"/>
          <w:bCs/>
          <w:sz w:val="20"/>
        </w:rPr>
        <w:t xml:space="preserve">, solicitar subasta, </w:t>
      </w:r>
      <w:r w:rsidR="00171E5E" w:rsidRPr="00171E5E">
        <w:rPr>
          <w:rFonts w:eastAsia="Arial"/>
          <w:bCs/>
          <w:sz w:val="20"/>
        </w:rPr>
        <w:t>Procesamiento de PO y DA</w:t>
      </w:r>
      <w:r w:rsidR="00C97DF7">
        <w:rPr>
          <w:rFonts w:eastAsia="Arial"/>
          <w:bCs/>
          <w:sz w:val="20"/>
        </w:rPr>
        <w:t>, crear campaña, controlar campaña, retroalimentación de clientes o productos.</w:t>
      </w:r>
      <w:r w:rsidR="00B5155C">
        <w:rPr>
          <w:rFonts w:eastAsia="Arial"/>
          <w:bCs/>
          <w:sz w:val="20"/>
        </w:rPr>
        <w:t xml:space="preserve"> </w:t>
      </w:r>
      <w:proofErr w:type="spellStart"/>
      <w:r w:rsidR="00D50171" w:rsidRPr="00D50171">
        <w:rPr>
          <w:rFonts w:eastAsia="Arial"/>
          <w:bCs/>
          <w:sz w:val="20"/>
          <w:highlight w:val="yellow"/>
        </w:rPr>
        <w:t>POManager</w:t>
      </w:r>
      <w:proofErr w:type="spellEnd"/>
      <w:r w:rsidR="00D50171">
        <w:rPr>
          <w:rFonts w:eastAsia="Arial"/>
          <w:bCs/>
          <w:sz w:val="20"/>
        </w:rPr>
        <w:t xml:space="preserve"> </w:t>
      </w:r>
      <w:r w:rsidR="004C0B1F">
        <w:rPr>
          <w:rFonts w:eastAsia="Arial"/>
          <w:bCs/>
          <w:sz w:val="20"/>
        </w:rPr>
        <w:t xml:space="preserve"> el procesamiento de PO y DA.</w:t>
      </w:r>
      <w:r w:rsidR="00A95A2A">
        <w:rPr>
          <w:rFonts w:eastAsia="Arial"/>
          <w:bCs/>
          <w:sz w:val="20"/>
        </w:rPr>
        <w:t xml:space="preserve"> </w:t>
      </w:r>
      <w:proofErr w:type="spellStart"/>
      <w:r w:rsidR="00A95A2A" w:rsidRPr="00DF3A98">
        <w:rPr>
          <w:rFonts w:eastAsia="Arial"/>
          <w:bCs/>
          <w:sz w:val="20"/>
          <w:highlight w:val="yellow"/>
        </w:rPr>
        <w:t>TransactManager</w:t>
      </w:r>
      <w:proofErr w:type="spellEnd"/>
      <w:r w:rsidR="00A95A2A">
        <w:rPr>
          <w:rFonts w:eastAsia="Arial"/>
          <w:bCs/>
          <w:sz w:val="20"/>
        </w:rPr>
        <w:t xml:space="preserve"> solicitar sub</w:t>
      </w:r>
      <w:r w:rsidR="001E5686">
        <w:rPr>
          <w:rFonts w:eastAsia="Arial"/>
          <w:bCs/>
          <w:sz w:val="20"/>
        </w:rPr>
        <w:t xml:space="preserve">asta y procesamiento de PO y DA, controlar campaña. </w:t>
      </w:r>
      <w:proofErr w:type="spellStart"/>
      <w:r w:rsidR="001E5686" w:rsidRPr="001E5686">
        <w:rPr>
          <w:rFonts w:eastAsia="Arial"/>
          <w:bCs/>
          <w:sz w:val="20"/>
          <w:highlight w:val="yellow"/>
        </w:rPr>
        <w:t>BillingCharges</w:t>
      </w:r>
      <w:proofErr w:type="spellEnd"/>
      <w:r w:rsidR="001E5686">
        <w:rPr>
          <w:rFonts w:eastAsia="Arial"/>
          <w:bCs/>
          <w:sz w:val="20"/>
        </w:rPr>
        <w:t xml:space="preserve"> es una aplicación nueva que soporta el procesamiento de PO y DA. Oracle BAM que realiza un monitoreo de los procesos.</w:t>
      </w:r>
      <w:r w:rsidR="001E10B9">
        <w:rPr>
          <w:rFonts w:eastAsia="Arial"/>
          <w:bCs/>
          <w:sz w:val="20"/>
        </w:rPr>
        <w:t xml:space="preserve"> Y como aplicaciones nuevas tenemos </w:t>
      </w:r>
      <w:proofErr w:type="spellStart"/>
      <w:r w:rsidR="001E10B9" w:rsidRPr="00DF3A98">
        <w:rPr>
          <w:rFonts w:eastAsia="Arial"/>
          <w:bCs/>
          <w:sz w:val="20"/>
          <w:highlight w:val="yellow"/>
        </w:rPr>
        <w:t>StockManager</w:t>
      </w:r>
      <w:proofErr w:type="spellEnd"/>
      <w:r w:rsidR="001E10B9">
        <w:rPr>
          <w:rFonts w:eastAsia="Arial"/>
          <w:bCs/>
          <w:sz w:val="20"/>
        </w:rPr>
        <w:t xml:space="preserve"> </w:t>
      </w:r>
      <w:r w:rsidR="00465A34" w:rsidRPr="008B12DC">
        <w:rPr>
          <w:rFonts w:cstheme="minorHAnsi"/>
          <w:szCs w:val="20"/>
        </w:rPr>
        <w:t>Se encarga de administrar la</w:t>
      </w:r>
      <w:r w:rsidR="00785B8A">
        <w:rPr>
          <w:rFonts w:cstheme="minorHAnsi"/>
          <w:szCs w:val="20"/>
        </w:rPr>
        <w:t>s</w:t>
      </w:r>
      <w:r w:rsidR="00465A34" w:rsidRPr="008B12DC">
        <w:rPr>
          <w:rFonts w:cstheme="minorHAnsi"/>
          <w:szCs w:val="20"/>
        </w:rPr>
        <w:t xml:space="preserve"> solicitudes de cotización y las intenciones de compra/venta</w:t>
      </w:r>
      <w:r w:rsidR="00465A34">
        <w:rPr>
          <w:rFonts w:cstheme="minorHAnsi"/>
          <w:szCs w:val="20"/>
        </w:rPr>
        <w:t xml:space="preserve"> y </w:t>
      </w:r>
      <w:proofErr w:type="spellStart"/>
      <w:r w:rsidR="00465A34" w:rsidRPr="00DF3A98">
        <w:rPr>
          <w:rFonts w:cstheme="minorHAnsi"/>
          <w:szCs w:val="20"/>
          <w:highlight w:val="yellow"/>
        </w:rPr>
        <w:t>Services</w:t>
      </w:r>
      <w:proofErr w:type="spellEnd"/>
      <w:r w:rsidR="00465A34" w:rsidRPr="00DF3A98">
        <w:rPr>
          <w:rFonts w:cstheme="minorHAnsi"/>
          <w:szCs w:val="20"/>
          <w:highlight w:val="yellow"/>
        </w:rPr>
        <w:t xml:space="preserve"> </w:t>
      </w:r>
      <w:proofErr w:type="spellStart"/>
      <w:r w:rsidR="00465A34" w:rsidRPr="00DF3A98">
        <w:rPr>
          <w:rFonts w:cstheme="minorHAnsi"/>
          <w:szCs w:val="20"/>
          <w:highlight w:val="yellow"/>
        </w:rPr>
        <w:t>agreementEval</w:t>
      </w:r>
      <w:proofErr w:type="spellEnd"/>
      <w:r w:rsidR="00465A34">
        <w:rPr>
          <w:rFonts w:cstheme="minorHAnsi"/>
          <w:szCs w:val="20"/>
        </w:rPr>
        <w:t xml:space="preserve"> </w:t>
      </w:r>
      <w:r w:rsidR="00465A34" w:rsidRPr="008B12DC">
        <w:rPr>
          <w:rFonts w:cstheme="minorHAnsi"/>
          <w:szCs w:val="20"/>
        </w:rPr>
        <w:t>Se encarga de evaluar el cumplimiento de las reglas y los acuerdos de servicios definidos en el motor de reglas</w:t>
      </w:r>
      <w:r w:rsidR="00465A34">
        <w:rPr>
          <w:rFonts w:cstheme="minorHAnsi"/>
          <w:szCs w:val="20"/>
        </w:rPr>
        <w:t>.</w:t>
      </w:r>
    </w:p>
    <w:p w:rsidR="00C82048" w:rsidRDefault="00EA61B0" w:rsidP="00EA61B0">
      <w:pPr>
        <w:pStyle w:val="Prrafodelista"/>
        <w:numPr>
          <w:ilvl w:val="0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AI: Se agrega el motor de reglas.</w:t>
      </w:r>
    </w:p>
    <w:p w:rsidR="00B1195E" w:rsidRDefault="00B1195E" w:rsidP="00B1195E">
      <w:pPr>
        <w:spacing w:after="0"/>
        <w:rPr>
          <w:rFonts w:eastAsia="Arial"/>
          <w:bCs/>
          <w:sz w:val="20"/>
        </w:rPr>
      </w:pPr>
    </w:p>
    <w:p w:rsidR="00147AE5" w:rsidRDefault="00147AE5" w:rsidP="00B1195E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ARQUITECTURA DE SOLUCIÓN</w:t>
      </w:r>
    </w:p>
    <w:p w:rsidR="00147AE5" w:rsidRDefault="00147AE5" w:rsidP="00B1195E">
      <w:pPr>
        <w:spacing w:after="0"/>
        <w:rPr>
          <w:rFonts w:eastAsia="Arial"/>
          <w:bCs/>
          <w:sz w:val="20"/>
        </w:rPr>
      </w:pPr>
    </w:p>
    <w:p w:rsidR="00B1195E" w:rsidRPr="00B1195E" w:rsidRDefault="001D786F" w:rsidP="00B1195E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En la zona de servicios </w:t>
      </w:r>
      <w:proofErr w:type="spellStart"/>
      <w:r>
        <w:rPr>
          <w:rFonts w:eastAsia="Arial"/>
          <w:bCs/>
          <w:sz w:val="20"/>
        </w:rPr>
        <w:t>front-end</w:t>
      </w:r>
      <w:proofErr w:type="spellEnd"/>
      <w:r>
        <w:rPr>
          <w:rFonts w:eastAsia="Arial"/>
          <w:bCs/>
          <w:sz w:val="20"/>
        </w:rPr>
        <w:t xml:space="preserve"> se adicionan los servicios de Administración de criterios, de acuerdos de servicio, selección de fabricantes y administración de </w:t>
      </w:r>
      <w:proofErr w:type="spellStart"/>
      <w:r>
        <w:rPr>
          <w:rFonts w:eastAsia="Arial"/>
          <w:bCs/>
          <w:sz w:val="20"/>
        </w:rPr>
        <w:t>transacciones.</w:t>
      </w:r>
      <w:r w:rsidR="00E8532F">
        <w:rPr>
          <w:rFonts w:eastAsia="Arial"/>
          <w:bCs/>
          <w:sz w:val="20"/>
        </w:rPr>
        <w:t>En</w:t>
      </w:r>
      <w:proofErr w:type="spellEnd"/>
      <w:r w:rsidR="00E8532F">
        <w:rPr>
          <w:rFonts w:eastAsia="Arial"/>
          <w:bCs/>
          <w:sz w:val="20"/>
        </w:rPr>
        <w:t xml:space="preserve"> la zona de servicios back-</w:t>
      </w:r>
      <w:proofErr w:type="spellStart"/>
      <w:r w:rsidR="00E8532F">
        <w:rPr>
          <w:rFonts w:eastAsia="Arial"/>
          <w:bCs/>
          <w:sz w:val="20"/>
        </w:rPr>
        <w:t>end</w:t>
      </w:r>
      <w:proofErr w:type="spellEnd"/>
      <w:r w:rsidR="00E8532F">
        <w:rPr>
          <w:rFonts w:eastAsia="Arial"/>
          <w:bCs/>
          <w:sz w:val="20"/>
        </w:rPr>
        <w:t xml:space="preserve">, en la categoría de procesos se </w:t>
      </w:r>
      <w:proofErr w:type="gramStart"/>
      <w:r w:rsidR="00E8532F">
        <w:rPr>
          <w:rFonts w:eastAsia="Arial"/>
          <w:bCs/>
          <w:sz w:val="20"/>
        </w:rPr>
        <w:t>agregan</w:t>
      </w:r>
      <w:proofErr w:type="gramEnd"/>
      <w:r w:rsidR="00E8532F">
        <w:rPr>
          <w:rFonts w:eastAsia="Arial"/>
          <w:bCs/>
          <w:sz w:val="20"/>
        </w:rPr>
        <w:t xml:space="preserve"> Proceso de solicitud de cotización, registrar intención de venta, registrar intención de compra.</w:t>
      </w:r>
      <w:r w:rsidR="00F908B4">
        <w:rPr>
          <w:rFonts w:eastAsia="Arial"/>
          <w:bCs/>
          <w:sz w:val="20"/>
        </w:rPr>
        <w:t xml:space="preserve"> En la categoría de tarea se agrega la evaluación de acuerdos de servicio, el servicio de evaluación de clientes/productos y en la categoría de datos: Servicio gestión de campañas, servicios de gestión de cotizaciones.</w:t>
      </w:r>
    </w:p>
    <w:p w:rsidR="00147AE5" w:rsidRDefault="00147AE5" w:rsidP="00147AE5">
      <w:pPr>
        <w:spacing w:after="0"/>
        <w:rPr>
          <w:rStyle w:val="Textoennegrita"/>
          <w:rFonts w:eastAsia="Arial"/>
          <w:b w:val="0"/>
          <w:sz w:val="20"/>
        </w:rPr>
      </w:pPr>
    </w:p>
    <w:p w:rsidR="00147AE5" w:rsidRDefault="00147AE5" w:rsidP="00147AE5">
      <w:pPr>
        <w:spacing w:after="0"/>
        <w:rPr>
          <w:rStyle w:val="Textoennegrita"/>
          <w:rFonts w:eastAsia="Arial"/>
          <w:sz w:val="20"/>
        </w:rPr>
      </w:pPr>
      <w:r w:rsidRPr="00147AE5">
        <w:rPr>
          <w:rStyle w:val="Textoennegrita"/>
          <w:rFonts w:eastAsia="Arial"/>
          <w:sz w:val="20"/>
        </w:rPr>
        <w:t>Atributos de calidad</w:t>
      </w:r>
    </w:p>
    <w:p w:rsidR="00017B5F" w:rsidRDefault="00017B5F" w:rsidP="00147AE5">
      <w:pPr>
        <w:spacing w:after="0"/>
        <w:rPr>
          <w:rStyle w:val="Textoennegrita"/>
          <w:rFonts w:eastAsia="Arial"/>
          <w:sz w:val="20"/>
        </w:rPr>
      </w:pPr>
    </w:p>
    <w:p w:rsidR="00442940" w:rsidRPr="00147AE5" w:rsidRDefault="00017B5F" w:rsidP="00147AE5">
      <w:pPr>
        <w:spacing w:after="0"/>
        <w:rPr>
          <w:rStyle w:val="Textoennegrita"/>
          <w:rFonts w:eastAsia="Arial"/>
          <w:sz w:val="20"/>
        </w:rPr>
      </w:pPr>
      <w:r>
        <w:rPr>
          <w:rStyle w:val="Textoennegrita"/>
          <w:rFonts w:eastAsia="Arial"/>
          <w:sz w:val="20"/>
        </w:rPr>
        <w:t>Se identifican y plantean los siguientes atributos de calidad:</w:t>
      </w:r>
    </w:p>
    <w:p w:rsidR="00147AE5" w:rsidRDefault="00147AE5" w:rsidP="00142EDF">
      <w:pPr>
        <w:spacing w:after="0"/>
        <w:contextualSpacing/>
        <w:jc w:val="both"/>
        <w:rPr>
          <w:rFonts w:cs="Arial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751"/>
        <w:gridCol w:w="7303"/>
      </w:tblGrid>
      <w:tr w:rsidR="00E26DA9" w:rsidRPr="005A06C4" w:rsidTr="006328B4">
        <w:trPr>
          <w:jc w:val="center"/>
        </w:trPr>
        <w:tc>
          <w:tcPr>
            <w:tcW w:w="770" w:type="pct"/>
            <w:vAlign w:val="center"/>
          </w:tcPr>
          <w:p w:rsidR="00E26DA9" w:rsidRPr="005A06C4" w:rsidRDefault="00E26DA9" w:rsidP="006328B4">
            <w:pPr>
              <w:jc w:val="center"/>
              <w:rPr>
                <w:szCs w:val="20"/>
              </w:rPr>
            </w:pPr>
            <w:r w:rsidRPr="005A06C4">
              <w:rPr>
                <w:szCs w:val="20"/>
              </w:rPr>
              <w:t>Integración</w:t>
            </w:r>
          </w:p>
        </w:tc>
        <w:tc>
          <w:tcPr>
            <w:tcW w:w="3210" w:type="pct"/>
          </w:tcPr>
          <w:p w:rsidR="00E26DA9" w:rsidRPr="005A06C4" w:rsidRDefault="00E26DA9" w:rsidP="006328B4">
            <w:pPr>
              <w:rPr>
                <w:szCs w:val="20"/>
              </w:rPr>
            </w:pPr>
            <w:r w:rsidRPr="005A06C4">
              <w:rPr>
                <w:szCs w:val="20"/>
              </w:rPr>
              <w:t>Garantizar que las funcionalidades de negocio soportadas por los componentes de TI estén integradas en un solo servicio.</w:t>
            </w:r>
            <w:r w:rsidR="007B4427">
              <w:rPr>
                <w:szCs w:val="20"/>
              </w:rPr>
              <w:t xml:space="preserve"> (No estaba especificado y nos parece importante)</w:t>
            </w:r>
          </w:p>
        </w:tc>
      </w:tr>
      <w:tr w:rsidR="00E26DA9" w:rsidRPr="005A06C4" w:rsidTr="006328B4">
        <w:trPr>
          <w:jc w:val="center"/>
        </w:trPr>
        <w:tc>
          <w:tcPr>
            <w:tcW w:w="770" w:type="pct"/>
            <w:vAlign w:val="center"/>
          </w:tcPr>
          <w:p w:rsidR="00E26DA9" w:rsidRPr="005A06C4" w:rsidRDefault="00E26DA9" w:rsidP="006328B4">
            <w:pPr>
              <w:jc w:val="center"/>
              <w:rPr>
                <w:szCs w:val="20"/>
              </w:rPr>
            </w:pPr>
            <w:r w:rsidRPr="005A06C4">
              <w:rPr>
                <w:szCs w:val="20"/>
              </w:rPr>
              <w:t>Usabilidad</w:t>
            </w:r>
          </w:p>
        </w:tc>
        <w:tc>
          <w:tcPr>
            <w:tcW w:w="3210" w:type="pct"/>
          </w:tcPr>
          <w:p w:rsidR="00E26DA9" w:rsidRPr="005A06C4" w:rsidRDefault="00E26DA9" w:rsidP="006328B4">
            <w:pPr>
              <w:rPr>
                <w:szCs w:val="20"/>
              </w:rPr>
            </w:pPr>
            <w:r w:rsidRPr="005A06C4">
              <w:rPr>
                <w:szCs w:val="20"/>
              </w:rPr>
              <w:t xml:space="preserve">Optimizar la experiencia del usuario con la capa de presentación de los componentes de TI. </w:t>
            </w:r>
          </w:p>
        </w:tc>
      </w:tr>
    </w:tbl>
    <w:p w:rsidR="00147AE5" w:rsidRDefault="00147AE5" w:rsidP="00142EDF">
      <w:pPr>
        <w:spacing w:after="0"/>
        <w:contextualSpacing/>
        <w:jc w:val="both"/>
        <w:rPr>
          <w:rFonts w:cs="Arial"/>
        </w:rPr>
      </w:pPr>
    </w:p>
    <w:p w:rsidR="00442940" w:rsidRDefault="00442940" w:rsidP="00142EDF">
      <w:pPr>
        <w:spacing w:after="0"/>
        <w:contextualSpacing/>
        <w:jc w:val="both"/>
        <w:rPr>
          <w:rFonts w:cs="Arial"/>
        </w:rPr>
      </w:pPr>
    </w:p>
    <w:p w:rsidR="00442940" w:rsidRDefault="00442940" w:rsidP="00142EDF">
      <w:pPr>
        <w:spacing w:after="0"/>
        <w:contextualSpacing/>
        <w:jc w:val="both"/>
        <w:rPr>
          <w:rFonts w:cs="Arial"/>
        </w:rPr>
      </w:pPr>
      <w:r>
        <w:rPr>
          <w:rFonts w:cs="Arial"/>
        </w:rPr>
        <w:t>Proyectos:</w:t>
      </w:r>
    </w:p>
    <w:p w:rsidR="00442940" w:rsidRDefault="00442940" w:rsidP="00142EDF">
      <w:pPr>
        <w:spacing w:after="0"/>
        <w:contextualSpacing/>
        <w:jc w:val="both"/>
        <w:rPr>
          <w:rFonts w:cs="Arial"/>
        </w:rPr>
      </w:pPr>
    </w:p>
    <w:p w:rsidR="00442940" w:rsidRDefault="00442940" w:rsidP="00142EDF">
      <w:pPr>
        <w:spacing w:after="0"/>
        <w:contextualSpacing/>
        <w:jc w:val="both"/>
      </w:pPr>
      <w:r>
        <w:t>En total resultaron 26 proyectos entre todas las vistas de arquitectura</w:t>
      </w:r>
      <w:r>
        <w:t>.</w:t>
      </w:r>
    </w:p>
    <w:p w:rsidR="00442940" w:rsidRDefault="00442940" w:rsidP="00142EDF">
      <w:pPr>
        <w:spacing w:after="0"/>
        <w:contextualSpacing/>
        <w:jc w:val="both"/>
        <w:rPr>
          <w:rFonts w:cs="Arial"/>
        </w:rPr>
      </w:pPr>
    </w:p>
    <w:p w:rsidR="005E6284" w:rsidRDefault="005E6284" w:rsidP="00142EDF">
      <w:pPr>
        <w:spacing w:after="0"/>
        <w:contextualSpacing/>
        <w:jc w:val="both"/>
      </w:pPr>
      <w:r w:rsidRPr="008336EA">
        <w:t>Realiza la automatización de los procesos Transaccionales solicitud PO y DA, solicitud cotización, gestión de solicitudes de bolsa y proceso de subasta inversa, teniendo en cuenta la creación o modificación de elementos sobre los 4 dominios</w:t>
      </w:r>
    </w:p>
    <w:p w:rsidR="005E6284" w:rsidRDefault="005E6284" w:rsidP="00142EDF">
      <w:pPr>
        <w:spacing w:after="0"/>
        <w:contextualSpacing/>
        <w:jc w:val="both"/>
      </w:pPr>
    </w:p>
    <w:p w:rsidR="005E6284" w:rsidRDefault="005E6284" w:rsidP="00142EDF">
      <w:pPr>
        <w:spacing w:after="0"/>
        <w:contextualSpacing/>
        <w:jc w:val="both"/>
      </w:pPr>
      <w:r>
        <w:t>Realiza la automatización de los procesos de crear campaña y controlar campaña, teniendo en cuenta la creación o modificaciones sobre los 4 dominios</w:t>
      </w:r>
    </w:p>
    <w:p w:rsidR="005E6284" w:rsidRDefault="005E6284" w:rsidP="00142EDF">
      <w:pPr>
        <w:spacing w:after="0"/>
        <w:contextualSpacing/>
        <w:jc w:val="both"/>
      </w:pPr>
    </w:p>
    <w:p w:rsidR="005E6284" w:rsidRDefault="005E6284" w:rsidP="00142EDF">
      <w:pPr>
        <w:spacing w:after="0"/>
        <w:contextualSpacing/>
        <w:jc w:val="both"/>
      </w:pPr>
      <w:r>
        <w:t>Realiza la automatización del proceso de retroalimentación de clientes o productos, teniendo en cuenta la creación o modificación de elementos sobre los 4 dominios</w:t>
      </w:r>
    </w:p>
    <w:p w:rsidR="005E6284" w:rsidRDefault="005E6284" w:rsidP="00142EDF">
      <w:pPr>
        <w:spacing w:after="0"/>
        <w:contextualSpacing/>
        <w:jc w:val="both"/>
      </w:pPr>
    </w:p>
    <w:p w:rsidR="005E6284" w:rsidRDefault="005E6284" w:rsidP="00142EDF">
      <w:pPr>
        <w:spacing w:after="0"/>
        <w:contextualSpacing/>
        <w:jc w:val="both"/>
      </w:pPr>
      <w:r>
        <w:t>Realiza el monitoreo de las Transacciones que permiten al cliente modificar o cancelar Transacciones en diversos puntos del proceso. Este proyecto comprende la realización de servicios de integración e interfaz de usuario.</w:t>
      </w:r>
    </w:p>
    <w:p w:rsidR="00E24DFF" w:rsidRDefault="00E24DFF" w:rsidP="00142EDF">
      <w:pPr>
        <w:spacing w:after="0"/>
        <w:contextualSpacing/>
        <w:jc w:val="both"/>
        <w:rPr>
          <w:rFonts w:cs="Arial"/>
        </w:rPr>
      </w:pPr>
    </w:p>
    <w:p w:rsidR="003F6547" w:rsidRDefault="003F6547" w:rsidP="00142EDF">
      <w:pPr>
        <w:spacing w:after="0"/>
        <w:contextualSpacing/>
        <w:jc w:val="both"/>
      </w:pPr>
      <w:r>
        <w:t>Se incluye la evaluación de acuerdos de servicio en los procesos Transaccionales</w:t>
      </w:r>
    </w:p>
    <w:p w:rsidR="003F6547" w:rsidRDefault="003F6547" w:rsidP="00142EDF">
      <w:pPr>
        <w:spacing w:after="0"/>
        <w:contextualSpacing/>
        <w:jc w:val="both"/>
        <w:rPr>
          <w:rFonts w:cs="Arial"/>
        </w:rPr>
      </w:pPr>
    </w:p>
    <w:p w:rsidR="00142EDF" w:rsidRPr="009A61AF" w:rsidRDefault="00142EDF" w:rsidP="00142EDF">
      <w:pPr>
        <w:spacing w:after="0"/>
        <w:contextualSpacing/>
        <w:jc w:val="both"/>
        <w:rPr>
          <w:rFonts w:cs="Arial"/>
        </w:rPr>
      </w:pPr>
      <w:r>
        <w:rPr>
          <w:rFonts w:cs="Arial"/>
        </w:rPr>
        <w:t xml:space="preserve">Considerando las 480 horas disponibles para implementar la solución y la priorización de los </w:t>
      </w:r>
      <w:proofErr w:type="gramStart"/>
      <w:r>
        <w:rPr>
          <w:rFonts w:cs="Arial"/>
        </w:rPr>
        <w:t>proyectos</w:t>
      </w:r>
      <w:proofErr w:type="gramEnd"/>
      <w:r>
        <w:rPr>
          <w:rFonts w:cs="Arial"/>
        </w:rPr>
        <w:t>, se estima llevar a cabo los proyectos PC1, PC2, PC4 con una duración estimada de 432 horas.</w:t>
      </w:r>
    </w:p>
    <w:p w:rsidR="00142EDF" w:rsidRDefault="00142EDF"/>
    <w:p w:rsidR="00AA5F8D" w:rsidRDefault="00AA5F8D">
      <w:r>
        <w:t xml:space="preserve">Priorización </w:t>
      </w:r>
    </w:p>
    <w:p w:rsidR="00AA5F8D" w:rsidRDefault="00AA5F8D" w:rsidP="00AA5F8D">
      <w:pPr>
        <w:contextualSpacing/>
        <w:rPr>
          <w:rFonts w:cs="Arial"/>
        </w:rPr>
      </w:pPr>
      <w:r>
        <w:rPr>
          <w:rFonts w:cs="Arial"/>
        </w:rPr>
        <w:t>Los criterios para priorizar los proyectos, son los siguientes:</w:t>
      </w:r>
    </w:p>
    <w:p w:rsidR="00AA5F8D" w:rsidRDefault="00AA5F8D" w:rsidP="00AA5F8D">
      <w:pPr>
        <w:pStyle w:val="Prrafodelista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Beneficio</w:t>
      </w:r>
      <w:r>
        <w:rPr>
          <w:rFonts w:cs="Arial"/>
        </w:rPr>
        <w:tab/>
        <w:t>40%</w:t>
      </w:r>
    </w:p>
    <w:p w:rsidR="00AA5F8D" w:rsidRDefault="00AA5F8D" w:rsidP="00AA5F8D">
      <w:pPr>
        <w:pStyle w:val="Prrafodelista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Capacidad</w:t>
      </w:r>
      <w:r>
        <w:rPr>
          <w:rFonts w:cs="Arial"/>
        </w:rPr>
        <w:tab/>
        <w:t>30%</w:t>
      </w:r>
    </w:p>
    <w:p w:rsidR="00AA5F8D" w:rsidRDefault="00AA5F8D" w:rsidP="00AA5F8D">
      <w:pPr>
        <w:pStyle w:val="Prrafodelista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Criticidad</w:t>
      </w:r>
      <w:r>
        <w:rPr>
          <w:rFonts w:cs="Arial"/>
        </w:rPr>
        <w:tab/>
        <w:t>10%</w:t>
      </w:r>
    </w:p>
    <w:p w:rsidR="00AA5F8D" w:rsidRDefault="00AA5F8D" w:rsidP="00AA5F8D">
      <w:pPr>
        <w:pStyle w:val="Prrafodelista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Dependencia</w:t>
      </w:r>
      <w:r>
        <w:rPr>
          <w:rFonts w:cs="Arial"/>
        </w:rPr>
        <w:tab/>
        <w:t>20%</w:t>
      </w:r>
    </w:p>
    <w:p w:rsidR="00AA5F8D" w:rsidRDefault="00AA5F8D" w:rsidP="00AA5F8D">
      <w:pPr>
        <w:rPr>
          <w:rFonts w:cs="Arial"/>
        </w:rPr>
      </w:pPr>
    </w:p>
    <w:p w:rsidR="00AA5F8D" w:rsidRDefault="00AA5F8D" w:rsidP="00AA5F8D">
      <w:pPr>
        <w:rPr>
          <w:rFonts w:cs="Arial"/>
        </w:rPr>
      </w:pPr>
      <w:r>
        <w:rPr>
          <w:rFonts w:cs="Arial"/>
        </w:rPr>
        <w:t>La evaluación de criterios aplicados por proyectos, se realizó promediando los puntos de vista de los miembros del equipo asumiendo cada uno la representación de un rol en el proyecto.</w:t>
      </w:r>
    </w:p>
    <w:p w:rsidR="009C1E3E" w:rsidRDefault="009C1E3E" w:rsidP="00AA5F8D">
      <w:pPr>
        <w:rPr>
          <w:rFonts w:cs="Arial"/>
        </w:rPr>
      </w:pPr>
    </w:p>
    <w:p w:rsidR="009C1E3E" w:rsidRDefault="009C1E3E" w:rsidP="00AA5F8D">
      <w:pPr>
        <w:rPr>
          <w:rFonts w:cs="Arial"/>
        </w:rPr>
      </w:pPr>
      <w:r>
        <w:rPr>
          <w:rFonts w:cs="Arial"/>
        </w:rPr>
        <w:t>Estimación</w:t>
      </w:r>
    </w:p>
    <w:p w:rsidR="009C1E3E" w:rsidRDefault="009C1E3E" w:rsidP="004947FB">
      <w:pPr>
        <w:contextualSpacing/>
        <w:jc w:val="both"/>
        <w:rPr>
          <w:rFonts w:cs="Arial"/>
        </w:rPr>
      </w:pPr>
      <w:r>
        <w:rPr>
          <w:rFonts w:cs="Arial"/>
        </w:rPr>
        <w:t>Se toma como unidad de medida, el tamaño de los procesos en función de las actividades/entidades y su nivel de complejidad, haciendo uso de la técnica Delphi para establecer los tiempos relativos. Las unidades utilizadas para la estimación de tiempos del proyecto están dadas en horas.</w:t>
      </w:r>
    </w:p>
    <w:p w:rsidR="009C1E3E" w:rsidRDefault="009C1E3E" w:rsidP="00AA5F8D">
      <w:pPr>
        <w:rPr>
          <w:rFonts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"/>
        <w:gridCol w:w="5816"/>
        <w:gridCol w:w="1225"/>
        <w:gridCol w:w="1471"/>
      </w:tblGrid>
      <w:tr w:rsidR="007A5C71" w:rsidRPr="009E3807" w:rsidTr="006328B4">
        <w:trPr>
          <w:trHeight w:val="288"/>
        </w:trPr>
        <w:tc>
          <w:tcPr>
            <w:tcW w:w="3650" w:type="pct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lastRenderedPageBreak/>
              <w:t>Costo Estimado de Mano de Obra / Hora</w:t>
            </w:r>
          </w:p>
        </w:tc>
        <w:tc>
          <w:tcPr>
            <w:tcW w:w="1350" w:type="pct"/>
            <w:gridSpan w:val="2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 xml:space="preserve">                                 </w:t>
            </w:r>
            <w:r>
              <w:rPr>
                <w:rFonts w:eastAsia="Times New Roman"/>
                <w:b/>
                <w:bCs/>
                <w:color w:val="000000"/>
                <w:lang w:eastAsia="es-MX"/>
              </w:rPr>
              <w:t>300,000</w:t>
            </w: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 xml:space="preserve">.00 </w:t>
            </w:r>
          </w:p>
        </w:tc>
      </w:tr>
      <w:tr w:rsidR="007A5C71" w:rsidRPr="009E3807" w:rsidTr="006328B4">
        <w:trPr>
          <w:trHeight w:val="576"/>
        </w:trPr>
        <w:tc>
          <w:tcPr>
            <w:tcW w:w="3650" w:type="pct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Proyecto</w:t>
            </w:r>
          </w:p>
        </w:tc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Horas Estimadas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Costo Estimado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PC1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Automatización de procesos transaccionales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256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76,800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PC2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Automatización de campañas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176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52</w:t>
            </w:r>
            <w:r w:rsidRPr="009E3807">
              <w:rPr>
                <w:rFonts w:eastAsia="Times New Roman"/>
                <w:color w:val="000000"/>
                <w:lang w:eastAsia="es-MX"/>
              </w:rPr>
              <w:t>,</w:t>
            </w:r>
            <w:r>
              <w:rPr>
                <w:rFonts w:eastAsia="Times New Roman"/>
                <w:color w:val="000000"/>
                <w:lang w:eastAsia="es-MX"/>
              </w:rPr>
              <w:t>800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PC3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Automatización proceso retroalimentación de clientes o productos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18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5,400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PC4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Monitor de transacciones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42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12,600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PC5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Evaluación de acuerdos de servicio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60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18,000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396"/>
        </w:trPr>
        <w:tc>
          <w:tcPr>
            <w:tcW w:w="3650" w:type="pct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Total Solución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552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s-MX"/>
              </w:rPr>
            </w:pPr>
            <w:r>
              <w:rPr>
                <w:rFonts w:eastAsia="Times New Roman"/>
                <w:b/>
                <w:bCs/>
                <w:color w:val="000000"/>
                <w:lang w:eastAsia="es-MX"/>
              </w:rPr>
              <w:t>165,600</w:t>
            </w: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,000.00</w:t>
            </w:r>
          </w:p>
        </w:tc>
      </w:tr>
    </w:tbl>
    <w:p w:rsidR="005E6284" w:rsidRDefault="005E6284"/>
    <w:p w:rsidR="00835341" w:rsidRDefault="00835341"/>
    <w:p w:rsidR="00835341" w:rsidRDefault="00835341">
      <w:r>
        <w:t>Mapa de ruta</w:t>
      </w:r>
    </w:p>
    <w:p w:rsidR="00835341" w:rsidRDefault="00835341"/>
    <w:p w:rsidR="00835341" w:rsidRDefault="00835341">
      <w:r>
        <w:t>Aquí se evidencia la dependencia entre proyectos y la duración de cada uno, para llegar a la arquitectura objetivo.</w:t>
      </w:r>
    </w:p>
    <w:p w:rsidR="005E1C92" w:rsidRDefault="005E1C92"/>
    <w:p w:rsidR="005E1C92" w:rsidRDefault="005E1C92">
      <w:r>
        <w:t>Horizonte de tiempo Se tiene un límite de 16 semanas</w:t>
      </w:r>
    </w:p>
    <w:p w:rsidR="005E1C92" w:rsidRDefault="005E1C92">
      <w:r>
        <w:t>Alcance: Según los criterios de priorización el alcance de la solución propuesta abarca los proyectos de: automatización de procesos transaccionales, automatización de campañas y motor de transacciones para un total de 474 horas</w:t>
      </w:r>
      <w:r w:rsidR="00C41FFB">
        <w:t xml:space="preserve"> y un costo de </w:t>
      </w:r>
      <w:r w:rsidR="005A5396">
        <w:t>142200000</w:t>
      </w:r>
    </w:p>
    <w:p w:rsidR="00856333" w:rsidRDefault="00856333"/>
    <w:p w:rsidR="00856333" w:rsidRDefault="00856333">
      <w:r>
        <w:t>Riesgos: los riesgos identificados son riesgos de alcance.</w:t>
      </w:r>
      <w:bookmarkStart w:id="0" w:name="_GoBack"/>
      <w:bookmarkEnd w:id="0"/>
    </w:p>
    <w:sectPr w:rsidR="00856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7E8"/>
    <w:multiLevelType w:val="hybridMultilevel"/>
    <w:tmpl w:val="A83CB4B4"/>
    <w:lvl w:ilvl="0" w:tplc="DFF669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DAA5A2">
      <w:start w:val="112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7651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C8D6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670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E2A2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2A01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0E4A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1ED2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D9E3A28"/>
    <w:multiLevelType w:val="hybridMultilevel"/>
    <w:tmpl w:val="015215AE"/>
    <w:lvl w:ilvl="0" w:tplc="00C26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500EC"/>
    <w:multiLevelType w:val="hybridMultilevel"/>
    <w:tmpl w:val="F25C4E00"/>
    <w:lvl w:ilvl="0" w:tplc="EFA89D8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8511A"/>
    <w:multiLevelType w:val="hybridMultilevel"/>
    <w:tmpl w:val="A5EA92FA"/>
    <w:lvl w:ilvl="0" w:tplc="00C26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744EFB"/>
    <w:multiLevelType w:val="hybridMultilevel"/>
    <w:tmpl w:val="DB8AC628"/>
    <w:lvl w:ilvl="0" w:tplc="77DE154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DF"/>
    <w:rsid w:val="00017B5F"/>
    <w:rsid w:val="000E01CE"/>
    <w:rsid w:val="0011451A"/>
    <w:rsid w:val="00142EDF"/>
    <w:rsid w:val="00147AE5"/>
    <w:rsid w:val="00151529"/>
    <w:rsid w:val="00171E5E"/>
    <w:rsid w:val="001D786F"/>
    <w:rsid w:val="001E10B9"/>
    <w:rsid w:val="001E5686"/>
    <w:rsid w:val="00213C96"/>
    <w:rsid w:val="00233C56"/>
    <w:rsid w:val="002E331A"/>
    <w:rsid w:val="0033051C"/>
    <w:rsid w:val="003F6547"/>
    <w:rsid w:val="00430014"/>
    <w:rsid w:val="00442940"/>
    <w:rsid w:val="00464E3F"/>
    <w:rsid w:val="00465A34"/>
    <w:rsid w:val="004947FB"/>
    <w:rsid w:val="004C0B1F"/>
    <w:rsid w:val="005A5396"/>
    <w:rsid w:val="005E1C92"/>
    <w:rsid w:val="005E6284"/>
    <w:rsid w:val="0061333B"/>
    <w:rsid w:val="00654F47"/>
    <w:rsid w:val="00785B8A"/>
    <w:rsid w:val="007A5C71"/>
    <w:rsid w:val="007B4427"/>
    <w:rsid w:val="007E0EFE"/>
    <w:rsid w:val="00835341"/>
    <w:rsid w:val="008458B9"/>
    <w:rsid w:val="00856333"/>
    <w:rsid w:val="00883AAD"/>
    <w:rsid w:val="008A0AD0"/>
    <w:rsid w:val="00920D6D"/>
    <w:rsid w:val="009A09BE"/>
    <w:rsid w:val="009C1E3E"/>
    <w:rsid w:val="009C38F4"/>
    <w:rsid w:val="00A62547"/>
    <w:rsid w:val="00A95A2A"/>
    <w:rsid w:val="00AA5F8D"/>
    <w:rsid w:val="00B1195E"/>
    <w:rsid w:val="00B232E8"/>
    <w:rsid w:val="00B5155C"/>
    <w:rsid w:val="00C41FFB"/>
    <w:rsid w:val="00C82048"/>
    <w:rsid w:val="00C97DF7"/>
    <w:rsid w:val="00CE6C04"/>
    <w:rsid w:val="00D50171"/>
    <w:rsid w:val="00D5661E"/>
    <w:rsid w:val="00D60CA3"/>
    <w:rsid w:val="00DB286D"/>
    <w:rsid w:val="00DF3A98"/>
    <w:rsid w:val="00E01B1E"/>
    <w:rsid w:val="00E121FB"/>
    <w:rsid w:val="00E23E84"/>
    <w:rsid w:val="00E24DFF"/>
    <w:rsid w:val="00E26DA9"/>
    <w:rsid w:val="00E8532F"/>
    <w:rsid w:val="00EA61B0"/>
    <w:rsid w:val="00EF0238"/>
    <w:rsid w:val="00F9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ED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2EDF"/>
    <w:rPr>
      <w:b/>
      <w:bCs/>
    </w:rPr>
  </w:style>
  <w:style w:type="paragraph" w:styleId="Prrafodelista">
    <w:name w:val="List Paragraph"/>
    <w:basedOn w:val="Normal"/>
    <w:uiPriority w:val="34"/>
    <w:qFormat/>
    <w:rsid w:val="00142E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65A3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ED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2EDF"/>
    <w:rPr>
      <w:b/>
      <w:bCs/>
    </w:rPr>
  </w:style>
  <w:style w:type="paragraph" w:styleId="Prrafodelista">
    <w:name w:val="List Paragraph"/>
    <w:basedOn w:val="Normal"/>
    <w:uiPriority w:val="34"/>
    <w:qFormat/>
    <w:rsid w:val="00142E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65A3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01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2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43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4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1279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65</cp:revision>
  <cp:lastPrinted>2013-05-13T21:46:00Z</cp:lastPrinted>
  <dcterms:created xsi:type="dcterms:W3CDTF">2013-05-08T03:56:00Z</dcterms:created>
  <dcterms:modified xsi:type="dcterms:W3CDTF">2013-05-13T21:49:00Z</dcterms:modified>
</cp:coreProperties>
</file>