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F2" w:rsidRDefault="005324F2" w:rsidP="005324F2">
      <w:pPr>
        <w:jc w:val="center"/>
        <w:rPr>
          <w:sz w:val="30"/>
        </w:rPr>
      </w:pPr>
      <w:r w:rsidRPr="007A1A80">
        <w:rPr>
          <w:rFonts w:hint="eastAsia"/>
          <w:sz w:val="30"/>
        </w:rPr>
        <w:t>招商地产应用部署架构</w:t>
      </w:r>
      <w:r>
        <w:rPr>
          <w:rFonts w:hint="eastAsia"/>
          <w:sz w:val="30"/>
        </w:rPr>
        <w:t>文档</w:t>
      </w:r>
    </w:p>
    <w:tbl>
      <w:tblPr>
        <w:tblpPr w:leftFromText="180" w:rightFromText="180" w:vertAnchor="text" w:horzAnchor="page" w:tblpX="1875" w:tblpY="215"/>
        <w:tblOverlap w:val="never"/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708"/>
        <w:gridCol w:w="846"/>
        <w:gridCol w:w="1186"/>
        <w:gridCol w:w="4928"/>
      </w:tblGrid>
      <w:tr w:rsidR="005324F2" w:rsidTr="007B66C9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Zrz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合并文档</w:t>
            </w: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Zrz</w:t>
            </w:r>
            <w:proofErr w:type="spellEnd"/>
          </w:p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2016-7-12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版本1.1A，增加队列服务</w:t>
            </w:r>
          </w:p>
          <w:p w:rsidR="005324F2" w:rsidRDefault="005324F2" w:rsidP="007B66C9">
            <w:pPr>
              <w:pStyle w:val="-"/>
              <w:numPr>
                <w:ilvl w:val="0"/>
                <w:numId w:val="2"/>
              </w:numPr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  <w:tr w:rsidR="005324F2" w:rsidTr="007B66C9">
        <w:trPr>
          <w:trHeight w:val="29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-"/>
              <w:rPr>
                <w:rFonts w:ascii="宋体" w:hAnsi="宋体"/>
              </w:rPr>
            </w:pPr>
          </w:p>
        </w:tc>
      </w:tr>
    </w:tbl>
    <w:p w:rsidR="005324F2" w:rsidRDefault="005324F2" w:rsidP="005324F2">
      <w:pPr>
        <w:pStyle w:val="1"/>
      </w:pPr>
      <w:bookmarkStart w:id="0" w:name="_Toc191787755"/>
      <w:r>
        <w:rPr>
          <w:rFonts w:hint="eastAsia"/>
        </w:rPr>
        <w:t>引言</w:t>
      </w:r>
      <w:bookmarkEnd w:id="0"/>
    </w:p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1" w:name="_Toc191787756"/>
      <w:r>
        <w:rPr>
          <w:rFonts w:hint="eastAsia"/>
        </w:rPr>
        <w:t>目的</w:t>
      </w:r>
      <w:bookmarkEnd w:id="1"/>
      <w:r>
        <w:rPr>
          <w:rFonts w:hint="eastAsia"/>
        </w:rPr>
        <w:t>与范围</w:t>
      </w:r>
    </w:p>
    <w:p w:rsidR="005324F2" w:rsidRPr="00B50B50" w:rsidRDefault="005324F2" w:rsidP="005324F2">
      <w:r>
        <w:rPr>
          <w:rFonts w:hint="eastAsia"/>
        </w:rPr>
        <w:t>本文档旨在供招商地产增值税发票管理系统部署选型之用，可作为最终网络技术架构的参考。本文档集中论述应用层的高可用、高并发技术选型；数据层面只涉及除关系型数据库外的议题</w:t>
      </w:r>
      <w:r>
        <w:rPr>
          <w:rFonts w:hint="eastAsia"/>
        </w:rPr>
        <w:t>(</w:t>
      </w:r>
      <w:r>
        <w:rPr>
          <w:rFonts w:hint="eastAsia"/>
        </w:rPr>
        <w:t>如对象服务器、基于</w:t>
      </w:r>
      <w:r w:rsidRPr="00B50B50">
        <w:t>NoSQL</w:t>
      </w:r>
      <w:r>
        <w:rPr>
          <w:rFonts w:hint="eastAsia"/>
        </w:rPr>
        <w:t>数据库的消息队列实现</w:t>
      </w:r>
      <w:r>
        <w:rPr>
          <w:rFonts w:hint="eastAsia"/>
        </w:rPr>
        <w:t>)</w:t>
      </w:r>
      <w:r>
        <w:rPr>
          <w:rFonts w:hint="eastAsia"/>
        </w:rPr>
        <w:t>，涉及</w:t>
      </w:r>
      <w:r>
        <w:t>Oracle</w:t>
      </w:r>
      <w:r>
        <w:rPr>
          <w:rFonts w:hint="eastAsia"/>
        </w:rPr>
        <w:t>高可用的部署方案请参考数据库相关部署文档。</w:t>
      </w:r>
    </w:p>
    <w:p w:rsidR="005324F2" w:rsidRDefault="005324F2" w:rsidP="005324F2">
      <w:r>
        <w:t xml:space="preserve"> </w:t>
      </w:r>
    </w:p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2" w:name="_Toc191787758"/>
      <w:bookmarkStart w:id="3" w:name="_Toc163620410"/>
      <w:bookmarkStart w:id="4" w:name="_Toc137884323"/>
      <w:r>
        <w:rPr>
          <w:rFonts w:hint="eastAsia"/>
        </w:rPr>
        <w:t>定义、首字母缩写词和缩略语</w:t>
      </w:r>
      <w:bookmarkEnd w:id="2"/>
      <w:bookmarkEnd w:id="3"/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5900"/>
      </w:tblGrid>
      <w:tr w:rsidR="005324F2" w:rsidTr="007B66C9">
        <w:trPr>
          <w:trHeight w:val="457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定义、首字母缩写词和缩略语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F2" w:rsidRDefault="005324F2" w:rsidP="007B66C9">
            <w:r>
              <w:t>LVS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L</w:t>
            </w:r>
            <w:r>
              <w:t>INUX V</w:t>
            </w:r>
            <w:r>
              <w:rPr>
                <w:rFonts w:hint="eastAsia"/>
              </w:rPr>
              <w:t>irtual</w:t>
            </w:r>
            <w:r>
              <w:t xml:space="preserve"> S</w:t>
            </w:r>
            <w:r>
              <w:rPr>
                <w:rFonts w:hint="eastAsia"/>
              </w:rPr>
              <w:t>erver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N</w:t>
            </w:r>
            <w:r>
              <w:t>FS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t>Network File System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ascii="Arial" w:hAnsi="Arial" w:cs="Arial"/>
                <w:color w:val="333333"/>
              </w:rPr>
              <w:t xml:space="preserve"> 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ind w:firstLineChars="100" w:firstLine="180"/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pStyle w:val="a3"/>
              <w:rPr>
                <w:kern w:val="2"/>
                <w:sz w:val="18"/>
              </w:rPr>
            </w:pP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5" w:name="_Toc191787759"/>
      <w:r>
        <w:rPr>
          <w:rFonts w:hint="eastAsia"/>
        </w:rPr>
        <w:t>阅读对象</w:t>
      </w:r>
      <w:bookmarkEnd w:id="5"/>
      <w:r>
        <w:rPr>
          <w:rFonts w:hint="eastAsia"/>
        </w:rPr>
        <w:t xml:space="preserve">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5900"/>
      </w:tblGrid>
      <w:tr w:rsidR="005324F2" w:rsidTr="007B66C9">
        <w:trPr>
          <w:trHeight w:val="457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4F2" w:rsidRDefault="005324F2" w:rsidP="007B66C9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r>
              <w:rPr>
                <w:rFonts w:hint="eastAsia"/>
              </w:rPr>
              <w:t>发布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r>
              <w:rPr>
                <w:rFonts w:hint="eastAsia"/>
              </w:rPr>
              <w:t>测试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6" w:name="_Toc191787760"/>
      <w:r>
        <w:rPr>
          <w:rFonts w:hint="eastAsia"/>
        </w:rPr>
        <w:t>参考资料</w:t>
      </w:r>
      <w:bookmarkEnd w:id="6"/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898"/>
      </w:tblGrid>
      <w:tr w:rsidR="005324F2" w:rsidTr="007B66C9">
        <w:trPr>
          <w:trHeight w:val="3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Pr="00FD467D" w:rsidRDefault="005324F2" w:rsidP="007B66C9">
            <w:pPr>
              <w:rPr>
                <w:sz w:val="21"/>
                <w:szCs w:val="21"/>
              </w:rPr>
            </w:pPr>
            <w:r w:rsidRPr="00FD467D">
              <w:rPr>
                <w:rFonts w:hint="eastAsia"/>
                <w:szCs w:val="21"/>
              </w:rPr>
              <w:t>《招商地产增值税发票管理系统</w:t>
            </w:r>
            <w:r w:rsidRPr="00FD467D">
              <w:rPr>
                <w:szCs w:val="21"/>
              </w:rPr>
              <w:t>_</w:t>
            </w:r>
            <w:r w:rsidRPr="00FD467D">
              <w:rPr>
                <w:rFonts w:hint="eastAsia"/>
                <w:szCs w:val="21"/>
              </w:rPr>
              <w:t>需求规格说明书</w:t>
            </w:r>
            <w:r w:rsidRPr="00FD467D">
              <w:rPr>
                <w:szCs w:val="21"/>
              </w:rPr>
              <w:t xml:space="preserve"> </w:t>
            </w:r>
            <w:r w:rsidRPr="00FD467D">
              <w:rPr>
                <w:rFonts w:hint="eastAsia"/>
                <w:szCs w:val="21"/>
              </w:rPr>
              <w:t>》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4F2" w:rsidRDefault="005324F2" w:rsidP="007B66C9">
            <w:pPr>
              <w:ind w:firstLineChars="200" w:firstLine="360"/>
            </w:pPr>
            <w:r>
              <w:rPr>
                <w:rFonts w:ascii="Helvetica" w:hAnsi="Helvetica" w:cs="Helvetica" w:hint="eastAsia"/>
                <w:color w:val="333333"/>
                <w:szCs w:val="18"/>
              </w:rPr>
              <w:t xml:space="preserve"> </w:t>
            </w:r>
          </w:p>
        </w:tc>
      </w:tr>
      <w:tr w:rsidR="005324F2" w:rsidTr="007B66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>
            <w:pPr>
              <w:rPr>
                <w:color w:val="FF0000"/>
              </w:rPr>
            </w:pP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1"/>
          <w:numId w:val="3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425" w:rightChars="0" w:hanging="425"/>
        <w:jc w:val="left"/>
      </w:pPr>
      <w:bookmarkStart w:id="7" w:name="_Toc191787761"/>
      <w:r>
        <w:rPr>
          <w:rFonts w:hint="eastAsia"/>
        </w:rPr>
        <w:t>文档概述</w:t>
      </w:r>
      <w:bookmarkEnd w:id="7"/>
    </w:p>
    <w:p w:rsidR="005324F2" w:rsidRDefault="005324F2" w:rsidP="005324F2">
      <w:pPr>
        <w:pStyle w:val="1"/>
      </w:pPr>
      <w:bookmarkStart w:id="8" w:name="_Toc191787762"/>
      <w:r>
        <w:rPr>
          <w:rFonts w:hint="eastAsia"/>
        </w:rPr>
        <w:t>概述</w:t>
      </w:r>
      <w:bookmarkEnd w:id="8"/>
    </w:p>
    <w:p w:rsidR="005324F2" w:rsidRDefault="005324F2" w:rsidP="005324F2">
      <w:pPr>
        <w:pStyle w:val="2"/>
        <w:ind w:right="180"/>
      </w:pPr>
      <w:r>
        <w:rPr>
          <w:rFonts w:hint="eastAsia"/>
        </w:rPr>
        <w:t>服务端架构要件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负载均衡：采用的</w:t>
      </w:r>
      <w:r w:rsidRPr="00A45244">
        <w:t>LVS</w:t>
      </w:r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静态内容（图片）与动态内容服务器分离：采用的</w:t>
      </w:r>
      <w:proofErr w:type="spellStart"/>
      <w:r w:rsidRPr="00A45244">
        <w:t>nginx</w:t>
      </w:r>
      <w:proofErr w:type="spellEnd"/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缓存：采用的</w:t>
      </w:r>
      <w:proofErr w:type="spellStart"/>
      <w:r w:rsidRPr="00A45244">
        <w:t>memcached</w:t>
      </w:r>
      <w:proofErr w:type="spellEnd"/>
    </w:p>
    <w:p w:rsidR="005324F2" w:rsidRPr="00A45244" w:rsidRDefault="005324F2" w:rsidP="005324F2">
      <w:pPr>
        <w:numPr>
          <w:ilvl w:val="1"/>
          <w:numId w:val="4"/>
        </w:numPr>
      </w:pPr>
      <w:r w:rsidRPr="00A45244">
        <w:tab/>
      </w:r>
      <w:r w:rsidRPr="00A45244">
        <w:t>数据队列：采用的</w:t>
      </w:r>
      <w:proofErr w:type="spellStart"/>
      <w:r w:rsidRPr="00A45244">
        <w:t>redis</w:t>
      </w:r>
      <w:proofErr w:type="spellEnd"/>
    </w:p>
    <w:p w:rsidR="005324F2" w:rsidRPr="00A45244" w:rsidRDefault="005324F2" w:rsidP="005324F2">
      <w:pPr>
        <w:ind w:left="1440"/>
      </w:pPr>
    </w:p>
    <w:p w:rsidR="005324F2" w:rsidRDefault="005324F2" w:rsidP="005324F2">
      <w:pPr>
        <w:adjustRightInd w:val="0"/>
        <w:ind w:left="792"/>
        <w:rPr>
          <w:strike/>
        </w:rPr>
      </w:pPr>
    </w:p>
    <w:p w:rsidR="005324F2" w:rsidRDefault="005324F2" w:rsidP="005324F2">
      <w:pPr>
        <w:pStyle w:val="1"/>
      </w:pPr>
      <w:bookmarkStart w:id="9" w:name="_Toc191787763"/>
      <w:r>
        <w:rPr>
          <w:rFonts w:hint="eastAsia"/>
        </w:rPr>
        <w:t>约束</w:t>
      </w:r>
      <w:bookmarkEnd w:id="9"/>
    </w:p>
    <w:p w:rsidR="005324F2" w:rsidRDefault="005324F2" w:rsidP="005324F2"/>
    <w:p w:rsidR="005324F2" w:rsidRPr="00073E43" w:rsidRDefault="005324F2" w:rsidP="005324F2"/>
    <w:p w:rsidR="005324F2" w:rsidRDefault="005324F2" w:rsidP="005324F2">
      <w:pPr>
        <w:pStyle w:val="2"/>
        <w:keepLines w:val="0"/>
        <w:widowControl w:val="0"/>
        <w:numPr>
          <w:ilvl w:val="0"/>
          <w:numId w:val="0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575" w:rightChars="0" w:hanging="575"/>
        <w:jc w:val="left"/>
      </w:pPr>
      <w:bookmarkStart w:id="10" w:name="_Toc191787764"/>
      <w:r>
        <w:rPr>
          <w:rFonts w:hint="eastAsia"/>
          <w:highlight w:val="lightGray"/>
        </w:rPr>
        <w:t>3.1</w:t>
      </w:r>
      <w:r>
        <w:rPr>
          <w:rFonts w:hint="eastAsia"/>
        </w:rPr>
        <w:t>功能约束</w:t>
      </w:r>
      <w:bookmarkEnd w:id="10"/>
    </w:p>
    <w:tbl>
      <w:tblPr>
        <w:tblW w:w="9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457"/>
      </w:tblGrid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pPr>
              <w:rPr>
                <w:i/>
                <w:color w:val="FF0000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>
            <w:pPr>
              <w:rPr>
                <w:color w:val="FF0000"/>
              </w:rPr>
            </w:pP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2"/>
        <w:keepLines w:val="0"/>
        <w:widowControl w:val="0"/>
        <w:numPr>
          <w:ilvl w:val="0"/>
          <w:numId w:val="0"/>
        </w:numPr>
        <w:tabs>
          <w:tab w:val="clear" w:pos="210"/>
          <w:tab w:val="left" w:pos="425"/>
          <w:tab w:val="left" w:pos="575"/>
        </w:tabs>
        <w:spacing w:before="120" w:after="60" w:line="240" w:lineRule="atLeast"/>
        <w:ind w:left="575" w:rightChars="0" w:hanging="575"/>
        <w:jc w:val="left"/>
      </w:pPr>
      <w:bookmarkStart w:id="11" w:name="_Toc191787765"/>
      <w:r>
        <w:rPr>
          <w:rFonts w:hint="eastAsia"/>
        </w:rPr>
        <w:t>3.2非功能约束</w:t>
      </w:r>
      <w:bookmarkEnd w:id="11"/>
    </w:p>
    <w:tbl>
      <w:tblPr>
        <w:tblW w:w="9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457"/>
      </w:tblGrid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性能约束</w:t>
            </w: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>系统中使用的频度很高的数据需要有缓存机制，以增加页面的响应速度</w:t>
            </w:r>
          </w:p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  <w:tr w:rsidR="005324F2" w:rsidTr="007B66C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</w:pPr>
          </w:p>
          <w:p w:rsidR="005324F2" w:rsidRDefault="005324F2" w:rsidP="007B66C9">
            <w:pPr>
              <w:jc w:val="center"/>
            </w:pPr>
          </w:p>
        </w:tc>
        <w:tc>
          <w:tcPr>
            <w:tcW w:w="745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1"/>
      </w:pPr>
      <w:bookmarkStart w:id="12" w:name="_Toc191787766"/>
      <w:r>
        <w:rPr>
          <w:rFonts w:hint="eastAsia"/>
        </w:rPr>
        <w:t>系统高并发高可用技术架构策略</w:t>
      </w:r>
      <w:bookmarkEnd w:id="1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7800"/>
      </w:tblGrid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略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描</w:t>
            </w:r>
            <w:proofErr w:type="gramEnd"/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述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弹性扩容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r>
              <w:t>LVS</w:t>
            </w:r>
            <w:r>
              <w:rPr>
                <w:rFonts w:hint="eastAsia"/>
              </w:rPr>
              <w:t>的负载均衡支持灵活的横向扩展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高可用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负载均衡采用主从集群模式，其间开启心跳监测，一台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机，另一台在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秒内接管负载均衡作业。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高并发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的消息队列在应对高并发场景时具有很好的削峰作用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324F2" w:rsidRDefault="005324F2" w:rsidP="007B66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24F2" w:rsidRDefault="005324F2" w:rsidP="007B66C9">
            <w:r>
              <w:rPr>
                <w:rFonts w:hint="eastAsia"/>
              </w:rPr>
              <w:t xml:space="preserve"> </w:t>
            </w:r>
          </w:p>
        </w:tc>
      </w:tr>
      <w:tr w:rsidR="005324F2" w:rsidTr="007B66C9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24F2" w:rsidRDefault="005324F2" w:rsidP="007B66C9">
            <w:pPr>
              <w:jc w:val="center"/>
              <w:rPr>
                <w:b/>
              </w:rPr>
            </w:pPr>
          </w:p>
          <w:p w:rsidR="005324F2" w:rsidRDefault="005324F2" w:rsidP="007B66C9">
            <w:pPr>
              <w:jc w:val="center"/>
              <w:rPr>
                <w:b/>
              </w:rPr>
            </w:pPr>
          </w:p>
        </w:tc>
        <w:tc>
          <w:tcPr>
            <w:tcW w:w="7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24F2" w:rsidRDefault="005324F2" w:rsidP="007B66C9"/>
        </w:tc>
      </w:tr>
    </w:tbl>
    <w:p w:rsidR="005324F2" w:rsidRDefault="005324F2" w:rsidP="005324F2">
      <w:pPr>
        <w:pStyle w:val="1"/>
      </w:pPr>
      <w:bookmarkStart w:id="13" w:name="_Toc191787767"/>
      <w:r>
        <w:rPr>
          <w:rFonts w:hint="eastAsia"/>
        </w:rPr>
        <w:lastRenderedPageBreak/>
        <w:t>总体</w:t>
      </w:r>
      <w:bookmarkEnd w:id="13"/>
      <w:r>
        <w:rPr>
          <w:rFonts w:hint="eastAsia"/>
        </w:rPr>
        <w:t>设计</w:t>
      </w:r>
    </w:p>
    <w:p w:rsidR="005324F2" w:rsidRDefault="005324F2" w:rsidP="005324F2">
      <w:r>
        <w:rPr>
          <w:rFonts w:hint="eastAsia"/>
        </w:rPr>
        <w:t xml:space="preserve"> </w:t>
      </w:r>
      <w:r w:rsidRPr="006200A0">
        <w:rPr>
          <w:noProof/>
        </w:rPr>
        <w:drawing>
          <wp:inline distT="0" distB="0" distL="0" distR="0" wp14:anchorId="40E9DCB1" wp14:editId="66C44FE2">
            <wp:extent cx="5274310" cy="3691438"/>
            <wp:effectExtent l="0" t="0" r="2540" b="4445"/>
            <wp:docPr id="3" name="图片 3" descr="C:\T2_16\Ac\DocConfig\ModelingProject\ModelingProject\DOC\招商地产应用部署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2_16\Ac\DocConfig\ModelingProject\ModelingProject\DOC\招商地产应用部署架构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F2" w:rsidRDefault="005324F2" w:rsidP="005324F2">
      <w:r>
        <w:t xml:space="preserve"> </w:t>
      </w:r>
    </w:p>
    <w:p w:rsidR="005324F2" w:rsidRPr="002668DF" w:rsidRDefault="005324F2" w:rsidP="005324F2">
      <w:bookmarkStart w:id="14" w:name="_逻辑分层"/>
      <w:bookmarkEnd w:id="14"/>
      <w:r>
        <w:rPr>
          <w:rFonts w:hint="eastAsia"/>
        </w:rPr>
        <w:t xml:space="preserve"> </w:t>
      </w:r>
    </w:p>
    <w:p w:rsidR="005324F2" w:rsidRDefault="005324F2" w:rsidP="005324F2">
      <w:bookmarkStart w:id="15" w:name="_GoBack"/>
      <w:bookmarkEnd w:id="15"/>
    </w:p>
    <w:p w:rsidR="008433EA" w:rsidRDefault="008433EA"/>
    <w:sectPr w:rsidR="00843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2013"/>
      <w:numFmt w:val="bullet"/>
      <w:lvlText w:val="-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</w:lvl>
  </w:abstractNum>
  <w:abstractNum w:abstractNumId="2" w15:restartNumberingAfterBreak="0">
    <w:nsid w:val="00000082"/>
    <w:multiLevelType w:val="multilevel"/>
    <w:tmpl w:val="000000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C325B09"/>
    <w:multiLevelType w:val="hybridMultilevel"/>
    <w:tmpl w:val="8004923C"/>
    <w:lvl w:ilvl="0" w:tplc="A198BD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22FCE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1F415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4AEF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3087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DC35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1A62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018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522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A8"/>
    <w:rsid w:val="005324F2"/>
    <w:rsid w:val="006D4630"/>
    <w:rsid w:val="008433EA"/>
    <w:rsid w:val="00917582"/>
    <w:rsid w:val="00922FFC"/>
    <w:rsid w:val="00A321F7"/>
    <w:rsid w:val="00B761A8"/>
    <w:rsid w:val="00DE1362"/>
    <w:rsid w:val="00F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5BDD"/>
  <w15:chartTrackingRefBased/>
  <w15:docId w15:val="{2324CAB5-4D7F-427F-8D6F-65144C62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24F2"/>
    <w:pPr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0"/>
    <w:qFormat/>
    <w:rsid w:val="005324F2"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5324F2"/>
    <w:pPr>
      <w:keepNext/>
      <w:keepLines/>
      <w:numPr>
        <w:ilvl w:val="1"/>
        <w:numId w:val="1"/>
      </w:numPr>
      <w:tabs>
        <w:tab w:val="left" w:pos="210"/>
      </w:tabs>
      <w:spacing w:before="140" w:after="140"/>
      <w:ind w:left="1150" w:rightChars="100" w:right="100"/>
      <w:outlineLvl w:val="1"/>
    </w:pPr>
    <w:rPr>
      <w:rFonts w:ascii="宋体" w:hAnsi="宋体"/>
      <w:b/>
      <w:sz w:val="21"/>
    </w:rPr>
  </w:style>
  <w:style w:type="paragraph" w:styleId="3">
    <w:name w:val="heading 3"/>
    <w:basedOn w:val="a"/>
    <w:next w:val="a"/>
    <w:link w:val="30"/>
    <w:semiHidden/>
    <w:unhideWhenUsed/>
    <w:qFormat/>
    <w:rsid w:val="005324F2"/>
    <w:pPr>
      <w:keepNext/>
      <w:keepLines/>
      <w:numPr>
        <w:ilvl w:val="2"/>
        <w:numId w:val="1"/>
      </w:numPr>
      <w:tabs>
        <w:tab w:val="left" w:pos="210"/>
      </w:tabs>
      <w:spacing w:before="20" w:after="20"/>
      <w:ind w:left="1440" w:rightChars="100" w:right="100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5324F2"/>
    <w:pPr>
      <w:keepNext/>
      <w:keepLines/>
      <w:numPr>
        <w:ilvl w:val="3"/>
        <w:numId w:val="1"/>
      </w:numPr>
      <w:tabs>
        <w:tab w:val="left" w:pos="864"/>
      </w:tabs>
      <w:spacing w:before="40" w:after="50" w:line="360" w:lineRule="auto"/>
      <w:ind w:leftChars="100" w:left="1044" w:rightChars="100" w:right="100"/>
      <w:outlineLvl w:val="3"/>
    </w:pPr>
    <w:rPr>
      <w:rFonts w:ascii="Arial" w:eastAsia="新宋体" w:hAnsi="Arial"/>
      <w:b/>
    </w:rPr>
  </w:style>
  <w:style w:type="paragraph" w:styleId="5">
    <w:name w:val="heading 5"/>
    <w:basedOn w:val="a"/>
    <w:next w:val="a"/>
    <w:link w:val="50"/>
    <w:semiHidden/>
    <w:unhideWhenUsed/>
    <w:qFormat/>
    <w:rsid w:val="005324F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5324F2"/>
    <w:pPr>
      <w:keepNext/>
      <w:keepLines/>
      <w:numPr>
        <w:ilvl w:val="5"/>
        <w:numId w:val="1"/>
      </w:numPr>
      <w:tabs>
        <w:tab w:val="left" w:pos="1151"/>
      </w:tabs>
      <w:spacing w:before="240" w:after="64"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5324F2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5324F2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5324F2"/>
    <w:pPr>
      <w:keepNext/>
      <w:keepLines/>
      <w:numPr>
        <w:ilvl w:val="8"/>
        <w:numId w:val="1"/>
      </w:numPr>
      <w:tabs>
        <w:tab w:val="left" w:pos="1583"/>
      </w:tabs>
      <w:spacing w:before="240" w:after="64" w:line="316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324F2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semiHidden/>
    <w:rsid w:val="005324F2"/>
    <w:rPr>
      <w:rFonts w:ascii="宋体" w:eastAsia="宋体" w:hAnsi="宋体" w:cs="Times New Roman"/>
      <w:b/>
      <w:szCs w:val="20"/>
    </w:rPr>
  </w:style>
  <w:style w:type="character" w:customStyle="1" w:styleId="30">
    <w:name w:val="标题 3 字符"/>
    <w:basedOn w:val="a0"/>
    <w:link w:val="3"/>
    <w:semiHidden/>
    <w:rsid w:val="005324F2"/>
    <w:rPr>
      <w:rFonts w:ascii="Times New Roman" w:eastAsia="宋体" w:hAnsi="Times New Roman" w:cs="Times New Roman"/>
      <w:b/>
      <w:sz w:val="18"/>
      <w:szCs w:val="20"/>
    </w:rPr>
  </w:style>
  <w:style w:type="character" w:customStyle="1" w:styleId="40">
    <w:name w:val="标题 4 字符"/>
    <w:basedOn w:val="a0"/>
    <w:link w:val="4"/>
    <w:semiHidden/>
    <w:rsid w:val="005324F2"/>
    <w:rPr>
      <w:rFonts w:ascii="Arial" w:eastAsia="新宋体" w:hAnsi="Arial" w:cs="Times New Roman"/>
      <w:b/>
      <w:sz w:val="18"/>
      <w:szCs w:val="20"/>
    </w:rPr>
  </w:style>
  <w:style w:type="character" w:customStyle="1" w:styleId="50">
    <w:name w:val="标题 5 字符"/>
    <w:basedOn w:val="a0"/>
    <w:link w:val="5"/>
    <w:semiHidden/>
    <w:rsid w:val="005324F2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0"/>
    <w:link w:val="6"/>
    <w:semiHidden/>
    <w:rsid w:val="005324F2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0"/>
    <w:link w:val="7"/>
    <w:semiHidden/>
    <w:rsid w:val="005324F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0"/>
    <w:link w:val="8"/>
    <w:semiHidden/>
    <w:rsid w:val="005324F2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semiHidden/>
    <w:rsid w:val="005324F2"/>
    <w:rPr>
      <w:rFonts w:ascii="Arial" w:eastAsia="黑体" w:hAnsi="Arial" w:cs="Times New Roman"/>
      <w:szCs w:val="20"/>
    </w:rPr>
  </w:style>
  <w:style w:type="paragraph" w:customStyle="1" w:styleId="a3">
    <w:name w:val="样式 居中"/>
    <w:basedOn w:val="a"/>
    <w:rsid w:val="005324F2"/>
    <w:pPr>
      <w:widowControl w:val="0"/>
      <w:snapToGrid w:val="0"/>
      <w:spacing w:line="240" w:lineRule="atLeast"/>
      <w:jc w:val="center"/>
    </w:pPr>
    <w:rPr>
      <w:rFonts w:ascii="宋体"/>
      <w:kern w:val="0"/>
      <w:sz w:val="21"/>
    </w:rPr>
  </w:style>
  <w:style w:type="paragraph" w:customStyle="1" w:styleId="-">
    <w:name w:val="正文-表格"/>
    <w:basedOn w:val="a"/>
    <w:rsid w:val="0053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3</cp:revision>
  <dcterms:created xsi:type="dcterms:W3CDTF">2016-07-12T09:32:00Z</dcterms:created>
  <dcterms:modified xsi:type="dcterms:W3CDTF">2016-07-12T09:40:00Z</dcterms:modified>
</cp:coreProperties>
</file>