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FBB007" w14:textId="77777777" w:rsidR="00BC3B64" w:rsidRPr="00A67B2B" w:rsidRDefault="00BC3B64" w:rsidP="00A67B2B">
      <w:pPr>
        <w:ind w:left="-450" w:right="274"/>
        <w:rPr>
          <w:rFonts w:ascii="Arial" w:hAnsi="Arial" w:cs="Arial"/>
          <w:sz w:val="20"/>
          <w:szCs w:val="20"/>
        </w:rPr>
      </w:pPr>
      <w:r w:rsidRPr="00A67B2B">
        <w:rPr>
          <w:rFonts w:ascii="Arial" w:hAnsi="Arial" w:cs="Arial"/>
          <w:sz w:val="20"/>
          <w:szCs w:val="20"/>
        </w:rPr>
        <w:t>Please use this form to provide comments on the Notice of Proposed Amendments for the</w:t>
      </w:r>
      <w:r w:rsidR="000C12B2" w:rsidRPr="00A67B2B">
        <w:rPr>
          <w:rFonts w:ascii="Arial" w:hAnsi="Arial" w:cs="Arial"/>
          <w:sz w:val="20"/>
          <w:szCs w:val="20"/>
        </w:rPr>
        <w:t xml:space="preserve"> MUTCD</w:t>
      </w:r>
      <w:r w:rsidR="00986E47" w:rsidRPr="00A67B2B">
        <w:rPr>
          <w:rFonts w:ascii="Arial" w:hAnsi="Arial" w:cs="Arial"/>
          <w:sz w:val="20"/>
          <w:szCs w:val="20"/>
        </w:rPr>
        <w:t>.</w:t>
      </w:r>
      <w:r w:rsidR="00142413">
        <w:rPr>
          <w:rFonts w:ascii="Arial" w:hAnsi="Arial" w:cs="Arial"/>
          <w:sz w:val="20"/>
          <w:szCs w:val="20"/>
        </w:rPr>
        <w:t xml:space="preserve">  </w:t>
      </w:r>
    </w:p>
    <w:p w14:paraId="619CD867" w14:textId="77777777" w:rsidR="000B28D3" w:rsidRPr="00A67B2B" w:rsidRDefault="000B28D3" w:rsidP="00A67B2B">
      <w:pPr>
        <w:spacing w:after="0"/>
        <w:ind w:left="-450" w:right="270"/>
        <w:rPr>
          <w:rFonts w:ascii="Arial" w:hAnsi="Arial" w:cs="Arial"/>
          <w:b/>
          <w:bCs/>
          <w:sz w:val="20"/>
          <w:szCs w:val="20"/>
          <w:u w:val="single"/>
        </w:rPr>
      </w:pPr>
      <w:r w:rsidRPr="00A67B2B">
        <w:rPr>
          <w:rFonts w:ascii="Arial" w:hAnsi="Arial" w:cs="Arial"/>
          <w:b/>
          <w:bCs/>
          <w:sz w:val="20"/>
          <w:szCs w:val="20"/>
          <w:u w:val="single"/>
        </w:rPr>
        <w:t>INSTRUCTIONS</w:t>
      </w:r>
      <w:r w:rsidR="006E6A82" w:rsidRPr="00A67B2B">
        <w:rPr>
          <w:rFonts w:ascii="Arial" w:hAnsi="Arial" w:cs="Arial"/>
          <w:b/>
          <w:bCs/>
          <w:sz w:val="20"/>
          <w:szCs w:val="20"/>
        </w:rPr>
        <w:t>:</w:t>
      </w:r>
    </w:p>
    <w:p w14:paraId="5926DBC8" w14:textId="77777777" w:rsidR="00692B40" w:rsidRPr="006957FF" w:rsidRDefault="00692B40" w:rsidP="00A67B2B">
      <w:pPr>
        <w:pStyle w:val="ListParagraph"/>
        <w:numPr>
          <w:ilvl w:val="0"/>
          <w:numId w:val="1"/>
        </w:numPr>
        <w:spacing w:before="40" w:after="40" w:line="240" w:lineRule="auto"/>
        <w:ind w:left="86" w:right="274"/>
        <w:contextualSpacing w:val="0"/>
        <w:rPr>
          <w:rFonts w:ascii="Arial" w:hAnsi="Arial" w:cs="Arial"/>
          <w:sz w:val="20"/>
          <w:szCs w:val="20"/>
        </w:rPr>
      </w:pPr>
      <w:r w:rsidRPr="00DF130A">
        <w:rPr>
          <w:rFonts w:ascii="Arial" w:hAnsi="Arial" w:cs="Arial"/>
          <w:sz w:val="20"/>
          <w:szCs w:val="20"/>
        </w:rPr>
        <w:t>Add your name or organization name where indicted in the footer of this form.</w:t>
      </w:r>
    </w:p>
    <w:p w14:paraId="42CA64DE" w14:textId="77777777" w:rsidR="00006579" w:rsidRPr="00A67B2B" w:rsidRDefault="006E6A82"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U</w:t>
      </w:r>
      <w:r w:rsidR="00006579" w:rsidRPr="00A67B2B">
        <w:rPr>
          <w:rFonts w:ascii="Arial" w:hAnsi="Arial" w:cs="Arial"/>
          <w:sz w:val="20"/>
          <w:szCs w:val="20"/>
        </w:rPr>
        <w:t>se Table 1</w:t>
      </w:r>
      <w:r w:rsidR="00CE0F95" w:rsidRPr="00A67B2B">
        <w:rPr>
          <w:rFonts w:ascii="Arial" w:hAnsi="Arial" w:cs="Arial"/>
          <w:sz w:val="20"/>
          <w:szCs w:val="20"/>
        </w:rPr>
        <w:t xml:space="preserve"> </w:t>
      </w:r>
      <w:r>
        <w:rPr>
          <w:rFonts w:ascii="Arial" w:hAnsi="Arial" w:cs="Arial"/>
          <w:sz w:val="20"/>
          <w:szCs w:val="20"/>
        </w:rPr>
        <w:t xml:space="preserve">to provide </w:t>
      </w:r>
      <w:r w:rsidR="00417593">
        <w:rPr>
          <w:rFonts w:ascii="Arial" w:hAnsi="Arial" w:cs="Arial"/>
          <w:sz w:val="20"/>
          <w:szCs w:val="20"/>
        </w:rPr>
        <w:t xml:space="preserve">your </w:t>
      </w:r>
      <w:r w:rsidR="00C1721D">
        <w:rPr>
          <w:rFonts w:ascii="Arial" w:hAnsi="Arial" w:cs="Arial"/>
          <w:sz w:val="20"/>
          <w:szCs w:val="20"/>
        </w:rPr>
        <w:t>original</w:t>
      </w:r>
      <w:r>
        <w:rPr>
          <w:rFonts w:ascii="Arial" w:hAnsi="Arial" w:cs="Arial"/>
          <w:sz w:val="20"/>
          <w:szCs w:val="20"/>
        </w:rPr>
        <w:t xml:space="preserve"> comments</w:t>
      </w:r>
      <w:r w:rsidR="00006579" w:rsidRPr="00A67B2B">
        <w:rPr>
          <w:rFonts w:ascii="Arial" w:hAnsi="Arial" w:cs="Arial"/>
          <w:sz w:val="20"/>
          <w:szCs w:val="20"/>
        </w:rPr>
        <w:t>.</w:t>
      </w:r>
    </w:p>
    <w:p w14:paraId="698C70FD" w14:textId="77777777" w:rsidR="00006579" w:rsidRPr="00A67B2B" w:rsidRDefault="006E6A82"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 xml:space="preserve">Use </w:t>
      </w:r>
      <w:r w:rsidR="00006579" w:rsidRPr="00A67B2B">
        <w:rPr>
          <w:rFonts w:ascii="Arial" w:hAnsi="Arial" w:cs="Arial"/>
          <w:sz w:val="20"/>
          <w:szCs w:val="20"/>
        </w:rPr>
        <w:t>Table 2</w:t>
      </w:r>
      <w:r w:rsidR="00CE0F95" w:rsidRPr="00A67B2B">
        <w:rPr>
          <w:rFonts w:ascii="Arial" w:hAnsi="Arial" w:cs="Arial"/>
          <w:sz w:val="20"/>
          <w:szCs w:val="20"/>
        </w:rPr>
        <w:t xml:space="preserve"> </w:t>
      </w:r>
      <w:r>
        <w:rPr>
          <w:rFonts w:ascii="Arial" w:hAnsi="Arial" w:cs="Arial"/>
          <w:sz w:val="20"/>
          <w:szCs w:val="20"/>
        </w:rPr>
        <w:t xml:space="preserve">to indicate your agreement with a comment </w:t>
      </w:r>
      <w:r w:rsidR="00417593">
        <w:rPr>
          <w:rFonts w:ascii="Arial" w:hAnsi="Arial" w:cs="Arial"/>
          <w:sz w:val="20"/>
          <w:szCs w:val="20"/>
        </w:rPr>
        <w:t>that another commenter has</w:t>
      </w:r>
      <w:r>
        <w:rPr>
          <w:rFonts w:ascii="Arial" w:hAnsi="Arial" w:cs="Arial"/>
          <w:sz w:val="20"/>
          <w:szCs w:val="20"/>
        </w:rPr>
        <w:t xml:space="preserve"> </w:t>
      </w:r>
      <w:r w:rsidR="003C79CF">
        <w:rPr>
          <w:rFonts w:ascii="Arial" w:hAnsi="Arial" w:cs="Arial"/>
          <w:sz w:val="20"/>
          <w:szCs w:val="20"/>
        </w:rPr>
        <w:t>submitted to</w:t>
      </w:r>
      <w:r>
        <w:rPr>
          <w:rFonts w:ascii="Arial" w:hAnsi="Arial" w:cs="Arial"/>
          <w:sz w:val="20"/>
          <w:szCs w:val="20"/>
        </w:rPr>
        <w:t xml:space="preserve"> the docket. </w:t>
      </w:r>
    </w:p>
    <w:p w14:paraId="4BD779AB" w14:textId="77777777" w:rsidR="000B28D3" w:rsidRPr="00A67B2B" w:rsidRDefault="00D66D26"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Do not</w:t>
      </w:r>
      <w:r w:rsidR="000B28D3" w:rsidRPr="00A67B2B">
        <w:rPr>
          <w:rFonts w:ascii="Arial" w:hAnsi="Arial" w:cs="Arial"/>
          <w:sz w:val="20"/>
          <w:szCs w:val="20"/>
        </w:rPr>
        <w:t xml:space="preserve"> adjust </w:t>
      </w:r>
      <w:r w:rsidR="00D543C1" w:rsidRPr="00A67B2B">
        <w:rPr>
          <w:rFonts w:ascii="Arial" w:hAnsi="Arial" w:cs="Arial"/>
          <w:sz w:val="20"/>
          <w:szCs w:val="20"/>
        </w:rPr>
        <w:t>formatting of the rows and columns</w:t>
      </w:r>
      <w:r w:rsidR="000B28D3" w:rsidRPr="00A67B2B">
        <w:rPr>
          <w:rFonts w:ascii="Arial" w:hAnsi="Arial" w:cs="Arial"/>
          <w:sz w:val="20"/>
          <w:szCs w:val="20"/>
        </w:rPr>
        <w:t>; text will automatically wrap and expand the row height as you type.</w:t>
      </w:r>
      <w:r w:rsidR="00295CAE" w:rsidRPr="00A67B2B">
        <w:rPr>
          <w:rFonts w:ascii="Arial" w:hAnsi="Arial" w:cs="Arial"/>
          <w:sz w:val="20"/>
          <w:szCs w:val="20"/>
        </w:rPr>
        <w:t xml:space="preserve">  </w:t>
      </w:r>
    </w:p>
    <w:p w14:paraId="24637435" w14:textId="77777777" w:rsidR="000B28D3" w:rsidRPr="00A67B2B" w:rsidRDefault="00D66D26" w:rsidP="00A67B2B">
      <w:pPr>
        <w:pStyle w:val="ListParagraph"/>
        <w:numPr>
          <w:ilvl w:val="0"/>
          <w:numId w:val="1"/>
        </w:numPr>
        <w:spacing w:after="40" w:line="240" w:lineRule="auto"/>
        <w:ind w:left="86" w:right="270"/>
        <w:contextualSpacing w:val="0"/>
        <w:rPr>
          <w:rFonts w:ascii="Arial" w:hAnsi="Arial" w:cs="Arial"/>
          <w:sz w:val="20"/>
          <w:szCs w:val="20"/>
        </w:rPr>
      </w:pPr>
      <w:r>
        <w:rPr>
          <w:rFonts w:ascii="Arial" w:hAnsi="Arial" w:cs="Arial"/>
          <w:sz w:val="20"/>
          <w:szCs w:val="20"/>
        </w:rPr>
        <w:t>To</w:t>
      </w:r>
      <w:r w:rsidR="000B28D3" w:rsidRPr="00A67B2B">
        <w:rPr>
          <w:rFonts w:ascii="Arial" w:hAnsi="Arial" w:cs="Arial"/>
          <w:sz w:val="20"/>
          <w:szCs w:val="20"/>
        </w:rPr>
        <w:t xml:space="preserve"> add rows to this form</w:t>
      </w:r>
      <w:r w:rsidR="00DF130A">
        <w:rPr>
          <w:rFonts w:ascii="Arial" w:hAnsi="Arial" w:cs="Arial"/>
          <w:sz w:val="20"/>
          <w:szCs w:val="20"/>
        </w:rPr>
        <w:t>,</w:t>
      </w:r>
      <w:r w:rsidR="000B28D3" w:rsidRPr="00A67B2B">
        <w:rPr>
          <w:rFonts w:ascii="Arial" w:hAnsi="Arial" w:cs="Arial"/>
          <w:sz w:val="20"/>
          <w:szCs w:val="20"/>
        </w:rPr>
        <w:t xml:space="preserve"> </w:t>
      </w:r>
      <w:r>
        <w:rPr>
          <w:rFonts w:ascii="Arial" w:hAnsi="Arial" w:cs="Arial"/>
          <w:sz w:val="20"/>
          <w:szCs w:val="20"/>
        </w:rPr>
        <w:t xml:space="preserve">use </w:t>
      </w:r>
      <w:r w:rsidR="000B28D3" w:rsidRPr="00A67B2B">
        <w:rPr>
          <w:rFonts w:ascii="Arial" w:hAnsi="Arial" w:cs="Arial"/>
          <w:sz w:val="20"/>
          <w:szCs w:val="20"/>
        </w:rPr>
        <w:t>the “Insert Rows” function</w:t>
      </w:r>
      <w:r w:rsidR="001C7E04">
        <w:rPr>
          <w:rFonts w:ascii="Arial" w:hAnsi="Arial" w:cs="Arial"/>
          <w:sz w:val="20"/>
          <w:szCs w:val="20"/>
        </w:rPr>
        <w:t>, or hover</w:t>
      </w:r>
      <w:r>
        <w:rPr>
          <w:rFonts w:ascii="Arial" w:hAnsi="Arial" w:cs="Arial"/>
          <w:sz w:val="20"/>
          <w:szCs w:val="20"/>
        </w:rPr>
        <w:t xml:space="preserve"> </w:t>
      </w:r>
      <w:r w:rsidR="00DA7226">
        <w:rPr>
          <w:rFonts w:ascii="Arial" w:hAnsi="Arial" w:cs="Arial"/>
          <w:sz w:val="20"/>
          <w:szCs w:val="20"/>
        </w:rPr>
        <w:t>just outside</w:t>
      </w:r>
      <w:r w:rsidR="001C7E04">
        <w:rPr>
          <w:rFonts w:ascii="Arial" w:hAnsi="Arial" w:cs="Arial"/>
          <w:sz w:val="20"/>
          <w:szCs w:val="20"/>
        </w:rPr>
        <w:t xml:space="preserve"> the left edge of the </w:t>
      </w:r>
      <w:r w:rsidR="00F926DD">
        <w:rPr>
          <w:rFonts w:ascii="Arial" w:hAnsi="Arial" w:cs="Arial"/>
          <w:sz w:val="20"/>
          <w:szCs w:val="20"/>
        </w:rPr>
        <w:t xml:space="preserve">row </w:t>
      </w:r>
      <w:r w:rsidR="00D015E1">
        <w:rPr>
          <w:rFonts w:ascii="Arial" w:hAnsi="Arial" w:cs="Arial"/>
          <w:sz w:val="20"/>
          <w:szCs w:val="20"/>
        </w:rPr>
        <w:t>below</w:t>
      </w:r>
      <w:r w:rsidR="00F926DD">
        <w:rPr>
          <w:rFonts w:ascii="Arial" w:hAnsi="Arial" w:cs="Arial"/>
          <w:sz w:val="20"/>
          <w:szCs w:val="20"/>
        </w:rPr>
        <w:t xml:space="preserve"> which you would like to add a row</w:t>
      </w:r>
      <w:r w:rsidR="001C7E04">
        <w:rPr>
          <w:rFonts w:ascii="Arial" w:hAnsi="Arial" w:cs="Arial"/>
          <w:sz w:val="20"/>
          <w:szCs w:val="20"/>
        </w:rPr>
        <w:t xml:space="preserve"> and click the</w:t>
      </w:r>
      <w:r w:rsidR="00927EB7">
        <w:rPr>
          <w:rFonts w:ascii="Arial" w:hAnsi="Arial" w:cs="Arial"/>
          <w:sz w:val="20"/>
          <w:szCs w:val="20"/>
        </w:rPr>
        <w:t xml:space="preserve"> encircled</w:t>
      </w:r>
      <w:r w:rsidR="001C7E04">
        <w:rPr>
          <w:rFonts w:ascii="Arial" w:hAnsi="Arial" w:cs="Arial"/>
          <w:sz w:val="20"/>
          <w:szCs w:val="20"/>
        </w:rPr>
        <w:t xml:space="preserve"> “+” that appears</w:t>
      </w:r>
      <w:r w:rsidR="000B28D3" w:rsidRPr="00A67B2B">
        <w:rPr>
          <w:rFonts w:ascii="Arial" w:hAnsi="Arial" w:cs="Arial"/>
          <w:sz w:val="20"/>
          <w:szCs w:val="20"/>
        </w:rPr>
        <w:t xml:space="preserve">.  </w:t>
      </w:r>
    </w:p>
    <w:p w14:paraId="166DDBFD" w14:textId="77777777" w:rsidR="003774EE" w:rsidRPr="00A67B2B" w:rsidRDefault="003774EE" w:rsidP="00A67B2B">
      <w:pPr>
        <w:pStyle w:val="ListParagraph"/>
        <w:numPr>
          <w:ilvl w:val="0"/>
          <w:numId w:val="1"/>
        </w:numPr>
        <w:spacing w:after="40" w:line="240" w:lineRule="auto"/>
        <w:ind w:left="86" w:right="270"/>
        <w:contextualSpacing w:val="0"/>
        <w:rPr>
          <w:rFonts w:ascii="Arial" w:hAnsi="Arial" w:cs="Arial"/>
          <w:sz w:val="20"/>
          <w:szCs w:val="20"/>
        </w:rPr>
      </w:pPr>
      <w:r w:rsidRPr="00A67B2B">
        <w:rPr>
          <w:rFonts w:ascii="Arial" w:hAnsi="Arial" w:cs="Arial"/>
          <w:sz w:val="20"/>
          <w:szCs w:val="20"/>
        </w:rPr>
        <w:t xml:space="preserve">If you choose to provide a letter to accompany this comment form, please </w:t>
      </w:r>
      <w:r w:rsidRPr="00A67B2B">
        <w:rPr>
          <w:rFonts w:ascii="Arial" w:hAnsi="Arial" w:cs="Arial"/>
          <w:b/>
          <w:bCs/>
          <w:sz w:val="20"/>
          <w:szCs w:val="20"/>
        </w:rPr>
        <w:t>print the document as a PDF</w:t>
      </w:r>
      <w:r w:rsidRPr="00A67B2B">
        <w:rPr>
          <w:rFonts w:ascii="Arial" w:hAnsi="Arial" w:cs="Arial"/>
          <w:sz w:val="20"/>
          <w:szCs w:val="20"/>
        </w:rPr>
        <w:t xml:space="preserve">; </w:t>
      </w:r>
      <w:r w:rsidRPr="00A67B2B">
        <w:rPr>
          <w:rFonts w:ascii="Arial" w:hAnsi="Arial" w:cs="Arial"/>
          <w:b/>
          <w:bCs/>
          <w:sz w:val="20"/>
          <w:szCs w:val="20"/>
          <w:u w:val="single"/>
        </w:rPr>
        <w:t>please do not scan a hard copy</w:t>
      </w:r>
      <w:r w:rsidRPr="00A67B2B">
        <w:rPr>
          <w:rFonts w:ascii="Arial" w:hAnsi="Arial" w:cs="Arial"/>
          <w:sz w:val="20"/>
          <w:szCs w:val="20"/>
        </w:rPr>
        <w:t>.  This will assist FHWA with cataloging your comments.</w:t>
      </w:r>
    </w:p>
    <w:p w14:paraId="0F9D3E5F" w14:textId="77777777" w:rsidR="00CE0F95" w:rsidRPr="00A67B2B" w:rsidRDefault="00CE0F95" w:rsidP="00A67B2B">
      <w:pPr>
        <w:spacing w:before="360" w:after="120" w:line="240" w:lineRule="auto"/>
        <w:ind w:left="-446" w:right="360"/>
        <w:rPr>
          <w:rFonts w:ascii="Arial" w:hAnsi="Arial" w:cs="Arial"/>
          <w:sz w:val="20"/>
          <w:szCs w:val="20"/>
        </w:rPr>
      </w:pPr>
      <w:r w:rsidRPr="00A67B2B">
        <w:rPr>
          <w:rFonts w:ascii="Arial" w:hAnsi="Arial" w:cs="Arial"/>
          <w:b/>
          <w:bCs/>
          <w:sz w:val="20"/>
          <w:szCs w:val="20"/>
        </w:rPr>
        <w:t xml:space="preserve">TABLE 1.  </w:t>
      </w:r>
      <w:r w:rsidR="00B824F8">
        <w:rPr>
          <w:rFonts w:ascii="Arial" w:hAnsi="Arial" w:cs="Arial"/>
          <w:b/>
          <w:bCs/>
          <w:sz w:val="20"/>
          <w:szCs w:val="20"/>
        </w:rPr>
        <w:t>ORIGINAL</w:t>
      </w:r>
      <w:r w:rsidR="00836E4A">
        <w:rPr>
          <w:rFonts w:ascii="Arial" w:hAnsi="Arial" w:cs="Arial"/>
          <w:b/>
          <w:bCs/>
          <w:sz w:val="20"/>
          <w:szCs w:val="20"/>
        </w:rPr>
        <w:t xml:space="preserve"> </w:t>
      </w:r>
      <w:r w:rsidRPr="00A67B2B">
        <w:rPr>
          <w:rFonts w:ascii="Arial" w:hAnsi="Arial" w:cs="Arial"/>
          <w:b/>
          <w:bCs/>
          <w:sz w:val="20"/>
          <w:szCs w:val="20"/>
        </w:rPr>
        <w:t>COMMENTS ON PROPOSED CHANGES.</w:t>
      </w:r>
      <w:r w:rsidRPr="00A67B2B">
        <w:rPr>
          <w:rFonts w:ascii="Arial" w:hAnsi="Arial" w:cs="Arial"/>
          <w:sz w:val="20"/>
          <w:szCs w:val="20"/>
        </w:rPr>
        <w:t xml:space="preserve">  </w:t>
      </w:r>
      <w:r w:rsidR="00836E4A">
        <w:rPr>
          <w:rFonts w:ascii="Arial" w:hAnsi="Arial" w:cs="Arial"/>
          <w:sz w:val="20"/>
          <w:szCs w:val="20"/>
        </w:rPr>
        <w:t>P</w:t>
      </w:r>
      <w:r w:rsidR="00295CAE" w:rsidRPr="00A67B2B">
        <w:rPr>
          <w:rFonts w:ascii="Arial" w:hAnsi="Arial" w:cs="Arial"/>
          <w:sz w:val="20"/>
          <w:szCs w:val="20"/>
        </w:rPr>
        <w:t xml:space="preserve">lease indicate the </w:t>
      </w:r>
      <w:r w:rsidR="002063CD">
        <w:rPr>
          <w:rFonts w:ascii="Arial" w:hAnsi="Arial" w:cs="Arial"/>
          <w:sz w:val="20"/>
          <w:szCs w:val="20"/>
        </w:rPr>
        <w:t xml:space="preserve">applicable </w:t>
      </w:r>
      <w:r w:rsidR="00295CAE" w:rsidRPr="00A67B2B">
        <w:rPr>
          <w:rFonts w:ascii="Arial" w:hAnsi="Arial" w:cs="Arial"/>
          <w:sz w:val="20"/>
          <w:szCs w:val="20"/>
        </w:rPr>
        <w:t>proposed Section numbers</w:t>
      </w:r>
      <w:r w:rsidR="00836E4A">
        <w:rPr>
          <w:rFonts w:ascii="Arial" w:hAnsi="Arial" w:cs="Arial"/>
          <w:sz w:val="20"/>
          <w:szCs w:val="20"/>
        </w:rPr>
        <w:t xml:space="preserve"> in the far-left column</w:t>
      </w:r>
      <w:r w:rsidR="00295CAE" w:rsidRPr="00A67B2B">
        <w:rPr>
          <w:rFonts w:ascii="Arial" w:hAnsi="Arial" w:cs="Arial"/>
          <w:sz w:val="20"/>
          <w:szCs w:val="20"/>
        </w:rPr>
        <w:t xml:space="preserve">.  </w:t>
      </w:r>
      <w:r w:rsidR="00836E4A">
        <w:rPr>
          <w:rFonts w:ascii="Arial" w:hAnsi="Arial" w:cs="Arial"/>
          <w:sz w:val="20"/>
          <w:szCs w:val="20"/>
        </w:rPr>
        <w:t>In the next three columns</w:t>
      </w:r>
      <w:r w:rsidR="002063CD">
        <w:rPr>
          <w:rFonts w:ascii="Arial" w:hAnsi="Arial" w:cs="Arial"/>
          <w:sz w:val="20"/>
          <w:szCs w:val="20"/>
        </w:rPr>
        <w:t>,</w:t>
      </w:r>
      <w:r w:rsidR="00836E4A">
        <w:rPr>
          <w:rFonts w:ascii="Arial" w:hAnsi="Arial" w:cs="Arial"/>
          <w:sz w:val="20"/>
          <w:szCs w:val="20"/>
        </w:rPr>
        <w:t xml:space="preserve"> please indicate your agreement, disagreement</w:t>
      </w:r>
      <w:r w:rsidR="00D86280">
        <w:rPr>
          <w:rFonts w:ascii="Arial" w:hAnsi="Arial" w:cs="Arial"/>
          <w:sz w:val="20"/>
          <w:szCs w:val="20"/>
        </w:rPr>
        <w:t>,</w:t>
      </w:r>
      <w:r w:rsidR="00836E4A">
        <w:rPr>
          <w:rFonts w:ascii="Arial" w:hAnsi="Arial" w:cs="Arial"/>
          <w:sz w:val="20"/>
          <w:szCs w:val="20"/>
        </w:rPr>
        <w:t xml:space="preserve"> or whether the column is applicable to your response by placing a, “YES</w:t>
      </w:r>
      <w:r w:rsidR="00460EB9">
        <w:rPr>
          <w:rFonts w:ascii="Arial" w:hAnsi="Arial" w:cs="Arial"/>
          <w:sz w:val="20"/>
          <w:szCs w:val="20"/>
        </w:rPr>
        <w:t>,</w:t>
      </w:r>
      <w:r w:rsidR="00836E4A">
        <w:rPr>
          <w:rFonts w:ascii="Arial" w:hAnsi="Arial" w:cs="Arial"/>
          <w:sz w:val="20"/>
          <w:szCs w:val="20"/>
        </w:rPr>
        <w:t>” “NO</w:t>
      </w:r>
      <w:r w:rsidR="00460EB9">
        <w:rPr>
          <w:rFonts w:ascii="Arial" w:hAnsi="Arial" w:cs="Arial"/>
          <w:sz w:val="20"/>
          <w:szCs w:val="20"/>
        </w:rPr>
        <w:t>,</w:t>
      </w:r>
      <w:r w:rsidR="00836E4A">
        <w:rPr>
          <w:rFonts w:ascii="Arial" w:hAnsi="Arial" w:cs="Arial"/>
          <w:sz w:val="20"/>
          <w:szCs w:val="20"/>
        </w:rPr>
        <w:t xml:space="preserve">” or “N/A” in the appropriate column of the row.  </w:t>
      </w:r>
      <w:r w:rsidR="00295CAE" w:rsidRPr="00A67B2B">
        <w:rPr>
          <w:rFonts w:ascii="Arial" w:hAnsi="Arial" w:cs="Arial"/>
          <w:sz w:val="20"/>
          <w:szCs w:val="20"/>
        </w:rPr>
        <w:t>If you agree with a proposed change, then there is no need to fill out the additional columns</w:t>
      </w:r>
      <w:r w:rsidR="00057668">
        <w:rPr>
          <w:rFonts w:ascii="Arial" w:hAnsi="Arial" w:cs="Arial"/>
          <w:sz w:val="20"/>
          <w:szCs w:val="20"/>
        </w:rPr>
        <w:t xml:space="preserve"> beyond the first two</w:t>
      </w:r>
      <w:r w:rsidR="00295CAE" w:rsidRPr="00A67B2B">
        <w:rPr>
          <w:rFonts w:ascii="Arial" w:hAnsi="Arial" w:cs="Arial"/>
          <w:sz w:val="20"/>
          <w:szCs w:val="20"/>
        </w:rPr>
        <w:t xml:space="preserve">.  However, it can be helpful to explain why you agree with a </w:t>
      </w:r>
      <w:r w:rsidR="00D66D26">
        <w:rPr>
          <w:rFonts w:ascii="Arial" w:hAnsi="Arial" w:cs="Arial"/>
          <w:sz w:val="20"/>
          <w:szCs w:val="20"/>
        </w:rPr>
        <w:t xml:space="preserve">proposed </w:t>
      </w:r>
      <w:r w:rsidR="00295CAE" w:rsidRPr="00A67B2B">
        <w:rPr>
          <w:rFonts w:ascii="Arial" w:hAnsi="Arial" w:cs="Arial"/>
          <w:sz w:val="20"/>
          <w:szCs w:val="20"/>
        </w:rPr>
        <w:t xml:space="preserve">change based on your </w:t>
      </w:r>
      <w:r w:rsidR="00412ED2">
        <w:rPr>
          <w:rFonts w:ascii="Arial" w:hAnsi="Arial" w:cs="Arial"/>
          <w:sz w:val="20"/>
          <w:szCs w:val="20"/>
        </w:rPr>
        <w:t xml:space="preserve">objective </w:t>
      </w:r>
      <w:r w:rsidR="00295CAE" w:rsidRPr="00A67B2B">
        <w:rPr>
          <w:rFonts w:ascii="Arial" w:hAnsi="Arial" w:cs="Arial"/>
          <w:sz w:val="20"/>
          <w:szCs w:val="20"/>
        </w:rPr>
        <w:t>experience</w:t>
      </w:r>
      <w:r w:rsidR="00412ED2">
        <w:rPr>
          <w:rFonts w:ascii="Arial" w:hAnsi="Arial" w:cs="Arial"/>
          <w:sz w:val="20"/>
          <w:szCs w:val="20"/>
        </w:rPr>
        <w:t xml:space="preserve"> as a roadway operator and/or empirical data</w:t>
      </w:r>
      <w:r w:rsidR="00295CAE" w:rsidRPr="00A67B2B">
        <w:rPr>
          <w:rFonts w:ascii="Arial" w:hAnsi="Arial" w:cs="Arial"/>
          <w:sz w:val="20"/>
          <w:szCs w:val="20"/>
        </w:rPr>
        <w:t xml:space="preserve">.  </w:t>
      </w:r>
      <w:r w:rsidR="009937CF">
        <w:rPr>
          <w:rFonts w:ascii="Arial" w:hAnsi="Arial" w:cs="Arial"/>
          <w:sz w:val="20"/>
          <w:szCs w:val="20"/>
        </w:rPr>
        <w:t>If you disagree in part or in whole, then please provide additio</w:t>
      </w:r>
      <w:r w:rsidRPr="00A67B2B">
        <w:rPr>
          <w:rFonts w:ascii="Arial" w:hAnsi="Arial" w:cs="Arial"/>
          <w:sz w:val="20"/>
          <w:szCs w:val="20"/>
        </w:rPr>
        <w:t xml:space="preserve">nal information </w:t>
      </w:r>
      <w:r w:rsidR="00B014CB">
        <w:rPr>
          <w:rFonts w:ascii="Arial" w:hAnsi="Arial" w:cs="Arial"/>
          <w:sz w:val="20"/>
          <w:szCs w:val="20"/>
        </w:rPr>
        <w:t xml:space="preserve">that </w:t>
      </w:r>
      <w:r w:rsidRPr="00A67B2B">
        <w:rPr>
          <w:rFonts w:ascii="Arial" w:hAnsi="Arial" w:cs="Arial"/>
          <w:sz w:val="20"/>
          <w:szCs w:val="20"/>
        </w:rPr>
        <w:t>FHWA may find helpful.</w:t>
      </w:r>
    </w:p>
    <w:tbl>
      <w:tblPr>
        <w:tblStyle w:val="TableGrid"/>
        <w:tblW w:w="10800" w:type="dxa"/>
        <w:tblInd w:w="-635" w:type="dxa"/>
        <w:tblLayout w:type="fixed"/>
        <w:tblLook w:val="04A0" w:firstRow="1" w:lastRow="0" w:firstColumn="1" w:lastColumn="0" w:noHBand="0" w:noVBand="1"/>
      </w:tblPr>
      <w:tblGrid>
        <w:gridCol w:w="1170"/>
        <w:gridCol w:w="1167"/>
        <w:gridCol w:w="1183"/>
        <w:gridCol w:w="1017"/>
        <w:gridCol w:w="6263"/>
      </w:tblGrid>
      <w:tr w:rsidR="00782C18" w:rsidRPr="00782C18" w14:paraId="1FDC860A" w14:textId="77777777" w:rsidTr="00C92A11">
        <w:tc>
          <w:tcPr>
            <w:tcW w:w="1170" w:type="dxa"/>
          </w:tcPr>
          <w:p w14:paraId="1E6E849A" w14:textId="77777777" w:rsidR="00A60135" w:rsidRPr="004A03C4" w:rsidRDefault="00A60135" w:rsidP="00A67B2B">
            <w:pPr>
              <w:spacing w:line="259" w:lineRule="auto"/>
              <w:rPr>
                <w:rFonts w:ascii="Arial" w:hAnsi="Arial" w:cs="Arial"/>
                <w:sz w:val="20"/>
                <w:szCs w:val="20"/>
              </w:rPr>
            </w:pPr>
            <w:r w:rsidRPr="008B2A22">
              <w:rPr>
                <w:rFonts w:ascii="Arial" w:hAnsi="Arial" w:cs="Arial"/>
                <w:sz w:val="20"/>
                <w:szCs w:val="20"/>
              </w:rPr>
              <w:t>Proposed</w:t>
            </w:r>
          </w:p>
          <w:p w14:paraId="10E1C35E" w14:textId="77777777" w:rsidR="00F06647" w:rsidRPr="004A03C4" w:rsidRDefault="00F06647" w:rsidP="00A67B2B">
            <w:pPr>
              <w:spacing w:line="259" w:lineRule="auto"/>
              <w:rPr>
                <w:rFonts w:ascii="Arial" w:hAnsi="Arial" w:cs="Arial"/>
                <w:sz w:val="20"/>
                <w:szCs w:val="20"/>
              </w:rPr>
            </w:pPr>
            <w:r w:rsidRPr="004A03C4">
              <w:rPr>
                <w:rFonts w:ascii="Arial" w:hAnsi="Arial" w:cs="Arial"/>
                <w:sz w:val="20"/>
                <w:szCs w:val="20"/>
              </w:rPr>
              <w:t>Section Number</w:t>
            </w:r>
            <w:r w:rsidR="00BB104C" w:rsidRPr="004A03C4">
              <w:rPr>
                <w:rFonts w:ascii="Arial" w:hAnsi="Arial" w:cs="Arial"/>
                <w:sz w:val="20"/>
                <w:szCs w:val="20"/>
              </w:rPr>
              <w:t>(s)</w:t>
            </w:r>
          </w:p>
        </w:tc>
        <w:tc>
          <w:tcPr>
            <w:tcW w:w="1167" w:type="dxa"/>
          </w:tcPr>
          <w:p w14:paraId="4010A233" w14:textId="77777777" w:rsidR="00F06647" w:rsidRPr="004A03C4" w:rsidRDefault="00F06647" w:rsidP="00A67B2B">
            <w:pPr>
              <w:ind w:left="-14" w:right="-15"/>
              <w:rPr>
                <w:rFonts w:ascii="Arial" w:hAnsi="Arial" w:cs="Arial"/>
                <w:sz w:val="20"/>
                <w:szCs w:val="20"/>
              </w:rPr>
            </w:pPr>
            <w:r w:rsidRPr="004A03C4">
              <w:rPr>
                <w:rFonts w:ascii="Arial" w:hAnsi="Arial" w:cs="Arial"/>
                <w:sz w:val="20"/>
                <w:szCs w:val="20"/>
              </w:rPr>
              <w:t xml:space="preserve">Agree with </w:t>
            </w:r>
            <w:r w:rsidR="00C855DC" w:rsidRPr="004A03C4">
              <w:rPr>
                <w:rFonts w:ascii="Arial" w:hAnsi="Arial" w:cs="Arial"/>
                <w:sz w:val="20"/>
                <w:szCs w:val="20"/>
              </w:rPr>
              <w:t>c</w:t>
            </w:r>
            <w:r w:rsidR="00F17C8E" w:rsidRPr="004A03C4">
              <w:rPr>
                <w:rFonts w:ascii="Arial" w:hAnsi="Arial" w:cs="Arial"/>
                <w:sz w:val="20"/>
                <w:szCs w:val="20"/>
              </w:rPr>
              <w:t xml:space="preserve">oncept and </w:t>
            </w:r>
            <w:r w:rsidR="00C855DC" w:rsidRPr="004A03C4">
              <w:rPr>
                <w:rFonts w:ascii="Arial" w:hAnsi="Arial" w:cs="Arial"/>
                <w:sz w:val="20"/>
                <w:szCs w:val="20"/>
              </w:rPr>
              <w:t>t</w:t>
            </w:r>
            <w:r w:rsidR="00BB104C" w:rsidRPr="004A03C4">
              <w:rPr>
                <w:rFonts w:ascii="Arial" w:hAnsi="Arial" w:cs="Arial"/>
                <w:sz w:val="20"/>
                <w:szCs w:val="20"/>
              </w:rPr>
              <w:t>ext</w:t>
            </w:r>
            <w:r w:rsidRPr="004A03C4">
              <w:rPr>
                <w:rFonts w:ascii="Arial" w:hAnsi="Arial" w:cs="Arial"/>
                <w:sz w:val="20"/>
                <w:szCs w:val="20"/>
              </w:rPr>
              <w:t xml:space="preserve"> as </w:t>
            </w:r>
            <w:r w:rsidR="00782C18" w:rsidRPr="004A03C4">
              <w:rPr>
                <w:rFonts w:ascii="Arial" w:hAnsi="Arial" w:cs="Arial"/>
                <w:sz w:val="20"/>
                <w:szCs w:val="20"/>
              </w:rPr>
              <w:t>proposed</w:t>
            </w:r>
          </w:p>
        </w:tc>
        <w:tc>
          <w:tcPr>
            <w:tcW w:w="1183" w:type="dxa"/>
          </w:tcPr>
          <w:p w14:paraId="592B4914" w14:textId="77777777" w:rsidR="00F06647" w:rsidRPr="004A03C4" w:rsidRDefault="00BB104C" w:rsidP="006957FF">
            <w:pPr>
              <w:rPr>
                <w:rFonts w:ascii="Arial" w:hAnsi="Arial" w:cs="Arial"/>
                <w:sz w:val="20"/>
                <w:szCs w:val="20"/>
              </w:rPr>
            </w:pPr>
            <w:r w:rsidRPr="004A03C4">
              <w:rPr>
                <w:rFonts w:ascii="Arial" w:hAnsi="Arial" w:cs="Arial"/>
                <w:sz w:val="20"/>
                <w:szCs w:val="20"/>
              </w:rPr>
              <w:t xml:space="preserve">Agree with </w:t>
            </w:r>
            <w:r w:rsidR="00F17C8E" w:rsidRPr="004A03C4">
              <w:rPr>
                <w:rFonts w:ascii="Arial" w:hAnsi="Arial" w:cs="Arial"/>
                <w:sz w:val="20"/>
                <w:szCs w:val="20"/>
              </w:rPr>
              <w:t xml:space="preserve"> </w:t>
            </w:r>
            <w:r w:rsidRPr="004A03C4">
              <w:rPr>
                <w:rFonts w:ascii="Arial" w:hAnsi="Arial" w:cs="Arial"/>
                <w:sz w:val="20"/>
                <w:szCs w:val="20"/>
              </w:rPr>
              <w:t>concept</w:t>
            </w:r>
            <w:r w:rsidR="00D40A56" w:rsidRPr="004A03C4">
              <w:rPr>
                <w:rFonts w:ascii="Arial" w:hAnsi="Arial" w:cs="Arial"/>
                <w:sz w:val="20"/>
                <w:szCs w:val="20"/>
              </w:rPr>
              <w:t>;</w:t>
            </w:r>
            <w:r w:rsidR="00B8673B" w:rsidRPr="004A03C4">
              <w:rPr>
                <w:rFonts w:ascii="Arial" w:hAnsi="Arial" w:cs="Arial"/>
                <w:sz w:val="20"/>
                <w:szCs w:val="20"/>
              </w:rPr>
              <w:t xml:space="preserve"> suggest</w:t>
            </w:r>
            <w:r w:rsidR="00D85085" w:rsidRPr="004A03C4">
              <w:rPr>
                <w:rFonts w:ascii="Arial" w:hAnsi="Arial" w:cs="Arial"/>
                <w:sz w:val="20"/>
                <w:szCs w:val="20"/>
              </w:rPr>
              <w:t>ed</w:t>
            </w:r>
            <w:r w:rsidR="00B8673B" w:rsidRPr="004A03C4">
              <w:rPr>
                <w:rFonts w:ascii="Arial" w:hAnsi="Arial" w:cs="Arial"/>
                <w:sz w:val="20"/>
                <w:szCs w:val="20"/>
              </w:rPr>
              <w:t xml:space="preserve"> rewording</w:t>
            </w:r>
            <w:r w:rsidR="00782C18" w:rsidRPr="004A03C4">
              <w:rPr>
                <w:rFonts w:ascii="Arial" w:hAnsi="Arial" w:cs="Arial"/>
                <w:sz w:val="20"/>
                <w:szCs w:val="20"/>
              </w:rPr>
              <w:t xml:space="preserve"> </w:t>
            </w:r>
            <w:r w:rsidR="00D66D26">
              <w:rPr>
                <w:rFonts w:ascii="Arial" w:hAnsi="Arial" w:cs="Arial"/>
                <w:sz w:val="20"/>
                <w:szCs w:val="20"/>
              </w:rPr>
              <w:t xml:space="preserve">of text </w:t>
            </w:r>
            <w:r w:rsidR="00782C18" w:rsidRPr="004A03C4">
              <w:rPr>
                <w:rFonts w:ascii="Arial" w:hAnsi="Arial" w:cs="Arial"/>
                <w:sz w:val="20"/>
                <w:szCs w:val="20"/>
              </w:rPr>
              <w:t>in Comments</w:t>
            </w:r>
          </w:p>
        </w:tc>
        <w:tc>
          <w:tcPr>
            <w:tcW w:w="1017" w:type="dxa"/>
          </w:tcPr>
          <w:p w14:paraId="6C9F7A33" w14:textId="77777777" w:rsidR="00F06647" w:rsidRPr="004A03C4" w:rsidRDefault="00B8673B" w:rsidP="00A67B2B">
            <w:pPr>
              <w:spacing w:line="259" w:lineRule="auto"/>
              <w:rPr>
                <w:rFonts w:ascii="Arial" w:hAnsi="Arial" w:cs="Arial"/>
                <w:sz w:val="20"/>
                <w:szCs w:val="20"/>
              </w:rPr>
            </w:pPr>
            <w:r w:rsidRPr="004A03C4">
              <w:rPr>
                <w:rFonts w:ascii="Arial" w:hAnsi="Arial" w:cs="Arial"/>
                <w:sz w:val="20"/>
                <w:szCs w:val="20"/>
              </w:rPr>
              <w:t>Disagree with</w:t>
            </w:r>
            <w:r w:rsidR="00F17C8E" w:rsidRPr="004A03C4">
              <w:rPr>
                <w:rFonts w:ascii="Arial" w:hAnsi="Arial" w:cs="Arial"/>
                <w:sz w:val="20"/>
                <w:szCs w:val="20"/>
              </w:rPr>
              <w:t xml:space="preserve"> concept</w:t>
            </w:r>
          </w:p>
        </w:tc>
        <w:tc>
          <w:tcPr>
            <w:tcW w:w="6263" w:type="dxa"/>
          </w:tcPr>
          <w:p w14:paraId="3D1FF2FC" w14:textId="77777777" w:rsidR="00FC696E" w:rsidRPr="004A03C4" w:rsidRDefault="00845000" w:rsidP="00A67B2B">
            <w:pPr>
              <w:spacing w:line="259" w:lineRule="auto"/>
              <w:rPr>
                <w:rFonts w:ascii="Arial" w:hAnsi="Arial" w:cs="Arial"/>
                <w:sz w:val="20"/>
                <w:szCs w:val="20"/>
              </w:rPr>
            </w:pPr>
            <w:r w:rsidRPr="004A03C4">
              <w:rPr>
                <w:rFonts w:ascii="Arial" w:hAnsi="Arial" w:cs="Arial"/>
                <w:sz w:val="20"/>
                <w:szCs w:val="20"/>
              </w:rPr>
              <w:t>Comments</w:t>
            </w:r>
            <w:r w:rsidR="00A95DA2" w:rsidRPr="008B2A22">
              <w:rPr>
                <w:rFonts w:ascii="Arial" w:hAnsi="Arial" w:cs="Arial"/>
                <w:sz w:val="20"/>
                <w:szCs w:val="20"/>
              </w:rPr>
              <w:t xml:space="preserve">  </w:t>
            </w:r>
          </w:p>
          <w:p w14:paraId="0DB97C26" w14:textId="77777777" w:rsidR="00F06647" w:rsidRPr="00A67B2B" w:rsidRDefault="00A95DA2" w:rsidP="00A67B2B">
            <w:pPr>
              <w:spacing w:line="259" w:lineRule="auto"/>
              <w:rPr>
                <w:rFonts w:ascii="Arial" w:hAnsi="Arial" w:cs="Arial"/>
                <w:i/>
                <w:iCs/>
                <w:sz w:val="20"/>
                <w:szCs w:val="20"/>
              </w:rPr>
            </w:pPr>
            <w:r w:rsidRPr="00A67B2B">
              <w:rPr>
                <w:rFonts w:ascii="Arial" w:hAnsi="Arial" w:cs="Arial"/>
                <w:i/>
                <w:iCs/>
                <w:sz w:val="20"/>
                <w:szCs w:val="20"/>
              </w:rPr>
              <w:t>Please include justification for your position based on objective experience and empirical data.</w:t>
            </w:r>
            <w:r w:rsidR="00FC696E" w:rsidRPr="00A67B2B">
              <w:rPr>
                <w:rFonts w:ascii="Arial" w:hAnsi="Arial" w:cs="Arial"/>
                <w:i/>
                <w:iCs/>
                <w:sz w:val="20"/>
                <w:szCs w:val="20"/>
              </w:rPr>
              <w:t xml:space="preserve">  If there is a specific statement with which you take exception, please provide the Page </w:t>
            </w:r>
            <w:r w:rsidR="00DB37DB">
              <w:rPr>
                <w:rFonts w:ascii="Arial" w:hAnsi="Arial" w:cs="Arial"/>
                <w:i/>
                <w:iCs/>
                <w:sz w:val="20"/>
                <w:szCs w:val="20"/>
              </w:rPr>
              <w:t xml:space="preserve">and Line </w:t>
            </w:r>
            <w:r w:rsidR="00FC696E" w:rsidRPr="00A67B2B">
              <w:rPr>
                <w:rFonts w:ascii="Arial" w:hAnsi="Arial" w:cs="Arial"/>
                <w:i/>
                <w:iCs/>
                <w:sz w:val="20"/>
                <w:szCs w:val="20"/>
              </w:rPr>
              <w:t xml:space="preserve">numbers from the </w:t>
            </w:r>
            <w:r w:rsidR="00FE6294">
              <w:rPr>
                <w:rFonts w:ascii="Arial" w:hAnsi="Arial" w:cs="Arial"/>
                <w:i/>
                <w:iCs/>
                <w:sz w:val="20"/>
                <w:szCs w:val="20"/>
              </w:rPr>
              <w:t>mark-up</w:t>
            </w:r>
            <w:r w:rsidR="00FC696E" w:rsidRPr="00A67B2B">
              <w:rPr>
                <w:rFonts w:ascii="Arial" w:hAnsi="Arial" w:cs="Arial"/>
                <w:i/>
                <w:iCs/>
                <w:sz w:val="20"/>
                <w:szCs w:val="20"/>
              </w:rPr>
              <w:t xml:space="preserve"> </w:t>
            </w:r>
            <w:r w:rsidR="00A54333" w:rsidRPr="008B2A22">
              <w:rPr>
                <w:rFonts w:ascii="Arial" w:hAnsi="Arial" w:cs="Arial"/>
                <w:i/>
                <w:iCs/>
                <w:sz w:val="20"/>
                <w:szCs w:val="20"/>
              </w:rPr>
              <w:t xml:space="preserve">version of the </w:t>
            </w:r>
            <w:r w:rsidR="00FC696E" w:rsidRPr="00A67B2B">
              <w:rPr>
                <w:rFonts w:ascii="Arial" w:hAnsi="Arial" w:cs="Arial"/>
                <w:i/>
                <w:iCs/>
                <w:sz w:val="20"/>
                <w:szCs w:val="20"/>
              </w:rPr>
              <w:t>proposed MUTCD text.</w:t>
            </w:r>
          </w:p>
        </w:tc>
      </w:tr>
      <w:tr w:rsidR="004A03C4" w14:paraId="2B5E3E65" w14:textId="77777777" w:rsidTr="00C92A11">
        <w:tc>
          <w:tcPr>
            <w:tcW w:w="1170" w:type="dxa"/>
          </w:tcPr>
          <w:p w14:paraId="6A0EE501" w14:textId="77777777" w:rsidR="00CE45E9" w:rsidRDefault="00CE45E9" w:rsidP="00A67B2B">
            <w:pPr>
              <w:spacing w:line="259" w:lineRule="auto"/>
              <w:rPr>
                <w:rFonts w:ascii="Arial" w:hAnsi="Arial" w:cs="Arial"/>
                <w:sz w:val="20"/>
                <w:szCs w:val="20"/>
              </w:rPr>
            </w:pPr>
            <w:r w:rsidRPr="00DE2EAC">
              <w:rPr>
                <w:rFonts w:ascii="Arial" w:hAnsi="Arial" w:cs="Arial"/>
                <w:sz w:val="20"/>
                <w:szCs w:val="20"/>
              </w:rPr>
              <w:t>1A.02,</w:t>
            </w:r>
          </w:p>
          <w:p w14:paraId="58743A1E" w14:textId="77777777" w:rsidR="004A03C4" w:rsidRDefault="00CE45E9" w:rsidP="00A67B2B">
            <w:pPr>
              <w:spacing w:line="259" w:lineRule="auto"/>
              <w:rPr>
                <w:rFonts w:ascii="Arial" w:hAnsi="Arial" w:cs="Arial"/>
                <w:sz w:val="20"/>
                <w:szCs w:val="20"/>
              </w:rPr>
            </w:pPr>
            <w:r w:rsidRPr="00CE45E9">
              <w:rPr>
                <w:rFonts w:ascii="Arial" w:hAnsi="Arial" w:cs="Arial"/>
                <w:sz w:val="20"/>
                <w:szCs w:val="20"/>
              </w:rPr>
              <w:t>1B.01</w:t>
            </w:r>
            <w:r>
              <w:rPr>
                <w:rFonts w:ascii="Arial" w:hAnsi="Arial" w:cs="Arial"/>
                <w:sz w:val="20"/>
                <w:szCs w:val="20"/>
              </w:rPr>
              <w:t>,</w:t>
            </w:r>
          </w:p>
          <w:p w14:paraId="7DE67A2B" w14:textId="77777777" w:rsidR="00CE45E9" w:rsidRDefault="00CE45E9" w:rsidP="00A67B2B">
            <w:pPr>
              <w:spacing w:line="259" w:lineRule="auto"/>
              <w:rPr>
                <w:rFonts w:ascii="Arial" w:hAnsi="Arial" w:cs="Arial"/>
                <w:sz w:val="20"/>
                <w:szCs w:val="20"/>
              </w:rPr>
            </w:pPr>
            <w:r>
              <w:rPr>
                <w:rFonts w:ascii="Arial" w:hAnsi="Arial" w:cs="Arial"/>
                <w:sz w:val="20"/>
                <w:szCs w:val="20"/>
              </w:rPr>
              <w:t>1B.06,</w:t>
            </w:r>
          </w:p>
          <w:p w14:paraId="0DE9CBB2" w14:textId="77777777" w:rsidR="00CE45E9" w:rsidRDefault="00CE45E9" w:rsidP="00A67B2B">
            <w:pPr>
              <w:spacing w:line="259" w:lineRule="auto"/>
              <w:rPr>
                <w:rFonts w:ascii="Arial" w:hAnsi="Arial" w:cs="Arial"/>
                <w:sz w:val="20"/>
                <w:szCs w:val="20"/>
              </w:rPr>
            </w:pPr>
            <w:r w:rsidRPr="00CE45E9">
              <w:rPr>
                <w:rFonts w:ascii="Arial" w:hAnsi="Arial" w:cs="Arial"/>
                <w:sz w:val="20"/>
                <w:szCs w:val="20"/>
              </w:rPr>
              <w:t>1B.08</w:t>
            </w:r>
            <w:r>
              <w:rPr>
                <w:rFonts w:ascii="Arial" w:hAnsi="Arial" w:cs="Arial"/>
                <w:sz w:val="20"/>
                <w:szCs w:val="20"/>
              </w:rPr>
              <w:t>,</w:t>
            </w:r>
          </w:p>
          <w:p w14:paraId="5D3819BE" w14:textId="77777777" w:rsidR="00CE45E9" w:rsidRDefault="00CE45E9" w:rsidP="00A67B2B">
            <w:pPr>
              <w:spacing w:line="259" w:lineRule="auto"/>
              <w:rPr>
                <w:rFonts w:ascii="Arial" w:hAnsi="Arial" w:cs="Arial"/>
                <w:sz w:val="20"/>
                <w:szCs w:val="20"/>
              </w:rPr>
            </w:pPr>
            <w:r>
              <w:rPr>
                <w:rFonts w:ascii="Arial" w:hAnsi="Arial" w:cs="Arial"/>
                <w:sz w:val="20"/>
                <w:szCs w:val="20"/>
              </w:rPr>
              <w:t>1B.09</w:t>
            </w:r>
          </w:p>
          <w:p w14:paraId="4C408310" w14:textId="77777777" w:rsidR="00CE45E9" w:rsidRDefault="00CE45E9" w:rsidP="00A67B2B">
            <w:pPr>
              <w:spacing w:line="259" w:lineRule="auto"/>
              <w:rPr>
                <w:rFonts w:ascii="Arial" w:hAnsi="Arial" w:cs="Arial"/>
                <w:sz w:val="20"/>
                <w:szCs w:val="20"/>
              </w:rPr>
            </w:pPr>
            <w:r>
              <w:rPr>
                <w:rFonts w:ascii="Arial" w:hAnsi="Arial" w:cs="Arial"/>
                <w:sz w:val="20"/>
                <w:szCs w:val="20"/>
              </w:rPr>
              <w:t>1C.02</w:t>
            </w:r>
          </w:p>
          <w:p w14:paraId="61F0CC03" w14:textId="77777777" w:rsidR="00CE45E9" w:rsidRDefault="00CE45E9" w:rsidP="00A67B2B">
            <w:pPr>
              <w:spacing w:line="259" w:lineRule="auto"/>
              <w:rPr>
                <w:rFonts w:ascii="Arial" w:hAnsi="Arial" w:cs="Arial"/>
                <w:sz w:val="20"/>
                <w:szCs w:val="20"/>
              </w:rPr>
            </w:pPr>
            <w:r>
              <w:rPr>
                <w:rFonts w:ascii="Arial" w:hAnsi="Arial" w:cs="Arial"/>
                <w:sz w:val="20"/>
                <w:szCs w:val="20"/>
              </w:rPr>
              <w:t>1D.04</w:t>
            </w:r>
          </w:p>
          <w:p w14:paraId="6DCF68B4" w14:textId="77777777" w:rsidR="00CE45E9" w:rsidRDefault="00CE45E9" w:rsidP="00CE45E9">
            <w:pPr>
              <w:rPr>
                <w:rFonts w:ascii="Arial" w:hAnsi="Arial" w:cs="Arial"/>
                <w:sz w:val="20"/>
                <w:szCs w:val="20"/>
              </w:rPr>
            </w:pPr>
            <w:r>
              <w:rPr>
                <w:rFonts w:ascii="Arial" w:hAnsi="Arial" w:cs="Arial"/>
                <w:sz w:val="20"/>
                <w:szCs w:val="20"/>
              </w:rPr>
              <w:t>6A.01</w:t>
            </w:r>
          </w:p>
          <w:p w14:paraId="48F0A485" w14:textId="77777777" w:rsidR="00CE45E9" w:rsidRPr="008B2A22" w:rsidRDefault="007F1E02" w:rsidP="00CE45E9">
            <w:pPr>
              <w:rPr>
                <w:rFonts w:ascii="Arial" w:hAnsi="Arial" w:cs="Arial"/>
                <w:sz w:val="20"/>
                <w:szCs w:val="20"/>
              </w:rPr>
            </w:pPr>
            <w:r>
              <w:rPr>
                <w:rFonts w:ascii="Arial" w:hAnsi="Arial" w:cs="Arial"/>
                <w:sz w:val="20"/>
                <w:szCs w:val="20"/>
              </w:rPr>
              <w:t>6A.03</w:t>
            </w:r>
          </w:p>
        </w:tc>
        <w:tc>
          <w:tcPr>
            <w:tcW w:w="1167" w:type="dxa"/>
          </w:tcPr>
          <w:p w14:paraId="52E46825" w14:textId="77777777" w:rsidR="004A03C4" w:rsidRPr="008B2A22" w:rsidRDefault="007F1E02" w:rsidP="00A67B2B">
            <w:pPr>
              <w:spacing w:line="259" w:lineRule="auto"/>
              <w:jc w:val="center"/>
              <w:rPr>
                <w:rFonts w:ascii="Arial" w:hAnsi="Arial" w:cs="Arial"/>
                <w:sz w:val="20"/>
                <w:szCs w:val="20"/>
              </w:rPr>
            </w:pPr>
            <w:r>
              <w:rPr>
                <w:rFonts w:ascii="Arial" w:hAnsi="Arial" w:cs="Arial"/>
                <w:sz w:val="20"/>
                <w:szCs w:val="20"/>
              </w:rPr>
              <w:t>N/A</w:t>
            </w:r>
          </w:p>
        </w:tc>
        <w:tc>
          <w:tcPr>
            <w:tcW w:w="1183" w:type="dxa"/>
          </w:tcPr>
          <w:p w14:paraId="1F7C2783" w14:textId="77777777" w:rsidR="004A03C4" w:rsidRPr="008B2A22" w:rsidRDefault="007F1E02" w:rsidP="00A67B2B">
            <w:pPr>
              <w:spacing w:line="259" w:lineRule="auto"/>
              <w:jc w:val="center"/>
              <w:rPr>
                <w:rFonts w:ascii="Arial" w:hAnsi="Arial" w:cs="Arial"/>
                <w:sz w:val="20"/>
                <w:szCs w:val="20"/>
              </w:rPr>
            </w:pPr>
            <w:r>
              <w:rPr>
                <w:rFonts w:ascii="Arial" w:hAnsi="Arial" w:cs="Arial"/>
                <w:sz w:val="20"/>
                <w:szCs w:val="20"/>
              </w:rPr>
              <w:t>YES</w:t>
            </w:r>
          </w:p>
        </w:tc>
        <w:tc>
          <w:tcPr>
            <w:tcW w:w="1017" w:type="dxa"/>
          </w:tcPr>
          <w:p w14:paraId="79049EC8" w14:textId="77777777" w:rsidR="004A03C4" w:rsidRPr="008B2A22" w:rsidRDefault="004A03C4" w:rsidP="00A67B2B">
            <w:pPr>
              <w:spacing w:line="259" w:lineRule="auto"/>
              <w:jc w:val="center"/>
              <w:rPr>
                <w:rFonts w:ascii="Arial" w:hAnsi="Arial" w:cs="Arial"/>
                <w:sz w:val="20"/>
                <w:szCs w:val="20"/>
              </w:rPr>
            </w:pPr>
            <w:r w:rsidRPr="00A67B2B">
              <w:rPr>
                <w:rFonts w:ascii="Arial" w:hAnsi="Arial" w:cs="Arial"/>
                <w:sz w:val="20"/>
                <w:szCs w:val="20"/>
              </w:rPr>
              <w:t>N/A</w:t>
            </w:r>
          </w:p>
        </w:tc>
        <w:tc>
          <w:tcPr>
            <w:tcW w:w="6263" w:type="dxa"/>
          </w:tcPr>
          <w:p w14:paraId="414C68D3" w14:textId="24C90CFC" w:rsidR="004A03C4" w:rsidRPr="008B2A22" w:rsidRDefault="007F1E02" w:rsidP="009216FA">
            <w:pPr>
              <w:spacing w:line="259" w:lineRule="auto"/>
              <w:rPr>
                <w:rFonts w:ascii="Arial" w:hAnsi="Arial" w:cs="Arial"/>
                <w:sz w:val="20"/>
                <w:szCs w:val="20"/>
              </w:rPr>
            </w:pPr>
            <w:r>
              <w:rPr>
                <w:rFonts w:ascii="Arial" w:hAnsi="Arial" w:cs="Arial"/>
                <w:sz w:val="20"/>
                <w:szCs w:val="20"/>
              </w:rPr>
              <w:t>The term</w:t>
            </w:r>
            <w:r w:rsidRPr="007F1E02">
              <w:rPr>
                <w:rFonts w:ascii="Arial" w:hAnsi="Arial" w:cs="Arial"/>
                <w:sz w:val="20"/>
                <w:szCs w:val="20"/>
              </w:rPr>
              <w:t xml:space="preserve"> “private road(s)” ha</w:t>
            </w:r>
            <w:r w:rsidR="009216FA">
              <w:rPr>
                <w:rFonts w:ascii="Arial" w:hAnsi="Arial" w:cs="Arial"/>
                <w:sz w:val="20"/>
                <w:szCs w:val="20"/>
              </w:rPr>
              <w:t>s</w:t>
            </w:r>
            <w:r w:rsidRPr="007F1E02">
              <w:rPr>
                <w:rFonts w:ascii="Arial" w:hAnsi="Arial" w:cs="Arial"/>
                <w:sz w:val="20"/>
                <w:szCs w:val="20"/>
              </w:rPr>
              <w:t xml:space="preserve"> been replaced with </w:t>
            </w:r>
            <w:r>
              <w:rPr>
                <w:rFonts w:ascii="Arial" w:hAnsi="Arial" w:cs="Arial"/>
                <w:sz w:val="20"/>
                <w:szCs w:val="20"/>
              </w:rPr>
              <w:t>“</w:t>
            </w:r>
            <w:r w:rsidRPr="007F1E02">
              <w:rPr>
                <w:rFonts w:ascii="Arial" w:hAnsi="Arial" w:cs="Arial"/>
                <w:sz w:val="20"/>
                <w:szCs w:val="20"/>
              </w:rPr>
              <w:t>site roadway</w:t>
            </w:r>
            <w:r>
              <w:rPr>
                <w:rFonts w:ascii="Arial" w:hAnsi="Arial" w:cs="Arial"/>
                <w:sz w:val="20"/>
                <w:szCs w:val="20"/>
              </w:rPr>
              <w:t>(</w:t>
            </w:r>
            <w:r w:rsidRPr="007F1E02">
              <w:rPr>
                <w:rFonts w:ascii="Arial" w:hAnsi="Arial" w:cs="Arial"/>
                <w:sz w:val="20"/>
                <w:szCs w:val="20"/>
              </w:rPr>
              <w:t>s</w:t>
            </w:r>
            <w:r>
              <w:rPr>
                <w:rFonts w:ascii="Arial" w:hAnsi="Arial" w:cs="Arial"/>
                <w:sz w:val="20"/>
                <w:szCs w:val="20"/>
              </w:rPr>
              <w:t>)”</w:t>
            </w:r>
            <w:r w:rsidRPr="007F1E02">
              <w:rPr>
                <w:rFonts w:ascii="Arial" w:hAnsi="Arial" w:cs="Arial"/>
                <w:sz w:val="20"/>
                <w:szCs w:val="20"/>
              </w:rPr>
              <w:t>. Due to numerous references for private roads within the New Jersey</w:t>
            </w:r>
            <w:r>
              <w:rPr>
                <w:rFonts w:ascii="Arial" w:hAnsi="Arial" w:cs="Arial"/>
                <w:sz w:val="20"/>
                <w:szCs w:val="20"/>
              </w:rPr>
              <w:t xml:space="preserve"> Department of Transportation</w:t>
            </w:r>
            <w:r w:rsidR="00B05349">
              <w:rPr>
                <w:rFonts w:ascii="Arial" w:hAnsi="Arial" w:cs="Arial"/>
                <w:sz w:val="20"/>
                <w:szCs w:val="20"/>
              </w:rPr>
              <w:t xml:space="preserve"> (NJDOT)</w:t>
            </w:r>
            <w:r>
              <w:rPr>
                <w:rFonts w:ascii="Arial" w:hAnsi="Arial" w:cs="Arial"/>
                <w:sz w:val="20"/>
                <w:szCs w:val="20"/>
              </w:rPr>
              <w:t xml:space="preserve"> traffic regulations, </w:t>
            </w:r>
            <w:r w:rsidR="009216FA">
              <w:rPr>
                <w:rFonts w:ascii="Arial" w:hAnsi="Arial" w:cs="Arial"/>
                <w:sz w:val="20"/>
                <w:szCs w:val="20"/>
              </w:rPr>
              <w:t>NJDOT</w:t>
            </w:r>
            <w:r>
              <w:rPr>
                <w:rFonts w:ascii="Arial" w:hAnsi="Arial" w:cs="Arial"/>
                <w:sz w:val="20"/>
                <w:szCs w:val="20"/>
              </w:rPr>
              <w:t xml:space="preserve"> suggest</w:t>
            </w:r>
            <w:r w:rsidR="009216FA">
              <w:rPr>
                <w:rFonts w:ascii="Arial" w:hAnsi="Arial" w:cs="Arial"/>
                <w:sz w:val="20"/>
                <w:szCs w:val="20"/>
              </w:rPr>
              <w:t>s</w:t>
            </w:r>
            <w:r w:rsidRPr="007F1E02">
              <w:rPr>
                <w:rFonts w:ascii="Arial" w:hAnsi="Arial" w:cs="Arial"/>
                <w:sz w:val="20"/>
                <w:szCs w:val="20"/>
              </w:rPr>
              <w:t xml:space="preserve"> that the term “private road(s)” remain in the MUTCD. </w:t>
            </w:r>
            <w:r>
              <w:rPr>
                <w:rFonts w:ascii="Arial" w:hAnsi="Arial" w:cs="Arial"/>
                <w:sz w:val="20"/>
                <w:szCs w:val="20"/>
              </w:rPr>
              <w:t xml:space="preserve"> </w:t>
            </w:r>
            <w:r w:rsidRPr="007F1E02">
              <w:rPr>
                <w:rFonts w:ascii="Arial" w:hAnsi="Arial" w:cs="Arial"/>
                <w:sz w:val="20"/>
                <w:szCs w:val="20"/>
              </w:rPr>
              <w:t>Also, private roads are mentioned within Section 1B.01 (National Standard), line 18 while site roads are not.</w:t>
            </w:r>
          </w:p>
        </w:tc>
      </w:tr>
      <w:tr w:rsidR="00BD7682" w14:paraId="35DB6FE5" w14:textId="77777777" w:rsidTr="00C92A11">
        <w:tc>
          <w:tcPr>
            <w:tcW w:w="1170" w:type="dxa"/>
          </w:tcPr>
          <w:p w14:paraId="598C7711" w14:textId="77777777" w:rsidR="00BD7682" w:rsidRDefault="00AF4B6B">
            <w:pPr>
              <w:spacing w:line="259" w:lineRule="auto"/>
              <w:rPr>
                <w:rFonts w:ascii="Arial" w:hAnsi="Arial" w:cs="Arial"/>
                <w:sz w:val="20"/>
                <w:szCs w:val="20"/>
              </w:rPr>
            </w:pPr>
            <w:r w:rsidRPr="00AF4B6B">
              <w:rPr>
                <w:rFonts w:ascii="Arial" w:hAnsi="Arial" w:cs="Arial"/>
                <w:sz w:val="20"/>
                <w:szCs w:val="20"/>
              </w:rPr>
              <w:t>1B.04</w:t>
            </w:r>
            <w:r>
              <w:rPr>
                <w:rFonts w:ascii="Arial" w:hAnsi="Arial" w:cs="Arial"/>
                <w:sz w:val="20"/>
                <w:szCs w:val="20"/>
              </w:rPr>
              <w:t>,</w:t>
            </w:r>
          </w:p>
          <w:p w14:paraId="7CC0A0DD" w14:textId="77777777" w:rsidR="00AF4B6B" w:rsidRPr="0029284F" w:rsidRDefault="00AF4B6B">
            <w:pPr>
              <w:spacing w:line="259" w:lineRule="auto"/>
              <w:rPr>
                <w:rFonts w:ascii="Arial" w:hAnsi="Arial" w:cs="Arial"/>
                <w:sz w:val="20"/>
                <w:szCs w:val="20"/>
              </w:rPr>
            </w:pPr>
            <w:r>
              <w:rPr>
                <w:rFonts w:ascii="Arial" w:hAnsi="Arial" w:cs="Arial"/>
                <w:sz w:val="20"/>
                <w:szCs w:val="20"/>
              </w:rPr>
              <w:t>1B.06</w:t>
            </w:r>
          </w:p>
        </w:tc>
        <w:tc>
          <w:tcPr>
            <w:tcW w:w="1167" w:type="dxa"/>
          </w:tcPr>
          <w:p w14:paraId="04E82863" w14:textId="77777777" w:rsidR="00BD7682" w:rsidRPr="0029284F" w:rsidRDefault="001132C0" w:rsidP="00A67B2B">
            <w:pPr>
              <w:spacing w:line="259" w:lineRule="auto"/>
              <w:jc w:val="center"/>
              <w:rPr>
                <w:rFonts w:ascii="Arial" w:hAnsi="Arial" w:cs="Arial"/>
                <w:sz w:val="20"/>
                <w:szCs w:val="20"/>
              </w:rPr>
            </w:pPr>
            <w:r>
              <w:rPr>
                <w:rFonts w:ascii="Arial" w:hAnsi="Arial" w:cs="Arial"/>
                <w:sz w:val="20"/>
                <w:szCs w:val="20"/>
              </w:rPr>
              <w:t>N/A</w:t>
            </w:r>
          </w:p>
        </w:tc>
        <w:tc>
          <w:tcPr>
            <w:tcW w:w="1183" w:type="dxa"/>
          </w:tcPr>
          <w:p w14:paraId="5962193B" w14:textId="77777777" w:rsidR="00BD7682" w:rsidRPr="0029284F" w:rsidRDefault="00BD7682" w:rsidP="00A67B2B">
            <w:pPr>
              <w:spacing w:line="259" w:lineRule="auto"/>
              <w:jc w:val="center"/>
              <w:rPr>
                <w:rFonts w:ascii="Arial" w:hAnsi="Arial" w:cs="Arial"/>
                <w:sz w:val="20"/>
                <w:szCs w:val="20"/>
              </w:rPr>
            </w:pPr>
            <w:r w:rsidRPr="0029284F">
              <w:rPr>
                <w:rFonts w:ascii="Arial" w:hAnsi="Arial" w:cs="Arial"/>
                <w:sz w:val="20"/>
                <w:szCs w:val="20"/>
              </w:rPr>
              <w:t>YES</w:t>
            </w:r>
          </w:p>
        </w:tc>
        <w:tc>
          <w:tcPr>
            <w:tcW w:w="1017" w:type="dxa"/>
          </w:tcPr>
          <w:p w14:paraId="236EE046" w14:textId="77777777" w:rsidR="00BD7682" w:rsidRPr="0029284F" w:rsidRDefault="00BD7682" w:rsidP="00A67B2B">
            <w:pPr>
              <w:spacing w:line="259" w:lineRule="auto"/>
              <w:jc w:val="center"/>
              <w:rPr>
                <w:rFonts w:ascii="Arial" w:hAnsi="Arial" w:cs="Arial"/>
                <w:sz w:val="20"/>
                <w:szCs w:val="20"/>
              </w:rPr>
            </w:pPr>
            <w:r w:rsidRPr="0029284F">
              <w:rPr>
                <w:rFonts w:ascii="Arial" w:hAnsi="Arial" w:cs="Arial"/>
                <w:sz w:val="20"/>
                <w:szCs w:val="20"/>
              </w:rPr>
              <w:t>N/A</w:t>
            </w:r>
          </w:p>
        </w:tc>
        <w:tc>
          <w:tcPr>
            <w:tcW w:w="6263" w:type="dxa"/>
          </w:tcPr>
          <w:p w14:paraId="6F9EB039" w14:textId="16F4A488" w:rsidR="00BD7682" w:rsidRPr="0029284F" w:rsidRDefault="00B05349" w:rsidP="0029284F">
            <w:pPr>
              <w:spacing w:line="259" w:lineRule="auto"/>
              <w:rPr>
                <w:rFonts w:ascii="Arial" w:hAnsi="Arial" w:cs="Arial"/>
                <w:sz w:val="20"/>
                <w:szCs w:val="20"/>
              </w:rPr>
            </w:pPr>
            <w:r>
              <w:rPr>
                <w:rFonts w:ascii="Arial" w:hAnsi="Arial" w:cs="Arial"/>
                <w:sz w:val="20"/>
                <w:szCs w:val="20"/>
              </w:rPr>
              <w:t>NJDOT</w:t>
            </w:r>
            <w:r w:rsidR="001132C0">
              <w:rPr>
                <w:rFonts w:ascii="Arial" w:hAnsi="Arial" w:cs="Arial"/>
                <w:sz w:val="20"/>
                <w:szCs w:val="20"/>
              </w:rPr>
              <w:t xml:space="preserve"> suggest</w:t>
            </w:r>
            <w:r>
              <w:rPr>
                <w:rFonts w:ascii="Arial" w:hAnsi="Arial" w:cs="Arial"/>
                <w:sz w:val="20"/>
                <w:szCs w:val="20"/>
              </w:rPr>
              <w:t>s</w:t>
            </w:r>
            <w:r w:rsidR="001132C0" w:rsidRPr="001132C0">
              <w:rPr>
                <w:rFonts w:ascii="Arial" w:hAnsi="Arial" w:cs="Arial"/>
                <w:sz w:val="20"/>
                <w:szCs w:val="20"/>
              </w:rPr>
              <w:t xml:space="preserve"> that the term</w:t>
            </w:r>
            <w:r w:rsidR="007E7C6A">
              <w:rPr>
                <w:rFonts w:ascii="Arial" w:hAnsi="Arial" w:cs="Arial"/>
                <w:sz w:val="20"/>
                <w:szCs w:val="20"/>
              </w:rPr>
              <w:t xml:space="preserve"> “novel” be replaced with an appropriate term</w:t>
            </w:r>
            <w:r w:rsidR="007C26EB">
              <w:rPr>
                <w:rFonts w:ascii="Arial" w:hAnsi="Arial" w:cs="Arial"/>
                <w:sz w:val="20"/>
                <w:szCs w:val="20"/>
              </w:rPr>
              <w:t xml:space="preserve"> as to not remind of the current pandemic</w:t>
            </w:r>
            <w:r w:rsidR="007E7C6A">
              <w:rPr>
                <w:rFonts w:ascii="Arial" w:hAnsi="Arial" w:cs="Arial"/>
                <w:sz w:val="20"/>
                <w:szCs w:val="20"/>
              </w:rPr>
              <w:t>.</w:t>
            </w:r>
          </w:p>
        </w:tc>
      </w:tr>
      <w:tr w:rsidR="00782C18" w14:paraId="1C42024C" w14:textId="77777777" w:rsidTr="00C92A11">
        <w:tc>
          <w:tcPr>
            <w:tcW w:w="1170" w:type="dxa"/>
          </w:tcPr>
          <w:p w14:paraId="3E608154" w14:textId="77777777" w:rsidR="00F06647" w:rsidRPr="00A67B2B" w:rsidRDefault="005078C4" w:rsidP="00A67B2B">
            <w:pPr>
              <w:spacing w:line="259" w:lineRule="auto"/>
              <w:rPr>
                <w:rFonts w:ascii="Arial" w:hAnsi="Arial" w:cs="Arial"/>
                <w:sz w:val="20"/>
                <w:szCs w:val="20"/>
              </w:rPr>
            </w:pPr>
            <w:r w:rsidRPr="005078C4">
              <w:rPr>
                <w:rFonts w:ascii="Arial" w:hAnsi="Arial" w:cs="Arial"/>
                <w:sz w:val="20"/>
                <w:szCs w:val="20"/>
              </w:rPr>
              <w:t>1C.02</w:t>
            </w:r>
          </w:p>
        </w:tc>
        <w:tc>
          <w:tcPr>
            <w:tcW w:w="1167" w:type="dxa"/>
          </w:tcPr>
          <w:p w14:paraId="174E44E4" w14:textId="77777777" w:rsidR="00F06647" w:rsidRPr="00A67B2B" w:rsidRDefault="005078C4" w:rsidP="00A67B2B">
            <w:pPr>
              <w:spacing w:line="259" w:lineRule="auto"/>
              <w:jc w:val="center"/>
              <w:rPr>
                <w:rFonts w:ascii="Arial" w:hAnsi="Arial" w:cs="Arial"/>
                <w:sz w:val="20"/>
                <w:szCs w:val="20"/>
              </w:rPr>
            </w:pPr>
            <w:r>
              <w:rPr>
                <w:rFonts w:ascii="Arial" w:hAnsi="Arial" w:cs="Arial"/>
                <w:sz w:val="20"/>
                <w:szCs w:val="20"/>
              </w:rPr>
              <w:t>N/A</w:t>
            </w:r>
          </w:p>
        </w:tc>
        <w:tc>
          <w:tcPr>
            <w:tcW w:w="1183" w:type="dxa"/>
          </w:tcPr>
          <w:p w14:paraId="30B59C58" w14:textId="77777777" w:rsidR="00F06647" w:rsidRPr="00A67B2B" w:rsidRDefault="00782C18" w:rsidP="00A67B2B">
            <w:pPr>
              <w:spacing w:line="259" w:lineRule="auto"/>
              <w:jc w:val="center"/>
              <w:rPr>
                <w:rFonts w:ascii="Arial" w:hAnsi="Arial" w:cs="Arial"/>
                <w:sz w:val="20"/>
                <w:szCs w:val="20"/>
              </w:rPr>
            </w:pPr>
            <w:r w:rsidRPr="00A67B2B">
              <w:rPr>
                <w:rFonts w:ascii="Arial" w:hAnsi="Arial" w:cs="Arial"/>
                <w:sz w:val="20"/>
                <w:szCs w:val="20"/>
              </w:rPr>
              <w:t>YES</w:t>
            </w:r>
          </w:p>
        </w:tc>
        <w:tc>
          <w:tcPr>
            <w:tcW w:w="1017" w:type="dxa"/>
          </w:tcPr>
          <w:p w14:paraId="423BBAAE" w14:textId="77777777" w:rsidR="00F06647" w:rsidRPr="00A67B2B" w:rsidRDefault="00782C18" w:rsidP="00A67B2B">
            <w:pPr>
              <w:spacing w:line="259" w:lineRule="auto"/>
              <w:jc w:val="center"/>
              <w:rPr>
                <w:rFonts w:ascii="Arial" w:hAnsi="Arial" w:cs="Arial"/>
                <w:sz w:val="20"/>
                <w:szCs w:val="20"/>
              </w:rPr>
            </w:pPr>
            <w:r w:rsidRPr="00A67B2B">
              <w:rPr>
                <w:rFonts w:ascii="Arial" w:hAnsi="Arial" w:cs="Arial"/>
                <w:sz w:val="20"/>
                <w:szCs w:val="20"/>
              </w:rPr>
              <w:t>N/A</w:t>
            </w:r>
          </w:p>
        </w:tc>
        <w:tc>
          <w:tcPr>
            <w:tcW w:w="6263" w:type="dxa"/>
          </w:tcPr>
          <w:p w14:paraId="08756F78" w14:textId="4BC24DC5" w:rsidR="00F06647" w:rsidRPr="00A67B2B" w:rsidRDefault="00B05349" w:rsidP="009216FA">
            <w:pPr>
              <w:spacing w:line="259" w:lineRule="auto"/>
              <w:rPr>
                <w:rFonts w:ascii="Arial" w:hAnsi="Arial" w:cs="Arial"/>
                <w:sz w:val="20"/>
                <w:szCs w:val="20"/>
              </w:rPr>
            </w:pPr>
            <w:r>
              <w:rPr>
                <w:rFonts w:ascii="Arial" w:hAnsi="Arial" w:cs="Arial"/>
                <w:sz w:val="20"/>
                <w:szCs w:val="20"/>
              </w:rPr>
              <w:t>NJDOT</w:t>
            </w:r>
            <w:r w:rsidR="005078C4">
              <w:rPr>
                <w:rFonts w:ascii="Arial" w:hAnsi="Arial" w:cs="Arial"/>
                <w:sz w:val="20"/>
                <w:szCs w:val="20"/>
              </w:rPr>
              <w:t xml:space="preserve"> suggest</w:t>
            </w:r>
            <w:r>
              <w:rPr>
                <w:rFonts w:ascii="Arial" w:hAnsi="Arial" w:cs="Arial"/>
                <w:sz w:val="20"/>
                <w:szCs w:val="20"/>
              </w:rPr>
              <w:t>s</w:t>
            </w:r>
            <w:r w:rsidR="005078C4" w:rsidRPr="005078C4">
              <w:rPr>
                <w:rFonts w:ascii="Arial" w:hAnsi="Arial" w:cs="Arial"/>
                <w:sz w:val="20"/>
                <w:szCs w:val="20"/>
              </w:rPr>
              <w:t xml:space="preserve"> that the terms “vehicles exceeding certain weight or size” replace “vehicles exceeding certain weight”</w:t>
            </w:r>
            <w:r w:rsidR="005078C4">
              <w:rPr>
                <w:rFonts w:ascii="Arial" w:hAnsi="Arial" w:cs="Arial"/>
                <w:sz w:val="20"/>
                <w:szCs w:val="20"/>
              </w:rPr>
              <w:t xml:space="preserve"> on line 88</w:t>
            </w:r>
            <w:r w:rsidR="005078C4" w:rsidRPr="005078C4">
              <w:rPr>
                <w:rFonts w:ascii="Arial" w:hAnsi="Arial" w:cs="Arial"/>
                <w:sz w:val="20"/>
                <w:szCs w:val="20"/>
              </w:rPr>
              <w:t xml:space="preserve">. Also, </w:t>
            </w:r>
            <w:r w:rsidR="009216FA">
              <w:rPr>
                <w:rFonts w:ascii="Arial" w:hAnsi="Arial" w:cs="Arial"/>
                <w:sz w:val="20"/>
                <w:szCs w:val="20"/>
              </w:rPr>
              <w:t xml:space="preserve">NJDOT </w:t>
            </w:r>
            <w:r w:rsidR="005078C4" w:rsidRPr="005078C4">
              <w:rPr>
                <w:rFonts w:ascii="Arial" w:hAnsi="Arial" w:cs="Arial"/>
                <w:sz w:val="20"/>
                <w:szCs w:val="20"/>
              </w:rPr>
              <w:t>request</w:t>
            </w:r>
            <w:r w:rsidR="009216FA">
              <w:rPr>
                <w:rFonts w:ascii="Arial" w:hAnsi="Arial" w:cs="Arial"/>
                <w:sz w:val="20"/>
                <w:szCs w:val="20"/>
              </w:rPr>
              <w:t>s</w:t>
            </w:r>
            <w:r w:rsidR="005078C4" w:rsidRPr="005078C4">
              <w:rPr>
                <w:rFonts w:ascii="Arial" w:hAnsi="Arial" w:cs="Arial"/>
                <w:sz w:val="20"/>
                <w:szCs w:val="20"/>
              </w:rPr>
              <w:t xml:space="preserve"> that </w:t>
            </w:r>
            <w:r w:rsidR="009216FA">
              <w:rPr>
                <w:rFonts w:ascii="Arial" w:hAnsi="Arial" w:cs="Arial"/>
                <w:sz w:val="20"/>
                <w:szCs w:val="20"/>
              </w:rPr>
              <w:t>this</w:t>
            </w:r>
            <w:r w:rsidR="005078C4" w:rsidRPr="005078C4">
              <w:rPr>
                <w:rFonts w:ascii="Arial" w:hAnsi="Arial" w:cs="Arial"/>
                <w:sz w:val="20"/>
                <w:szCs w:val="20"/>
              </w:rPr>
              <w:t xml:space="preserve"> reference be included elsewhere in this edition. While weight of the vehicle cannot be underestimated, the size of the vehicles </w:t>
            </w:r>
            <w:r w:rsidR="009216FA">
              <w:rPr>
                <w:rFonts w:ascii="Arial" w:hAnsi="Arial" w:cs="Arial"/>
                <w:sz w:val="20"/>
                <w:szCs w:val="20"/>
              </w:rPr>
              <w:t>should</w:t>
            </w:r>
            <w:r w:rsidR="005078C4">
              <w:rPr>
                <w:rFonts w:ascii="Arial" w:hAnsi="Arial" w:cs="Arial"/>
                <w:sz w:val="20"/>
                <w:szCs w:val="20"/>
              </w:rPr>
              <w:t xml:space="preserve"> be applied similarly.</w:t>
            </w:r>
          </w:p>
        </w:tc>
      </w:tr>
      <w:tr w:rsidR="00782C18" w14:paraId="5AD2865B" w14:textId="77777777" w:rsidTr="00C92A11">
        <w:tc>
          <w:tcPr>
            <w:tcW w:w="1170" w:type="dxa"/>
          </w:tcPr>
          <w:p w14:paraId="2B5EDDD3" w14:textId="77777777" w:rsidR="00F06647" w:rsidRPr="00A67B2B" w:rsidRDefault="006F7DDA" w:rsidP="00A67B2B">
            <w:pPr>
              <w:spacing w:line="259" w:lineRule="auto"/>
              <w:rPr>
                <w:rFonts w:ascii="Arial" w:hAnsi="Arial" w:cs="Arial"/>
                <w:sz w:val="20"/>
                <w:szCs w:val="20"/>
              </w:rPr>
            </w:pPr>
            <w:r w:rsidRPr="006F7DDA">
              <w:rPr>
                <w:rFonts w:ascii="Arial" w:hAnsi="Arial" w:cs="Arial"/>
                <w:sz w:val="20"/>
                <w:szCs w:val="20"/>
              </w:rPr>
              <w:t>2A.05</w:t>
            </w:r>
          </w:p>
        </w:tc>
        <w:tc>
          <w:tcPr>
            <w:tcW w:w="1167" w:type="dxa"/>
          </w:tcPr>
          <w:p w14:paraId="7170B4AD" w14:textId="77777777" w:rsidR="00F06647" w:rsidRPr="00A67B2B" w:rsidRDefault="006F7DDA" w:rsidP="00A67B2B">
            <w:pPr>
              <w:spacing w:line="259" w:lineRule="auto"/>
              <w:jc w:val="center"/>
              <w:rPr>
                <w:rFonts w:ascii="Arial" w:hAnsi="Arial" w:cs="Arial"/>
                <w:sz w:val="20"/>
                <w:szCs w:val="20"/>
              </w:rPr>
            </w:pPr>
            <w:r>
              <w:rPr>
                <w:rFonts w:ascii="Arial" w:hAnsi="Arial" w:cs="Arial"/>
                <w:sz w:val="20"/>
                <w:szCs w:val="20"/>
              </w:rPr>
              <w:t>N/A</w:t>
            </w:r>
          </w:p>
        </w:tc>
        <w:tc>
          <w:tcPr>
            <w:tcW w:w="1183" w:type="dxa"/>
          </w:tcPr>
          <w:p w14:paraId="0BD04690" w14:textId="77777777" w:rsidR="00F06647" w:rsidRPr="00A67B2B" w:rsidRDefault="006F7DDA" w:rsidP="00A67B2B">
            <w:pPr>
              <w:spacing w:line="259" w:lineRule="auto"/>
              <w:jc w:val="center"/>
              <w:rPr>
                <w:rFonts w:ascii="Arial" w:hAnsi="Arial" w:cs="Arial"/>
                <w:sz w:val="20"/>
                <w:szCs w:val="20"/>
              </w:rPr>
            </w:pPr>
            <w:r>
              <w:rPr>
                <w:rFonts w:ascii="Arial" w:hAnsi="Arial" w:cs="Arial"/>
                <w:sz w:val="20"/>
                <w:szCs w:val="20"/>
              </w:rPr>
              <w:t>YES</w:t>
            </w:r>
          </w:p>
        </w:tc>
        <w:tc>
          <w:tcPr>
            <w:tcW w:w="1017" w:type="dxa"/>
          </w:tcPr>
          <w:p w14:paraId="502FC393" w14:textId="77777777" w:rsidR="00F06647" w:rsidRPr="00A67B2B" w:rsidRDefault="006F7DDA" w:rsidP="00A67B2B">
            <w:pPr>
              <w:spacing w:line="259" w:lineRule="auto"/>
              <w:jc w:val="center"/>
              <w:rPr>
                <w:rFonts w:ascii="Arial" w:hAnsi="Arial" w:cs="Arial"/>
                <w:sz w:val="20"/>
                <w:szCs w:val="20"/>
              </w:rPr>
            </w:pPr>
            <w:r>
              <w:rPr>
                <w:rFonts w:ascii="Arial" w:hAnsi="Arial" w:cs="Arial"/>
                <w:sz w:val="20"/>
                <w:szCs w:val="20"/>
              </w:rPr>
              <w:t>NA</w:t>
            </w:r>
          </w:p>
        </w:tc>
        <w:tc>
          <w:tcPr>
            <w:tcW w:w="6263" w:type="dxa"/>
          </w:tcPr>
          <w:p w14:paraId="536EC042" w14:textId="7538294E" w:rsidR="00F06647" w:rsidRPr="00A67B2B" w:rsidRDefault="00B05349" w:rsidP="006F7DDA">
            <w:pPr>
              <w:rPr>
                <w:rFonts w:ascii="Arial" w:hAnsi="Arial" w:cs="Arial"/>
                <w:sz w:val="20"/>
                <w:szCs w:val="20"/>
              </w:rPr>
            </w:pPr>
            <w:r>
              <w:rPr>
                <w:rFonts w:ascii="Arial" w:hAnsi="Arial" w:cs="Arial"/>
                <w:sz w:val="20"/>
                <w:szCs w:val="20"/>
              </w:rPr>
              <w:t>NJDOT</w:t>
            </w:r>
            <w:r w:rsidR="006F7DDA">
              <w:rPr>
                <w:rFonts w:ascii="Arial" w:hAnsi="Arial" w:cs="Arial"/>
                <w:sz w:val="20"/>
                <w:szCs w:val="20"/>
              </w:rPr>
              <w:t xml:space="preserve"> suggest</w:t>
            </w:r>
            <w:r>
              <w:rPr>
                <w:rFonts w:ascii="Arial" w:hAnsi="Arial" w:cs="Arial"/>
                <w:sz w:val="20"/>
                <w:szCs w:val="20"/>
              </w:rPr>
              <w:t>s</w:t>
            </w:r>
            <w:r w:rsidR="006F7DDA">
              <w:rPr>
                <w:rFonts w:ascii="Arial" w:hAnsi="Arial" w:cs="Arial"/>
                <w:sz w:val="20"/>
                <w:szCs w:val="20"/>
              </w:rPr>
              <w:t xml:space="preserve"> that for special cases there should be an option to revise the shape of the warning signs similar to Section  </w:t>
            </w:r>
            <w:r w:rsidR="006F7DDA" w:rsidRPr="006F7DDA">
              <w:rPr>
                <w:rFonts w:ascii="Arial" w:hAnsi="Arial" w:cs="Arial"/>
                <w:sz w:val="20"/>
                <w:szCs w:val="20"/>
              </w:rPr>
              <w:t>6H.01</w:t>
            </w:r>
            <w:r w:rsidR="006F7DDA">
              <w:rPr>
                <w:rFonts w:ascii="Arial" w:hAnsi="Arial" w:cs="Arial"/>
                <w:sz w:val="20"/>
                <w:szCs w:val="20"/>
              </w:rPr>
              <w:t>, lines 23/24 where “</w:t>
            </w:r>
            <w:r w:rsidR="006F7DDA" w:rsidRPr="006F7DDA">
              <w:rPr>
                <w:rFonts w:ascii="Arial" w:hAnsi="Arial" w:cs="Arial"/>
                <w:sz w:val="20"/>
                <w:szCs w:val="20"/>
              </w:rPr>
              <w:t>Mounting or space considerations may justify a change from the standard</w:t>
            </w:r>
            <w:r w:rsidR="006F7DDA">
              <w:rPr>
                <w:rFonts w:ascii="Arial" w:hAnsi="Arial" w:cs="Arial"/>
                <w:sz w:val="20"/>
                <w:szCs w:val="20"/>
              </w:rPr>
              <w:t xml:space="preserve"> diamond shape to a rectangular s</w:t>
            </w:r>
            <w:r w:rsidR="006F7DDA" w:rsidRPr="006F7DDA">
              <w:rPr>
                <w:rFonts w:ascii="Arial" w:hAnsi="Arial" w:cs="Arial"/>
                <w:sz w:val="20"/>
                <w:szCs w:val="20"/>
              </w:rPr>
              <w:t>hape.</w:t>
            </w:r>
            <w:r w:rsidR="006F7DDA">
              <w:rPr>
                <w:rFonts w:ascii="Arial" w:hAnsi="Arial" w:cs="Arial"/>
                <w:sz w:val="20"/>
                <w:szCs w:val="20"/>
              </w:rPr>
              <w:t>”</w:t>
            </w:r>
          </w:p>
        </w:tc>
      </w:tr>
      <w:tr w:rsidR="00782C18" w14:paraId="496DB343" w14:textId="77777777" w:rsidTr="00C92A11">
        <w:tc>
          <w:tcPr>
            <w:tcW w:w="1170" w:type="dxa"/>
          </w:tcPr>
          <w:p w14:paraId="59793DDA" w14:textId="77777777" w:rsidR="00F06647" w:rsidRPr="00A67B2B" w:rsidRDefault="00123640" w:rsidP="00A67B2B">
            <w:pPr>
              <w:spacing w:line="259" w:lineRule="auto"/>
              <w:rPr>
                <w:rFonts w:ascii="Arial" w:hAnsi="Arial" w:cs="Arial"/>
                <w:sz w:val="20"/>
                <w:szCs w:val="20"/>
              </w:rPr>
            </w:pPr>
            <w:r w:rsidRPr="00123640">
              <w:rPr>
                <w:rFonts w:ascii="Arial" w:hAnsi="Arial" w:cs="Arial"/>
                <w:sz w:val="20"/>
                <w:szCs w:val="20"/>
              </w:rPr>
              <w:t>1C.02</w:t>
            </w:r>
          </w:p>
        </w:tc>
        <w:tc>
          <w:tcPr>
            <w:tcW w:w="1167" w:type="dxa"/>
          </w:tcPr>
          <w:p w14:paraId="1B46CA82" w14:textId="77777777" w:rsidR="00F06647" w:rsidRPr="00A67B2B" w:rsidRDefault="00123640" w:rsidP="00A67B2B">
            <w:pPr>
              <w:spacing w:line="259" w:lineRule="auto"/>
              <w:jc w:val="center"/>
              <w:rPr>
                <w:rFonts w:ascii="Arial" w:hAnsi="Arial" w:cs="Arial"/>
                <w:sz w:val="20"/>
                <w:szCs w:val="20"/>
              </w:rPr>
            </w:pPr>
            <w:r>
              <w:rPr>
                <w:rFonts w:ascii="Arial" w:hAnsi="Arial" w:cs="Arial"/>
                <w:sz w:val="20"/>
                <w:szCs w:val="20"/>
              </w:rPr>
              <w:t>N/A</w:t>
            </w:r>
          </w:p>
        </w:tc>
        <w:tc>
          <w:tcPr>
            <w:tcW w:w="1183" w:type="dxa"/>
          </w:tcPr>
          <w:p w14:paraId="05D3AFCD" w14:textId="77777777" w:rsidR="00F06647" w:rsidRPr="00A67B2B" w:rsidRDefault="00123640" w:rsidP="00A67B2B">
            <w:pPr>
              <w:spacing w:line="259" w:lineRule="auto"/>
              <w:jc w:val="center"/>
              <w:rPr>
                <w:rFonts w:ascii="Arial" w:hAnsi="Arial" w:cs="Arial"/>
                <w:sz w:val="20"/>
                <w:szCs w:val="20"/>
              </w:rPr>
            </w:pPr>
            <w:r>
              <w:rPr>
                <w:rFonts w:ascii="Arial" w:hAnsi="Arial" w:cs="Arial"/>
                <w:sz w:val="20"/>
                <w:szCs w:val="20"/>
              </w:rPr>
              <w:t>YES</w:t>
            </w:r>
          </w:p>
        </w:tc>
        <w:tc>
          <w:tcPr>
            <w:tcW w:w="1017" w:type="dxa"/>
          </w:tcPr>
          <w:p w14:paraId="250C0565" w14:textId="77777777" w:rsidR="00F06647" w:rsidRPr="00A67B2B" w:rsidRDefault="00123640" w:rsidP="00A67B2B">
            <w:pPr>
              <w:spacing w:line="259" w:lineRule="auto"/>
              <w:jc w:val="center"/>
              <w:rPr>
                <w:rFonts w:ascii="Arial" w:hAnsi="Arial" w:cs="Arial"/>
                <w:sz w:val="20"/>
                <w:szCs w:val="20"/>
              </w:rPr>
            </w:pPr>
            <w:r>
              <w:rPr>
                <w:rFonts w:ascii="Arial" w:hAnsi="Arial" w:cs="Arial"/>
                <w:sz w:val="20"/>
                <w:szCs w:val="20"/>
              </w:rPr>
              <w:t>N/A</w:t>
            </w:r>
          </w:p>
        </w:tc>
        <w:tc>
          <w:tcPr>
            <w:tcW w:w="6263" w:type="dxa"/>
          </w:tcPr>
          <w:p w14:paraId="5937B6D3" w14:textId="13310971" w:rsidR="00AE1909" w:rsidRDefault="00B05349" w:rsidP="007266E5">
            <w:pPr>
              <w:rPr>
                <w:rFonts w:ascii="Arial" w:hAnsi="Arial" w:cs="Arial"/>
                <w:sz w:val="20"/>
                <w:szCs w:val="20"/>
              </w:rPr>
            </w:pPr>
            <w:r>
              <w:rPr>
                <w:rFonts w:ascii="Arial" w:hAnsi="Arial" w:cs="Arial"/>
                <w:sz w:val="20"/>
                <w:szCs w:val="20"/>
              </w:rPr>
              <w:t>NJDOT</w:t>
            </w:r>
            <w:r w:rsidR="00E258AD">
              <w:rPr>
                <w:rFonts w:ascii="Arial" w:hAnsi="Arial" w:cs="Arial"/>
                <w:sz w:val="20"/>
                <w:szCs w:val="20"/>
              </w:rPr>
              <w:t xml:space="preserve"> propose</w:t>
            </w:r>
            <w:r>
              <w:rPr>
                <w:rFonts w:ascii="Arial" w:hAnsi="Arial" w:cs="Arial"/>
                <w:sz w:val="20"/>
                <w:szCs w:val="20"/>
              </w:rPr>
              <w:t>s</w:t>
            </w:r>
            <w:r w:rsidR="00E258AD">
              <w:rPr>
                <w:rFonts w:ascii="Arial" w:hAnsi="Arial" w:cs="Arial"/>
                <w:sz w:val="20"/>
                <w:szCs w:val="20"/>
              </w:rPr>
              <w:t xml:space="preserve"> </w:t>
            </w:r>
            <w:r w:rsidR="00123640">
              <w:rPr>
                <w:rFonts w:ascii="Arial" w:hAnsi="Arial" w:cs="Arial"/>
                <w:sz w:val="20"/>
                <w:szCs w:val="20"/>
              </w:rPr>
              <w:t>th</w:t>
            </w:r>
            <w:r w:rsidR="003958E8">
              <w:rPr>
                <w:rFonts w:ascii="Arial" w:hAnsi="Arial" w:cs="Arial"/>
                <w:sz w:val="20"/>
                <w:szCs w:val="20"/>
              </w:rPr>
              <w:t xml:space="preserve">e inclusion of </w:t>
            </w:r>
            <w:r w:rsidR="00123640">
              <w:rPr>
                <w:rFonts w:ascii="Arial" w:hAnsi="Arial" w:cs="Arial"/>
                <w:sz w:val="20"/>
                <w:szCs w:val="20"/>
              </w:rPr>
              <w:t>a definition for a</w:t>
            </w:r>
            <w:r w:rsidR="003958E8">
              <w:rPr>
                <w:rFonts w:ascii="Arial" w:hAnsi="Arial" w:cs="Arial"/>
                <w:sz w:val="20"/>
                <w:szCs w:val="20"/>
              </w:rPr>
              <w:t xml:space="preserve"> “trail</w:t>
            </w:r>
            <w:r w:rsidR="00123640">
              <w:rPr>
                <w:rFonts w:ascii="Arial" w:hAnsi="Arial" w:cs="Arial"/>
                <w:sz w:val="20"/>
                <w:szCs w:val="20"/>
              </w:rPr>
              <w:t xml:space="preserve"> crossing</w:t>
            </w:r>
            <w:r w:rsidR="003958E8">
              <w:rPr>
                <w:rFonts w:ascii="Arial" w:hAnsi="Arial" w:cs="Arial"/>
                <w:sz w:val="20"/>
                <w:szCs w:val="20"/>
              </w:rPr>
              <w:t>.” It</w:t>
            </w:r>
            <w:r w:rsidR="00123640">
              <w:rPr>
                <w:rFonts w:ascii="Arial" w:hAnsi="Arial" w:cs="Arial"/>
                <w:sz w:val="20"/>
                <w:szCs w:val="20"/>
              </w:rPr>
              <w:t xml:space="preserve"> is unclear if a trail crossing should be considered same as a midblock crossing.</w:t>
            </w:r>
            <w:r w:rsidR="00123640" w:rsidRPr="00123640">
              <w:rPr>
                <w:rFonts w:ascii="Arial" w:hAnsi="Arial" w:cs="Arial"/>
                <w:sz w:val="20"/>
                <w:szCs w:val="20"/>
              </w:rPr>
              <w:t xml:space="preserve"> With the rapid develop</w:t>
            </w:r>
            <w:r w:rsidR="009216FA">
              <w:rPr>
                <w:rFonts w:ascii="Arial" w:hAnsi="Arial" w:cs="Arial"/>
                <w:sz w:val="20"/>
                <w:szCs w:val="20"/>
              </w:rPr>
              <w:t>ment in the S</w:t>
            </w:r>
            <w:r w:rsidR="00123640" w:rsidRPr="00123640">
              <w:rPr>
                <w:rFonts w:ascii="Arial" w:hAnsi="Arial" w:cs="Arial"/>
                <w:sz w:val="20"/>
                <w:szCs w:val="20"/>
              </w:rPr>
              <w:t xml:space="preserve">tate of New Jersey, </w:t>
            </w:r>
            <w:r w:rsidR="00123640">
              <w:rPr>
                <w:rFonts w:ascii="Arial" w:hAnsi="Arial" w:cs="Arial"/>
                <w:sz w:val="20"/>
                <w:szCs w:val="20"/>
              </w:rPr>
              <w:t>the differences between such crossings can be unclear.</w:t>
            </w:r>
            <w:r w:rsidR="007266E5">
              <w:rPr>
                <w:rFonts w:ascii="Arial" w:hAnsi="Arial" w:cs="Arial"/>
                <w:sz w:val="20"/>
                <w:szCs w:val="20"/>
              </w:rPr>
              <w:t xml:space="preserve"> Also, Section </w:t>
            </w:r>
            <w:r w:rsidR="007266E5" w:rsidRPr="007266E5">
              <w:rPr>
                <w:rFonts w:ascii="Arial" w:hAnsi="Arial" w:cs="Arial"/>
                <w:sz w:val="20"/>
                <w:szCs w:val="20"/>
              </w:rPr>
              <w:t>2B.20</w:t>
            </w:r>
            <w:r w:rsidR="007266E5">
              <w:rPr>
                <w:rFonts w:ascii="Arial" w:hAnsi="Arial" w:cs="Arial"/>
                <w:sz w:val="20"/>
                <w:szCs w:val="20"/>
              </w:rPr>
              <w:t>, opts that “</w:t>
            </w:r>
            <w:r w:rsidR="007266E5" w:rsidRPr="007266E5">
              <w:rPr>
                <w:rFonts w:ascii="Arial" w:hAnsi="Arial" w:cs="Arial"/>
                <w:sz w:val="20"/>
                <w:szCs w:val="20"/>
              </w:rPr>
              <w:t>The In-Street and Overhead Pedestrian and Trail Crossing sign may be us</w:t>
            </w:r>
            <w:r w:rsidR="007266E5">
              <w:rPr>
                <w:rFonts w:ascii="Arial" w:hAnsi="Arial" w:cs="Arial"/>
                <w:sz w:val="20"/>
                <w:szCs w:val="20"/>
              </w:rPr>
              <w:t xml:space="preserve">ed at intersections or midblock </w:t>
            </w:r>
            <w:r w:rsidR="007266E5" w:rsidRPr="007266E5">
              <w:rPr>
                <w:rFonts w:ascii="Arial" w:hAnsi="Arial" w:cs="Arial"/>
                <w:sz w:val="20"/>
                <w:szCs w:val="20"/>
              </w:rPr>
              <w:t>pedestrian crossings with flashing beacons.</w:t>
            </w:r>
            <w:r w:rsidR="007266E5">
              <w:rPr>
                <w:rFonts w:ascii="Arial" w:hAnsi="Arial" w:cs="Arial"/>
                <w:sz w:val="20"/>
                <w:szCs w:val="20"/>
              </w:rPr>
              <w:t>” suggesting that a trail crossing is a midblock crossing.</w:t>
            </w:r>
          </w:p>
          <w:p w14:paraId="234A900C" w14:textId="53BCFD51" w:rsidR="00AE1909" w:rsidRDefault="00AE1909" w:rsidP="00AE1909">
            <w:pPr>
              <w:rPr>
                <w:rFonts w:ascii="Arial" w:hAnsi="Arial" w:cs="Arial"/>
                <w:sz w:val="20"/>
                <w:szCs w:val="20"/>
              </w:rPr>
            </w:pPr>
          </w:p>
          <w:p w14:paraId="144EF3D4" w14:textId="77777777" w:rsidR="00F06647" w:rsidRPr="00AE1909" w:rsidRDefault="00F06647" w:rsidP="00AE1909">
            <w:pPr>
              <w:jc w:val="center"/>
              <w:rPr>
                <w:rFonts w:ascii="Arial" w:hAnsi="Arial" w:cs="Arial"/>
                <w:sz w:val="20"/>
                <w:szCs w:val="20"/>
              </w:rPr>
            </w:pPr>
          </w:p>
        </w:tc>
      </w:tr>
      <w:tr w:rsidR="00C92A11" w14:paraId="35E789F5" w14:textId="77777777" w:rsidTr="00C92A11">
        <w:trPr>
          <w:trHeight w:val="1410"/>
        </w:trPr>
        <w:tc>
          <w:tcPr>
            <w:tcW w:w="1170" w:type="dxa"/>
          </w:tcPr>
          <w:p w14:paraId="1082FFCA" w14:textId="77777777" w:rsidR="00C92A11" w:rsidRPr="00A67B2B" w:rsidRDefault="00C92A11" w:rsidP="00A67B2B">
            <w:pPr>
              <w:spacing w:line="259" w:lineRule="auto"/>
              <w:rPr>
                <w:rFonts w:ascii="Arial" w:hAnsi="Arial" w:cs="Arial"/>
                <w:sz w:val="20"/>
                <w:szCs w:val="20"/>
              </w:rPr>
            </w:pPr>
            <w:r w:rsidRPr="00E258AD">
              <w:rPr>
                <w:rFonts w:ascii="Arial" w:hAnsi="Arial" w:cs="Arial"/>
                <w:sz w:val="20"/>
                <w:szCs w:val="20"/>
              </w:rPr>
              <w:lastRenderedPageBreak/>
              <w:t>2B.46</w:t>
            </w:r>
          </w:p>
        </w:tc>
        <w:tc>
          <w:tcPr>
            <w:tcW w:w="1167" w:type="dxa"/>
          </w:tcPr>
          <w:p w14:paraId="0C9B91D2" w14:textId="77777777" w:rsidR="00C92A11" w:rsidRPr="00A67B2B" w:rsidRDefault="00C92A11" w:rsidP="00A67B2B">
            <w:pPr>
              <w:spacing w:line="259" w:lineRule="auto"/>
              <w:jc w:val="center"/>
              <w:rPr>
                <w:rFonts w:ascii="Arial" w:hAnsi="Arial" w:cs="Arial"/>
                <w:sz w:val="20"/>
                <w:szCs w:val="20"/>
              </w:rPr>
            </w:pPr>
            <w:r>
              <w:rPr>
                <w:rFonts w:ascii="Arial" w:hAnsi="Arial" w:cs="Arial"/>
                <w:sz w:val="20"/>
                <w:szCs w:val="20"/>
              </w:rPr>
              <w:t>N/A</w:t>
            </w:r>
          </w:p>
        </w:tc>
        <w:tc>
          <w:tcPr>
            <w:tcW w:w="1183" w:type="dxa"/>
          </w:tcPr>
          <w:p w14:paraId="4735E9EC" w14:textId="77777777" w:rsidR="00C92A11" w:rsidRPr="00A67B2B" w:rsidRDefault="00C92A11" w:rsidP="00A67B2B">
            <w:pPr>
              <w:spacing w:line="259" w:lineRule="auto"/>
              <w:jc w:val="center"/>
              <w:rPr>
                <w:rFonts w:ascii="Arial" w:hAnsi="Arial" w:cs="Arial"/>
                <w:sz w:val="20"/>
                <w:szCs w:val="20"/>
              </w:rPr>
            </w:pPr>
            <w:r>
              <w:rPr>
                <w:rFonts w:ascii="Arial" w:hAnsi="Arial" w:cs="Arial"/>
                <w:sz w:val="20"/>
                <w:szCs w:val="20"/>
              </w:rPr>
              <w:t>YES</w:t>
            </w:r>
          </w:p>
        </w:tc>
        <w:tc>
          <w:tcPr>
            <w:tcW w:w="1017" w:type="dxa"/>
          </w:tcPr>
          <w:p w14:paraId="7A5BEB42" w14:textId="77777777" w:rsidR="00C92A11" w:rsidRPr="00A67B2B" w:rsidRDefault="00C92A11" w:rsidP="00A67B2B">
            <w:pPr>
              <w:spacing w:line="259" w:lineRule="auto"/>
              <w:jc w:val="center"/>
              <w:rPr>
                <w:rFonts w:ascii="Arial" w:hAnsi="Arial" w:cs="Arial"/>
                <w:sz w:val="20"/>
                <w:szCs w:val="20"/>
              </w:rPr>
            </w:pPr>
            <w:r>
              <w:rPr>
                <w:rFonts w:ascii="Arial" w:hAnsi="Arial" w:cs="Arial"/>
                <w:sz w:val="20"/>
                <w:szCs w:val="20"/>
              </w:rPr>
              <w:t>N/A</w:t>
            </w:r>
          </w:p>
        </w:tc>
        <w:tc>
          <w:tcPr>
            <w:tcW w:w="6263" w:type="dxa"/>
          </w:tcPr>
          <w:p w14:paraId="335D2BBA" w14:textId="4EA4DD41" w:rsidR="00C92A11" w:rsidRDefault="00B05349" w:rsidP="00E258AD">
            <w:pPr>
              <w:spacing w:line="259" w:lineRule="auto"/>
              <w:rPr>
                <w:rFonts w:ascii="Arial" w:hAnsi="Arial" w:cs="Arial"/>
                <w:sz w:val="20"/>
                <w:szCs w:val="20"/>
              </w:rPr>
            </w:pPr>
            <w:r>
              <w:rPr>
                <w:rFonts w:ascii="Arial" w:hAnsi="Arial" w:cs="Arial"/>
                <w:sz w:val="20"/>
                <w:szCs w:val="20"/>
              </w:rPr>
              <w:t>NJDOT</w:t>
            </w:r>
            <w:r w:rsidR="00C92A11">
              <w:rPr>
                <w:rFonts w:ascii="Arial" w:hAnsi="Arial" w:cs="Arial"/>
                <w:sz w:val="20"/>
                <w:szCs w:val="20"/>
              </w:rPr>
              <w:t xml:space="preserve"> s</w:t>
            </w:r>
            <w:r w:rsidR="00C92A11" w:rsidRPr="00E258AD">
              <w:rPr>
                <w:rFonts w:ascii="Arial" w:hAnsi="Arial" w:cs="Arial"/>
                <w:sz w:val="20"/>
                <w:szCs w:val="20"/>
              </w:rPr>
              <w:t>uggest</w:t>
            </w:r>
            <w:r>
              <w:rPr>
                <w:rFonts w:ascii="Arial" w:hAnsi="Arial" w:cs="Arial"/>
                <w:sz w:val="20"/>
                <w:szCs w:val="20"/>
              </w:rPr>
              <w:t>s</w:t>
            </w:r>
            <w:r w:rsidR="00C92A11" w:rsidRPr="00E258AD">
              <w:rPr>
                <w:rFonts w:ascii="Arial" w:hAnsi="Arial" w:cs="Arial"/>
                <w:sz w:val="20"/>
                <w:szCs w:val="20"/>
              </w:rPr>
              <w:t xml:space="preserve"> that a regulatory sign </w:t>
            </w:r>
            <w:r w:rsidR="00C92A11">
              <w:rPr>
                <w:rFonts w:ascii="Arial" w:hAnsi="Arial" w:cs="Arial"/>
                <w:sz w:val="20"/>
                <w:szCs w:val="20"/>
              </w:rPr>
              <w:t>st</w:t>
            </w:r>
            <w:r w:rsidR="00C92A11" w:rsidRPr="00E258AD">
              <w:rPr>
                <w:rFonts w:ascii="Arial" w:hAnsi="Arial" w:cs="Arial"/>
                <w:sz w:val="20"/>
                <w:szCs w:val="20"/>
              </w:rPr>
              <w:t xml:space="preserve">ating “No </w:t>
            </w:r>
            <w:r w:rsidR="00C92A11">
              <w:rPr>
                <w:rFonts w:ascii="Arial" w:hAnsi="Arial" w:cs="Arial"/>
                <w:sz w:val="20"/>
                <w:szCs w:val="20"/>
              </w:rPr>
              <w:t xml:space="preserve">Motorized Equipment” be developed and included within this section and corresponding figures. </w:t>
            </w:r>
            <w:r w:rsidR="009216FA">
              <w:rPr>
                <w:rFonts w:ascii="Arial" w:hAnsi="Arial" w:cs="Arial"/>
                <w:sz w:val="20"/>
                <w:szCs w:val="20"/>
              </w:rPr>
              <w:t>NJDOT</w:t>
            </w:r>
            <w:r w:rsidR="00C92A11">
              <w:rPr>
                <w:rFonts w:ascii="Arial" w:hAnsi="Arial" w:cs="Arial"/>
                <w:sz w:val="20"/>
                <w:szCs w:val="20"/>
              </w:rPr>
              <w:t xml:space="preserve"> request</w:t>
            </w:r>
            <w:r w:rsidR="009216FA">
              <w:rPr>
                <w:rFonts w:ascii="Arial" w:hAnsi="Arial" w:cs="Arial"/>
                <w:sz w:val="20"/>
                <w:szCs w:val="20"/>
              </w:rPr>
              <w:t>s</w:t>
            </w:r>
            <w:r w:rsidR="00C92A11">
              <w:rPr>
                <w:rFonts w:ascii="Arial" w:hAnsi="Arial" w:cs="Arial"/>
                <w:sz w:val="20"/>
                <w:szCs w:val="20"/>
              </w:rPr>
              <w:t xml:space="preserve"> this to deal with cases whe</w:t>
            </w:r>
            <w:r w:rsidR="00465D75">
              <w:rPr>
                <w:rFonts w:ascii="Arial" w:hAnsi="Arial" w:cs="Arial"/>
                <w:sz w:val="20"/>
                <w:szCs w:val="20"/>
              </w:rPr>
              <w:t>re</w:t>
            </w:r>
            <w:r w:rsidR="00C92A11">
              <w:rPr>
                <w:rFonts w:ascii="Arial" w:hAnsi="Arial" w:cs="Arial"/>
                <w:sz w:val="20"/>
                <w:szCs w:val="20"/>
              </w:rPr>
              <w:t xml:space="preserve"> facilities such as pedestrian only bridges are </w:t>
            </w:r>
            <w:r w:rsidR="00C92A11" w:rsidRPr="00E258AD">
              <w:rPr>
                <w:rFonts w:ascii="Arial" w:hAnsi="Arial" w:cs="Arial"/>
                <w:sz w:val="20"/>
                <w:szCs w:val="20"/>
              </w:rPr>
              <w:t>erroneously</w:t>
            </w:r>
            <w:r w:rsidR="00C92A11">
              <w:rPr>
                <w:rFonts w:ascii="Arial" w:hAnsi="Arial" w:cs="Arial"/>
                <w:sz w:val="20"/>
                <w:szCs w:val="20"/>
              </w:rPr>
              <w:t xml:space="preserve"> used by motorized equipment such as snow blowers and lawn mowers.</w:t>
            </w:r>
          </w:p>
          <w:p w14:paraId="18635604" w14:textId="77777777" w:rsidR="00C92A11" w:rsidRPr="00A67B2B" w:rsidRDefault="00C92A11" w:rsidP="00E258AD">
            <w:pPr>
              <w:spacing w:line="259" w:lineRule="auto"/>
              <w:rPr>
                <w:rFonts w:ascii="Arial" w:hAnsi="Arial" w:cs="Arial"/>
                <w:sz w:val="20"/>
                <w:szCs w:val="20"/>
              </w:rPr>
            </w:pPr>
          </w:p>
        </w:tc>
      </w:tr>
      <w:tr w:rsidR="00C92A11" w14:paraId="25E9377B" w14:textId="77777777" w:rsidTr="00110428">
        <w:trPr>
          <w:trHeight w:val="521"/>
        </w:trPr>
        <w:tc>
          <w:tcPr>
            <w:tcW w:w="1170" w:type="dxa"/>
          </w:tcPr>
          <w:p w14:paraId="0EA43FD1" w14:textId="77777777" w:rsidR="00C92A11" w:rsidRPr="00E258AD" w:rsidRDefault="00271CB7" w:rsidP="00A67B2B">
            <w:pPr>
              <w:rPr>
                <w:rFonts w:ascii="Arial" w:hAnsi="Arial" w:cs="Arial"/>
                <w:sz w:val="20"/>
                <w:szCs w:val="20"/>
              </w:rPr>
            </w:pPr>
            <w:r>
              <w:rPr>
                <w:rFonts w:ascii="Arial" w:hAnsi="Arial" w:cs="Arial"/>
                <w:sz w:val="20"/>
                <w:szCs w:val="20"/>
              </w:rPr>
              <w:t>2B.46</w:t>
            </w:r>
          </w:p>
        </w:tc>
        <w:tc>
          <w:tcPr>
            <w:tcW w:w="1167" w:type="dxa"/>
          </w:tcPr>
          <w:p w14:paraId="4E30F729" w14:textId="77777777" w:rsidR="00C92A11" w:rsidRDefault="00814469" w:rsidP="00271CB7">
            <w:pPr>
              <w:jc w:val="center"/>
              <w:rPr>
                <w:rFonts w:ascii="Arial" w:hAnsi="Arial" w:cs="Arial"/>
                <w:sz w:val="20"/>
                <w:szCs w:val="20"/>
              </w:rPr>
            </w:pPr>
            <w:r>
              <w:rPr>
                <w:rFonts w:ascii="Arial" w:hAnsi="Arial" w:cs="Arial"/>
                <w:sz w:val="20"/>
                <w:szCs w:val="20"/>
              </w:rPr>
              <w:t>NO</w:t>
            </w:r>
          </w:p>
        </w:tc>
        <w:tc>
          <w:tcPr>
            <w:tcW w:w="1183" w:type="dxa"/>
          </w:tcPr>
          <w:p w14:paraId="4786CF9D" w14:textId="77777777" w:rsidR="00C92A11" w:rsidRDefault="00271CB7" w:rsidP="00271CB7">
            <w:pPr>
              <w:jc w:val="center"/>
              <w:rPr>
                <w:rFonts w:ascii="Arial" w:hAnsi="Arial" w:cs="Arial"/>
                <w:sz w:val="20"/>
                <w:szCs w:val="20"/>
              </w:rPr>
            </w:pPr>
            <w:r>
              <w:rPr>
                <w:rFonts w:ascii="Arial" w:hAnsi="Arial" w:cs="Arial"/>
                <w:sz w:val="20"/>
                <w:szCs w:val="20"/>
              </w:rPr>
              <w:t>YES</w:t>
            </w:r>
          </w:p>
        </w:tc>
        <w:tc>
          <w:tcPr>
            <w:tcW w:w="1017" w:type="dxa"/>
          </w:tcPr>
          <w:p w14:paraId="19D78D35" w14:textId="77777777" w:rsidR="00C92A11" w:rsidRDefault="00271CB7" w:rsidP="00271CB7">
            <w:pPr>
              <w:jc w:val="center"/>
              <w:rPr>
                <w:rFonts w:ascii="Arial" w:hAnsi="Arial" w:cs="Arial"/>
                <w:sz w:val="20"/>
                <w:szCs w:val="20"/>
              </w:rPr>
            </w:pPr>
            <w:r>
              <w:rPr>
                <w:rFonts w:ascii="Arial" w:hAnsi="Arial" w:cs="Arial"/>
                <w:sz w:val="20"/>
                <w:szCs w:val="20"/>
              </w:rPr>
              <w:t>N/A</w:t>
            </w:r>
          </w:p>
        </w:tc>
        <w:tc>
          <w:tcPr>
            <w:tcW w:w="6263" w:type="dxa"/>
          </w:tcPr>
          <w:p w14:paraId="7D50F58E" w14:textId="0DA3B4D3" w:rsidR="00C92A11" w:rsidRDefault="00B05349" w:rsidP="009D0920">
            <w:pPr>
              <w:spacing w:line="259" w:lineRule="auto"/>
              <w:rPr>
                <w:rFonts w:ascii="Arial" w:hAnsi="Arial" w:cs="Arial"/>
                <w:sz w:val="20"/>
                <w:szCs w:val="20"/>
              </w:rPr>
            </w:pPr>
            <w:r>
              <w:rPr>
                <w:rFonts w:ascii="Arial" w:hAnsi="Arial" w:cs="Arial"/>
                <w:sz w:val="20"/>
                <w:szCs w:val="20"/>
              </w:rPr>
              <w:t>NJDOT</w:t>
            </w:r>
            <w:r w:rsidR="00814469">
              <w:rPr>
                <w:rFonts w:ascii="Arial" w:hAnsi="Arial" w:cs="Arial"/>
                <w:sz w:val="20"/>
                <w:szCs w:val="20"/>
              </w:rPr>
              <w:t xml:space="preserve"> request</w:t>
            </w:r>
            <w:r>
              <w:rPr>
                <w:rFonts w:ascii="Arial" w:hAnsi="Arial" w:cs="Arial"/>
                <w:sz w:val="20"/>
                <w:szCs w:val="20"/>
              </w:rPr>
              <w:t>s</w:t>
            </w:r>
            <w:r w:rsidR="00814469">
              <w:rPr>
                <w:rFonts w:ascii="Arial" w:hAnsi="Arial" w:cs="Arial"/>
                <w:sz w:val="20"/>
                <w:szCs w:val="20"/>
              </w:rPr>
              <w:t xml:space="preserve"> that the </w:t>
            </w:r>
            <w:r w:rsidR="003958E8">
              <w:rPr>
                <w:rFonts w:ascii="Arial" w:hAnsi="Arial" w:cs="Arial"/>
                <w:sz w:val="20"/>
                <w:szCs w:val="20"/>
              </w:rPr>
              <w:t xml:space="preserve">FHWA review </w:t>
            </w:r>
            <w:r w:rsidR="00814469">
              <w:rPr>
                <w:rFonts w:ascii="Arial" w:hAnsi="Arial" w:cs="Arial"/>
                <w:sz w:val="20"/>
                <w:szCs w:val="20"/>
              </w:rPr>
              <w:t>R5-2b (NO THROUGH TRUCKS) and R5-12 (NO THROUGH TRAFFIC)</w:t>
            </w:r>
            <w:r w:rsidR="00F10082">
              <w:rPr>
                <w:rFonts w:ascii="Arial" w:hAnsi="Arial" w:cs="Arial"/>
                <w:sz w:val="20"/>
                <w:szCs w:val="20"/>
              </w:rPr>
              <w:t>.</w:t>
            </w:r>
            <w:r w:rsidR="00814469">
              <w:rPr>
                <w:rFonts w:ascii="Arial" w:hAnsi="Arial" w:cs="Arial"/>
                <w:sz w:val="20"/>
                <w:szCs w:val="20"/>
              </w:rPr>
              <w:t xml:space="preserve"> </w:t>
            </w:r>
            <w:r w:rsidR="00F10082">
              <w:rPr>
                <w:rFonts w:ascii="Arial" w:hAnsi="Arial" w:cs="Arial"/>
                <w:sz w:val="20"/>
                <w:szCs w:val="20"/>
              </w:rPr>
              <w:t xml:space="preserve">Based on experiences with certain jurisdictions in the state, these signs may not be appropriate.  </w:t>
            </w:r>
            <w:r w:rsidR="00814469">
              <w:rPr>
                <w:rFonts w:ascii="Arial" w:hAnsi="Arial" w:cs="Arial"/>
                <w:sz w:val="20"/>
                <w:szCs w:val="20"/>
              </w:rPr>
              <w:t xml:space="preserve">If these signs become standard signs, many argue that they </w:t>
            </w:r>
            <w:r w:rsidR="00F10082">
              <w:rPr>
                <w:rFonts w:ascii="Arial" w:hAnsi="Arial" w:cs="Arial"/>
                <w:sz w:val="20"/>
                <w:szCs w:val="20"/>
              </w:rPr>
              <w:t xml:space="preserve">could be used to prohibit truck traffic as well as all other traffic that originates outside of the jurisdiction. Therefore, </w:t>
            </w:r>
            <w:r>
              <w:rPr>
                <w:rFonts w:ascii="Arial" w:hAnsi="Arial" w:cs="Arial"/>
                <w:sz w:val="20"/>
                <w:szCs w:val="20"/>
              </w:rPr>
              <w:t>NJDOT</w:t>
            </w:r>
            <w:r w:rsidR="00814469">
              <w:rPr>
                <w:rFonts w:ascii="Arial" w:hAnsi="Arial" w:cs="Arial"/>
                <w:sz w:val="20"/>
                <w:szCs w:val="20"/>
              </w:rPr>
              <w:t xml:space="preserve"> </w:t>
            </w:r>
            <w:r w:rsidR="00F10082">
              <w:rPr>
                <w:rFonts w:ascii="Arial" w:hAnsi="Arial" w:cs="Arial"/>
                <w:sz w:val="20"/>
                <w:szCs w:val="20"/>
              </w:rPr>
              <w:t>recommends</w:t>
            </w:r>
            <w:r w:rsidR="00814469">
              <w:rPr>
                <w:rFonts w:ascii="Arial" w:hAnsi="Arial" w:cs="Arial"/>
                <w:sz w:val="20"/>
                <w:szCs w:val="20"/>
              </w:rPr>
              <w:t xml:space="preserve"> that the sign </w:t>
            </w:r>
            <w:r w:rsidR="00814469" w:rsidRPr="00814469">
              <w:rPr>
                <w:rFonts w:ascii="Arial" w:hAnsi="Arial" w:cs="Arial"/>
                <w:sz w:val="20"/>
                <w:szCs w:val="20"/>
              </w:rPr>
              <w:t>R5-12 (NO THROUGH TRAFFIC)</w:t>
            </w:r>
            <w:r w:rsidR="00814469">
              <w:rPr>
                <w:rFonts w:ascii="Arial" w:hAnsi="Arial" w:cs="Arial"/>
                <w:sz w:val="20"/>
                <w:szCs w:val="20"/>
              </w:rPr>
              <w:t xml:space="preserve"> be completely removed from the proposed revisions</w:t>
            </w:r>
            <w:r w:rsidR="00F10082">
              <w:rPr>
                <w:rFonts w:ascii="Arial" w:hAnsi="Arial" w:cs="Arial"/>
                <w:sz w:val="20"/>
                <w:szCs w:val="20"/>
              </w:rPr>
              <w:t xml:space="preserve">.  NJDOT also recommends </w:t>
            </w:r>
            <w:r w:rsidR="009D0920">
              <w:rPr>
                <w:rFonts w:ascii="Arial" w:hAnsi="Arial" w:cs="Arial"/>
                <w:sz w:val="20"/>
                <w:szCs w:val="20"/>
              </w:rPr>
              <w:t xml:space="preserve">the modification of R5-2b so that it describes size and weight limitations rather than prohibiting truck traffic altogether.  For example, instead of reading “NO THROUGH TRUCKS,” an </w:t>
            </w:r>
            <w:r w:rsidR="00814469" w:rsidRPr="00814469">
              <w:rPr>
                <w:rFonts w:ascii="Arial" w:hAnsi="Arial" w:cs="Arial"/>
                <w:sz w:val="20"/>
                <w:szCs w:val="20"/>
              </w:rPr>
              <w:t>R5-2b</w:t>
            </w:r>
            <w:r w:rsidR="009D0920">
              <w:rPr>
                <w:rFonts w:ascii="Arial" w:hAnsi="Arial" w:cs="Arial"/>
                <w:sz w:val="20"/>
                <w:szCs w:val="20"/>
              </w:rPr>
              <w:t xml:space="preserve"> sign would read</w:t>
            </w:r>
            <w:r w:rsidR="00814469" w:rsidRPr="00814469">
              <w:rPr>
                <w:rFonts w:ascii="Arial" w:hAnsi="Arial" w:cs="Arial"/>
                <w:sz w:val="20"/>
                <w:szCs w:val="20"/>
              </w:rPr>
              <w:t xml:space="preserve"> </w:t>
            </w:r>
            <w:r w:rsidR="00814469">
              <w:rPr>
                <w:rFonts w:ascii="Arial" w:hAnsi="Arial" w:cs="Arial"/>
                <w:sz w:val="20"/>
                <w:szCs w:val="20"/>
              </w:rPr>
              <w:t xml:space="preserve">“NO TRUCKS OVER </w:t>
            </w:r>
            <w:r w:rsidR="009D0920">
              <w:rPr>
                <w:rFonts w:ascii="Arial" w:hAnsi="Arial" w:cs="Arial"/>
                <w:sz w:val="20"/>
                <w:szCs w:val="20"/>
              </w:rPr>
              <w:t>(insert number)</w:t>
            </w:r>
            <w:r w:rsidR="00814469">
              <w:rPr>
                <w:rFonts w:ascii="Arial" w:hAnsi="Arial" w:cs="Arial"/>
                <w:sz w:val="20"/>
                <w:szCs w:val="20"/>
              </w:rPr>
              <w:t xml:space="preserve"> TONS” or “NO TRUCKS OVER </w:t>
            </w:r>
            <w:r w:rsidR="009D0920">
              <w:rPr>
                <w:rFonts w:ascii="Arial" w:hAnsi="Arial" w:cs="Arial"/>
                <w:sz w:val="20"/>
                <w:szCs w:val="20"/>
              </w:rPr>
              <w:t>(insert number)</w:t>
            </w:r>
            <w:r w:rsidR="00814469">
              <w:rPr>
                <w:rFonts w:ascii="Arial" w:hAnsi="Arial" w:cs="Arial"/>
                <w:sz w:val="20"/>
                <w:szCs w:val="20"/>
              </w:rPr>
              <w:t xml:space="preserve"> FEET</w:t>
            </w:r>
            <w:r w:rsidR="009D0920">
              <w:rPr>
                <w:rFonts w:ascii="Arial" w:hAnsi="Arial" w:cs="Arial"/>
                <w:sz w:val="20"/>
                <w:szCs w:val="20"/>
              </w:rPr>
              <w:t>.</w:t>
            </w:r>
            <w:r w:rsidR="00814469">
              <w:rPr>
                <w:rFonts w:ascii="Arial" w:hAnsi="Arial" w:cs="Arial"/>
                <w:sz w:val="20"/>
                <w:szCs w:val="20"/>
              </w:rPr>
              <w:t xml:space="preserve">” </w:t>
            </w:r>
          </w:p>
        </w:tc>
      </w:tr>
      <w:tr w:rsidR="00C92A11" w14:paraId="0140CDCD" w14:textId="77777777" w:rsidTr="00C92A11">
        <w:trPr>
          <w:trHeight w:val="1034"/>
        </w:trPr>
        <w:tc>
          <w:tcPr>
            <w:tcW w:w="1170" w:type="dxa"/>
          </w:tcPr>
          <w:p w14:paraId="7F023CED" w14:textId="78468105" w:rsidR="00C92A11" w:rsidRPr="00E258AD" w:rsidRDefault="00B05349" w:rsidP="00A67B2B">
            <w:pPr>
              <w:rPr>
                <w:rFonts w:ascii="Arial" w:hAnsi="Arial" w:cs="Arial"/>
                <w:sz w:val="20"/>
                <w:szCs w:val="20"/>
              </w:rPr>
            </w:pPr>
            <w:r>
              <w:rPr>
                <w:rFonts w:ascii="Arial" w:hAnsi="Arial" w:cs="Arial"/>
                <w:sz w:val="20"/>
                <w:szCs w:val="20"/>
              </w:rPr>
              <w:t>2B.71</w:t>
            </w:r>
          </w:p>
        </w:tc>
        <w:tc>
          <w:tcPr>
            <w:tcW w:w="1167" w:type="dxa"/>
          </w:tcPr>
          <w:p w14:paraId="13E848BC" w14:textId="0595F9FF" w:rsidR="00C92A11" w:rsidRDefault="00B05349" w:rsidP="00A67B2B">
            <w:pPr>
              <w:jc w:val="center"/>
              <w:rPr>
                <w:rFonts w:ascii="Arial" w:hAnsi="Arial" w:cs="Arial"/>
                <w:sz w:val="20"/>
                <w:szCs w:val="20"/>
              </w:rPr>
            </w:pPr>
            <w:r>
              <w:rPr>
                <w:rFonts w:ascii="Arial" w:hAnsi="Arial" w:cs="Arial"/>
                <w:sz w:val="20"/>
                <w:szCs w:val="20"/>
              </w:rPr>
              <w:t>N/A</w:t>
            </w:r>
          </w:p>
        </w:tc>
        <w:tc>
          <w:tcPr>
            <w:tcW w:w="1183" w:type="dxa"/>
          </w:tcPr>
          <w:p w14:paraId="513B18DB" w14:textId="4D9CC013" w:rsidR="00C92A11" w:rsidRDefault="00B05349" w:rsidP="00A67B2B">
            <w:pPr>
              <w:jc w:val="center"/>
              <w:rPr>
                <w:rFonts w:ascii="Arial" w:hAnsi="Arial" w:cs="Arial"/>
                <w:sz w:val="20"/>
                <w:szCs w:val="20"/>
              </w:rPr>
            </w:pPr>
            <w:r>
              <w:rPr>
                <w:rFonts w:ascii="Arial" w:hAnsi="Arial" w:cs="Arial"/>
                <w:sz w:val="20"/>
                <w:szCs w:val="20"/>
              </w:rPr>
              <w:t>N/A</w:t>
            </w:r>
          </w:p>
        </w:tc>
        <w:tc>
          <w:tcPr>
            <w:tcW w:w="1017" w:type="dxa"/>
          </w:tcPr>
          <w:p w14:paraId="63356B1D" w14:textId="0B4CE726" w:rsidR="00C92A11" w:rsidRDefault="00B05349" w:rsidP="00A67B2B">
            <w:pPr>
              <w:jc w:val="center"/>
              <w:rPr>
                <w:rFonts w:ascii="Arial" w:hAnsi="Arial" w:cs="Arial"/>
                <w:sz w:val="20"/>
                <w:szCs w:val="20"/>
              </w:rPr>
            </w:pPr>
            <w:r>
              <w:rPr>
                <w:rFonts w:ascii="Arial" w:hAnsi="Arial" w:cs="Arial"/>
                <w:sz w:val="20"/>
                <w:szCs w:val="20"/>
              </w:rPr>
              <w:t>N/A</w:t>
            </w:r>
          </w:p>
        </w:tc>
        <w:tc>
          <w:tcPr>
            <w:tcW w:w="6263" w:type="dxa"/>
          </w:tcPr>
          <w:p w14:paraId="745F25FA" w14:textId="7E543B00" w:rsidR="00F44081" w:rsidRPr="00F44081" w:rsidRDefault="00B05349" w:rsidP="00304896">
            <w:pPr>
              <w:spacing w:before="100" w:beforeAutospacing="1" w:after="100" w:afterAutospacing="1"/>
              <w:rPr>
                <w:rFonts w:ascii="Arial" w:eastAsia="Times New Roman" w:hAnsi="Arial" w:cs="Arial"/>
                <w:sz w:val="20"/>
                <w:szCs w:val="20"/>
              </w:rPr>
            </w:pPr>
            <w:r>
              <w:rPr>
                <w:rFonts w:eastAsia="Times New Roman" w:cstheme="minorHAnsi"/>
              </w:rPr>
              <w:t>The new “</w:t>
            </w:r>
            <w:r w:rsidRPr="008A57C6">
              <w:rPr>
                <w:rFonts w:eastAsia="Times New Roman" w:cstheme="minorHAnsi"/>
              </w:rPr>
              <w:t>Section 2B.71 Move Over or Reduce Speed Sign (R16-3)</w:t>
            </w:r>
            <w:r>
              <w:rPr>
                <w:rFonts w:eastAsia="Times New Roman" w:cstheme="minorHAnsi"/>
              </w:rPr>
              <w:t>”</w:t>
            </w:r>
            <w:r w:rsidRPr="00B05349">
              <w:rPr>
                <w:rFonts w:ascii="Arial" w:eastAsia="Times New Roman" w:hAnsi="Arial" w:cs="Arial"/>
                <w:sz w:val="20"/>
                <w:szCs w:val="20"/>
              </w:rPr>
              <w:t xml:space="preserve"> might be an issue because New Jersey state statues would </w:t>
            </w:r>
            <w:r w:rsidR="00304896">
              <w:rPr>
                <w:rFonts w:ascii="Arial" w:eastAsia="Times New Roman" w:hAnsi="Arial" w:cs="Arial"/>
                <w:sz w:val="20"/>
                <w:szCs w:val="20"/>
              </w:rPr>
              <w:t xml:space="preserve">most likely </w:t>
            </w:r>
            <w:r w:rsidRPr="00B05349">
              <w:rPr>
                <w:rFonts w:ascii="Arial" w:eastAsia="Times New Roman" w:hAnsi="Arial" w:cs="Arial"/>
                <w:sz w:val="20"/>
                <w:szCs w:val="20"/>
              </w:rPr>
              <w:t>have to be amended</w:t>
            </w:r>
            <w:r w:rsidR="00304896">
              <w:rPr>
                <w:rFonts w:ascii="Arial" w:eastAsia="Times New Roman" w:hAnsi="Arial" w:cs="Arial"/>
                <w:sz w:val="20"/>
                <w:szCs w:val="20"/>
              </w:rPr>
              <w:t xml:space="preserve"> in order ensure compliance</w:t>
            </w:r>
            <w:r w:rsidRPr="00B05349">
              <w:rPr>
                <w:rFonts w:ascii="Arial" w:eastAsia="Times New Roman" w:hAnsi="Arial" w:cs="Arial"/>
                <w:sz w:val="20"/>
                <w:szCs w:val="20"/>
              </w:rPr>
              <w:t xml:space="preserve">. The same messages on the static ground mounted signs would have to apply to messaging on any </w:t>
            </w:r>
            <w:r w:rsidR="0036218B">
              <w:rPr>
                <w:rFonts w:ascii="Arial" w:eastAsia="Times New Roman" w:hAnsi="Arial" w:cs="Arial"/>
                <w:sz w:val="20"/>
                <w:szCs w:val="20"/>
              </w:rPr>
              <w:t>Dynamic Message Sign (</w:t>
            </w:r>
            <w:r w:rsidRPr="00B05349">
              <w:rPr>
                <w:rFonts w:ascii="Arial" w:eastAsia="Times New Roman" w:hAnsi="Arial" w:cs="Arial"/>
                <w:sz w:val="20"/>
                <w:szCs w:val="20"/>
              </w:rPr>
              <w:t>DMS</w:t>
            </w:r>
            <w:r w:rsidR="0036218B">
              <w:rPr>
                <w:rFonts w:ascii="Arial" w:eastAsia="Times New Roman" w:hAnsi="Arial" w:cs="Arial"/>
                <w:sz w:val="20"/>
                <w:szCs w:val="20"/>
              </w:rPr>
              <w:t>)</w:t>
            </w:r>
            <w:r w:rsidRPr="00B05349">
              <w:rPr>
                <w:rFonts w:eastAsia="Times New Roman" w:cstheme="minorHAnsi"/>
                <w:i/>
              </w:rPr>
              <w:t>.</w:t>
            </w:r>
          </w:p>
        </w:tc>
      </w:tr>
      <w:tr w:rsidR="00304896" w14:paraId="7DE00CF2" w14:textId="77777777" w:rsidTr="00C92A11">
        <w:trPr>
          <w:trHeight w:val="1034"/>
        </w:trPr>
        <w:tc>
          <w:tcPr>
            <w:tcW w:w="1170" w:type="dxa"/>
          </w:tcPr>
          <w:p w14:paraId="2337B7A7" w14:textId="74A4DCE1" w:rsidR="00304896" w:rsidRDefault="00304896" w:rsidP="00A67B2B">
            <w:pPr>
              <w:rPr>
                <w:rFonts w:ascii="Arial" w:hAnsi="Arial" w:cs="Arial"/>
                <w:sz w:val="20"/>
                <w:szCs w:val="20"/>
              </w:rPr>
            </w:pPr>
            <w:r>
              <w:rPr>
                <w:rFonts w:ascii="Arial" w:hAnsi="Arial" w:cs="Arial"/>
                <w:sz w:val="20"/>
                <w:szCs w:val="20"/>
              </w:rPr>
              <w:t>2D.11</w:t>
            </w:r>
          </w:p>
        </w:tc>
        <w:tc>
          <w:tcPr>
            <w:tcW w:w="1167" w:type="dxa"/>
          </w:tcPr>
          <w:p w14:paraId="2B8D58C6" w14:textId="153F0B68" w:rsidR="00304896" w:rsidRDefault="008D495B" w:rsidP="00A67B2B">
            <w:pPr>
              <w:jc w:val="center"/>
              <w:rPr>
                <w:rFonts w:ascii="Arial" w:hAnsi="Arial" w:cs="Arial"/>
                <w:sz w:val="20"/>
                <w:szCs w:val="20"/>
              </w:rPr>
            </w:pPr>
            <w:r>
              <w:rPr>
                <w:rFonts w:ascii="Arial" w:hAnsi="Arial" w:cs="Arial"/>
                <w:sz w:val="20"/>
                <w:szCs w:val="20"/>
              </w:rPr>
              <w:t>NO</w:t>
            </w:r>
          </w:p>
        </w:tc>
        <w:tc>
          <w:tcPr>
            <w:tcW w:w="1183" w:type="dxa"/>
          </w:tcPr>
          <w:p w14:paraId="6893709E" w14:textId="77496335" w:rsidR="00304896" w:rsidRDefault="008D495B" w:rsidP="00A67B2B">
            <w:pPr>
              <w:jc w:val="center"/>
              <w:rPr>
                <w:rFonts w:ascii="Arial" w:hAnsi="Arial" w:cs="Arial"/>
                <w:sz w:val="20"/>
                <w:szCs w:val="20"/>
              </w:rPr>
            </w:pPr>
            <w:r>
              <w:rPr>
                <w:rFonts w:ascii="Arial" w:hAnsi="Arial" w:cs="Arial"/>
                <w:sz w:val="20"/>
                <w:szCs w:val="20"/>
              </w:rPr>
              <w:t>N/A</w:t>
            </w:r>
          </w:p>
        </w:tc>
        <w:tc>
          <w:tcPr>
            <w:tcW w:w="1017" w:type="dxa"/>
          </w:tcPr>
          <w:p w14:paraId="7B5446EF" w14:textId="4DD975D3" w:rsidR="00304896" w:rsidRDefault="008D495B" w:rsidP="00A67B2B">
            <w:pPr>
              <w:jc w:val="center"/>
              <w:rPr>
                <w:rFonts w:ascii="Arial" w:hAnsi="Arial" w:cs="Arial"/>
                <w:sz w:val="20"/>
                <w:szCs w:val="20"/>
              </w:rPr>
            </w:pPr>
            <w:r>
              <w:rPr>
                <w:rFonts w:ascii="Arial" w:hAnsi="Arial" w:cs="Arial"/>
                <w:sz w:val="20"/>
                <w:szCs w:val="20"/>
              </w:rPr>
              <w:t>YES</w:t>
            </w:r>
          </w:p>
        </w:tc>
        <w:tc>
          <w:tcPr>
            <w:tcW w:w="6263" w:type="dxa"/>
          </w:tcPr>
          <w:p w14:paraId="6B3225C6" w14:textId="09278E4F" w:rsidR="00F44081" w:rsidRPr="00304896" w:rsidRDefault="00304896" w:rsidP="00C51422">
            <w:p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FHWA proposes </w:t>
            </w:r>
            <w:r w:rsidR="009D0920">
              <w:rPr>
                <w:rFonts w:ascii="Arial" w:eastAsia="Times New Roman" w:hAnsi="Arial" w:cs="Arial"/>
                <w:sz w:val="20"/>
                <w:szCs w:val="20"/>
              </w:rPr>
              <w:t xml:space="preserve">the deletion of the </w:t>
            </w:r>
            <w:r w:rsidRPr="00304896">
              <w:rPr>
                <w:rFonts w:ascii="Arial" w:eastAsia="Times New Roman" w:hAnsi="Arial" w:cs="Arial"/>
                <w:sz w:val="20"/>
                <w:szCs w:val="20"/>
              </w:rPr>
              <w:t>Option P7 statement, which current</w:t>
            </w:r>
            <w:r>
              <w:rPr>
                <w:rFonts w:ascii="Arial" w:eastAsia="Times New Roman" w:hAnsi="Arial" w:cs="Arial"/>
                <w:sz w:val="20"/>
                <w:szCs w:val="20"/>
              </w:rPr>
              <w:t>ly</w:t>
            </w:r>
            <w:r w:rsidRPr="00304896">
              <w:rPr>
                <w:rFonts w:ascii="Arial" w:eastAsia="Times New Roman" w:hAnsi="Arial" w:cs="Arial"/>
                <w:sz w:val="20"/>
                <w:szCs w:val="20"/>
              </w:rPr>
              <w:t xml:space="preserve"> allows </w:t>
            </w:r>
            <w:r w:rsidRPr="00304896">
              <w:rPr>
                <w:rFonts w:ascii="Arial" w:eastAsia="Times New Roman" w:hAnsi="Arial" w:cs="Arial"/>
                <w:sz w:val="20"/>
                <w:szCs w:val="20"/>
                <w:shd w:val="clear" w:color="auto" w:fill="FFFFFF"/>
              </w:rPr>
              <w:t>the use of a white or yellow background on</w:t>
            </w:r>
            <w:r>
              <w:rPr>
                <w:rFonts w:ascii="Arial" w:eastAsia="Times New Roman" w:hAnsi="Arial" w:cs="Arial"/>
                <w:sz w:val="20"/>
                <w:szCs w:val="20"/>
                <w:shd w:val="clear" w:color="auto" w:fill="FFFFFF"/>
              </w:rPr>
              <w:t xml:space="preserve"> a</w:t>
            </w:r>
            <w:r w:rsidRPr="00304896">
              <w:rPr>
                <w:rFonts w:ascii="Arial" w:eastAsia="Times New Roman" w:hAnsi="Arial" w:cs="Arial"/>
                <w:sz w:val="20"/>
                <w:szCs w:val="20"/>
                <w:shd w:val="clear" w:color="auto" w:fill="FFFFFF"/>
              </w:rPr>
              <w:t xml:space="preserve"> county or other route shield on green guide signs</w:t>
            </w:r>
            <w:r w:rsidRPr="00304896">
              <w:rPr>
                <w:rFonts w:ascii="Arial" w:eastAsia="Times New Roman" w:hAnsi="Arial" w:cs="Arial"/>
                <w:sz w:val="20"/>
                <w:szCs w:val="20"/>
              </w:rPr>
              <w:t>. Thi</w:t>
            </w:r>
            <w:r w:rsidR="00F22F86">
              <w:rPr>
                <w:rFonts w:ascii="Arial" w:eastAsia="Times New Roman" w:hAnsi="Arial" w:cs="Arial"/>
                <w:sz w:val="20"/>
                <w:szCs w:val="20"/>
              </w:rPr>
              <w:t>s would be a problem because NJDOT</w:t>
            </w:r>
            <w:r w:rsidRPr="00304896">
              <w:rPr>
                <w:rFonts w:ascii="Arial" w:eastAsia="Times New Roman" w:hAnsi="Arial" w:cs="Arial"/>
                <w:sz w:val="20"/>
                <w:szCs w:val="20"/>
              </w:rPr>
              <w:t xml:space="preserve"> has already started </w:t>
            </w:r>
            <w:r w:rsidR="009D0920">
              <w:rPr>
                <w:rFonts w:ascii="Arial" w:eastAsia="Times New Roman" w:hAnsi="Arial" w:cs="Arial"/>
                <w:sz w:val="20"/>
                <w:szCs w:val="20"/>
              </w:rPr>
              <w:t xml:space="preserve">using white or yellow backgrounds </w:t>
            </w:r>
            <w:r w:rsidRPr="00304896">
              <w:rPr>
                <w:rFonts w:ascii="Arial" w:eastAsia="Times New Roman" w:hAnsi="Arial" w:cs="Arial"/>
                <w:sz w:val="20"/>
                <w:szCs w:val="20"/>
              </w:rPr>
              <w:t>on static guide signs including those with a green background</w:t>
            </w:r>
            <w:r w:rsidR="00F22F86">
              <w:rPr>
                <w:rFonts w:ascii="Arial" w:eastAsia="Times New Roman" w:hAnsi="Arial" w:cs="Arial"/>
                <w:sz w:val="20"/>
                <w:szCs w:val="20"/>
              </w:rPr>
              <w:t xml:space="preserve">.  Based on staff </w:t>
            </w:r>
            <w:r w:rsidRPr="00304896">
              <w:rPr>
                <w:rFonts w:ascii="Arial" w:eastAsia="Times New Roman" w:hAnsi="Arial" w:cs="Arial"/>
                <w:sz w:val="20"/>
                <w:szCs w:val="20"/>
              </w:rPr>
              <w:t>observation</w:t>
            </w:r>
            <w:r w:rsidR="00F22F86">
              <w:rPr>
                <w:rFonts w:ascii="Arial" w:eastAsia="Times New Roman" w:hAnsi="Arial" w:cs="Arial"/>
                <w:sz w:val="20"/>
                <w:szCs w:val="20"/>
              </w:rPr>
              <w:t xml:space="preserve">s, these signs are </w:t>
            </w:r>
            <w:r w:rsidRPr="00304896">
              <w:rPr>
                <w:rFonts w:ascii="Arial" w:eastAsia="Times New Roman" w:hAnsi="Arial" w:cs="Arial"/>
                <w:sz w:val="20"/>
                <w:szCs w:val="20"/>
              </w:rPr>
              <w:t>harder to read</w:t>
            </w:r>
            <w:r w:rsidR="005B2899">
              <w:rPr>
                <w:rFonts w:ascii="Arial" w:eastAsia="Times New Roman" w:hAnsi="Arial" w:cs="Arial"/>
                <w:sz w:val="20"/>
                <w:szCs w:val="20"/>
              </w:rPr>
              <w:t xml:space="preserve"> without white or yellow backgrounds</w:t>
            </w:r>
            <w:r w:rsidRPr="00304896">
              <w:rPr>
                <w:rFonts w:ascii="Arial" w:eastAsia="Times New Roman" w:hAnsi="Arial" w:cs="Arial"/>
                <w:sz w:val="20"/>
                <w:szCs w:val="20"/>
              </w:rPr>
              <w:t>. This is especially true when the sun is shining directly on the sign after sunrise or before sunset</w:t>
            </w:r>
            <w:r w:rsidR="00F22F86">
              <w:rPr>
                <w:rFonts w:ascii="Arial" w:eastAsia="Times New Roman" w:hAnsi="Arial" w:cs="Arial"/>
                <w:sz w:val="20"/>
                <w:szCs w:val="20"/>
              </w:rPr>
              <w:t xml:space="preserve"> and </w:t>
            </w:r>
            <w:r w:rsidRPr="00304896">
              <w:rPr>
                <w:rFonts w:ascii="Arial" w:eastAsia="Times New Roman" w:hAnsi="Arial" w:cs="Arial"/>
                <w:sz w:val="20"/>
                <w:szCs w:val="20"/>
              </w:rPr>
              <w:t>at night as headlights are becoming brighter</w:t>
            </w:r>
            <w:r w:rsidR="00F22F86">
              <w:rPr>
                <w:rFonts w:ascii="Arial" w:eastAsia="Times New Roman" w:hAnsi="Arial" w:cs="Arial"/>
                <w:sz w:val="20"/>
                <w:szCs w:val="20"/>
              </w:rPr>
              <w:t xml:space="preserve"> creating the same effect. </w:t>
            </w:r>
            <w:r w:rsidRPr="00304896">
              <w:rPr>
                <w:rFonts w:ascii="Arial" w:eastAsia="Times New Roman" w:hAnsi="Arial" w:cs="Arial"/>
                <w:sz w:val="20"/>
                <w:szCs w:val="20"/>
              </w:rPr>
              <w:t>Th</w:t>
            </w:r>
            <w:r w:rsidR="00F22F86">
              <w:rPr>
                <w:rFonts w:ascii="Arial" w:eastAsia="Times New Roman" w:hAnsi="Arial" w:cs="Arial"/>
                <w:sz w:val="20"/>
                <w:szCs w:val="20"/>
              </w:rPr>
              <w:t xml:space="preserve">e effect </w:t>
            </w:r>
            <w:r w:rsidRPr="00304896">
              <w:rPr>
                <w:rFonts w:ascii="Arial" w:eastAsia="Times New Roman" w:hAnsi="Arial" w:cs="Arial"/>
                <w:sz w:val="20"/>
                <w:szCs w:val="20"/>
              </w:rPr>
              <w:t>would be similar when</w:t>
            </w:r>
            <w:r w:rsidR="0036218B">
              <w:rPr>
                <w:rFonts w:ascii="Arial" w:eastAsia="Times New Roman" w:hAnsi="Arial" w:cs="Arial"/>
                <w:sz w:val="20"/>
                <w:szCs w:val="20"/>
              </w:rPr>
              <w:t xml:space="preserve"> using </w:t>
            </w:r>
            <w:r w:rsidRPr="00304896">
              <w:rPr>
                <w:rFonts w:ascii="Arial" w:eastAsia="Times New Roman" w:hAnsi="Arial" w:cs="Arial"/>
                <w:sz w:val="20"/>
                <w:szCs w:val="20"/>
              </w:rPr>
              <w:t xml:space="preserve">route shields on color </w:t>
            </w:r>
            <w:r w:rsidR="0036218B">
              <w:rPr>
                <w:rFonts w:ascii="Arial" w:eastAsia="Times New Roman" w:hAnsi="Arial" w:cs="Arial"/>
                <w:sz w:val="20"/>
                <w:szCs w:val="20"/>
              </w:rPr>
              <w:t>Portable Variable Messages Signs (</w:t>
            </w:r>
            <w:r w:rsidRPr="00304896">
              <w:rPr>
                <w:rFonts w:ascii="Arial" w:eastAsia="Times New Roman" w:hAnsi="Arial" w:cs="Arial"/>
                <w:sz w:val="20"/>
                <w:szCs w:val="20"/>
              </w:rPr>
              <w:t>PVMS</w:t>
            </w:r>
            <w:r w:rsidR="0036218B">
              <w:rPr>
                <w:rFonts w:ascii="Arial" w:eastAsia="Times New Roman" w:hAnsi="Arial" w:cs="Arial"/>
                <w:sz w:val="20"/>
                <w:szCs w:val="20"/>
              </w:rPr>
              <w:t>)</w:t>
            </w:r>
            <w:r w:rsidRPr="00304896">
              <w:rPr>
                <w:rFonts w:ascii="Arial" w:eastAsia="Times New Roman" w:hAnsi="Arial" w:cs="Arial"/>
                <w:sz w:val="20"/>
                <w:szCs w:val="20"/>
              </w:rPr>
              <w:t xml:space="preserve"> or </w:t>
            </w:r>
            <w:r w:rsidR="0036218B">
              <w:rPr>
                <w:rFonts w:ascii="Arial" w:eastAsia="Times New Roman" w:hAnsi="Arial" w:cs="Arial"/>
                <w:sz w:val="20"/>
                <w:szCs w:val="20"/>
              </w:rPr>
              <w:t>Dynamic Message Signs (</w:t>
            </w:r>
            <w:r w:rsidRPr="00304896">
              <w:rPr>
                <w:rFonts w:ascii="Arial" w:eastAsia="Times New Roman" w:hAnsi="Arial" w:cs="Arial"/>
                <w:sz w:val="20"/>
                <w:szCs w:val="20"/>
              </w:rPr>
              <w:t>DMS</w:t>
            </w:r>
            <w:r w:rsidR="0036218B">
              <w:rPr>
                <w:rFonts w:ascii="Arial" w:eastAsia="Times New Roman" w:hAnsi="Arial" w:cs="Arial"/>
                <w:sz w:val="20"/>
                <w:szCs w:val="20"/>
              </w:rPr>
              <w:t>)</w:t>
            </w:r>
            <w:r w:rsidRPr="00304896">
              <w:rPr>
                <w:rFonts w:ascii="Arial" w:eastAsia="Times New Roman" w:hAnsi="Arial" w:cs="Arial"/>
                <w:sz w:val="20"/>
                <w:szCs w:val="20"/>
              </w:rPr>
              <w:t>. Th</w:t>
            </w:r>
            <w:r w:rsidR="00C51422">
              <w:rPr>
                <w:rFonts w:ascii="Arial" w:eastAsia="Times New Roman" w:hAnsi="Arial" w:cs="Arial"/>
                <w:sz w:val="20"/>
                <w:szCs w:val="20"/>
              </w:rPr>
              <w:t>erefore</w:t>
            </w:r>
            <w:r w:rsidRPr="00304896">
              <w:rPr>
                <w:rFonts w:ascii="Arial" w:eastAsia="Times New Roman" w:hAnsi="Arial" w:cs="Arial"/>
                <w:sz w:val="20"/>
                <w:szCs w:val="20"/>
              </w:rPr>
              <w:t xml:space="preserve">, </w:t>
            </w:r>
            <w:r w:rsidR="00C51422">
              <w:rPr>
                <w:rFonts w:ascii="Arial" w:eastAsia="Times New Roman" w:hAnsi="Arial" w:cs="Arial"/>
                <w:sz w:val="20"/>
                <w:szCs w:val="20"/>
              </w:rPr>
              <w:t xml:space="preserve">the ability to use white or yellow backgrounds under these circumstances should be maintained </w:t>
            </w:r>
            <w:r w:rsidRPr="00304896">
              <w:rPr>
                <w:rFonts w:ascii="Arial" w:eastAsia="Times New Roman" w:hAnsi="Arial" w:cs="Arial"/>
                <w:sz w:val="20"/>
                <w:szCs w:val="20"/>
              </w:rPr>
              <w:t>as an option</w:t>
            </w:r>
            <w:r w:rsidR="00C51422">
              <w:rPr>
                <w:rFonts w:ascii="Arial" w:eastAsia="Times New Roman" w:hAnsi="Arial" w:cs="Arial"/>
                <w:sz w:val="20"/>
                <w:szCs w:val="20"/>
              </w:rPr>
              <w:t xml:space="preserve">.  There should also be some consideration for ensuring that </w:t>
            </w:r>
            <w:r w:rsidRPr="00304896">
              <w:rPr>
                <w:rFonts w:ascii="Arial" w:eastAsia="Times New Roman" w:hAnsi="Arial" w:cs="Arial"/>
                <w:sz w:val="20"/>
                <w:szCs w:val="20"/>
              </w:rPr>
              <w:t xml:space="preserve">black backgrounds can be used for shields on guide signs for state and US highways. </w:t>
            </w:r>
            <w:r w:rsidR="00C51422">
              <w:rPr>
                <w:rFonts w:ascii="Arial" w:eastAsia="Times New Roman" w:hAnsi="Arial" w:cs="Arial"/>
                <w:sz w:val="20"/>
                <w:szCs w:val="20"/>
              </w:rPr>
              <w:t xml:space="preserve">This would improve the visibility of those shields and ultimately be very helpful to drivers. </w:t>
            </w:r>
          </w:p>
        </w:tc>
      </w:tr>
      <w:tr w:rsidR="006E391B" w14:paraId="6AEDE847" w14:textId="77777777" w:rsidTr="00D71569">
        <w:trPr>
          <w:trHeight w:val="494"/>
        </w:trPr>
        <w:tc>
          <w:tcPr>
            <w:tcW w:w="1170" w:type="dxa"/>
          </w:tcPr>
          <w:p w14:paraId="1A4FD7E8" w14:textId="41E60D9B" w:rsidR="006E391B" w:rsidRDefault="006E391B" w:rsidP="00A67B2B">
            <w:pPr>
              <w:rPr>
                <w:rFonts w:ascii="Arial" w:hAnsi="Arial" w:cs="Arial"/>
                <w:sz w:val="20"/>
                <w:szCs w:val="20"/>
              </w:rPr>
            </w:pPr>
            <w:r>
              <w:rPr>
                <w:rFonts w:ascii="Arial" w:hAnsi="Arial" w:cs="Arial"/>
                <w:sz w:val="20"/>
                <w:szCs w:val="20"/>
              </w:rPr>
              <w:t>2E.50</w:t>
            </w:r>
          </w:p>
        </w:tc>
        <w:tc>
          <w:tcPr>
            <w:tcW w:w="1167" w:type="dxa"/>
          </w:tcPr>
          <w:p w14:paraId="041A9815" w14:textId="326ABB18" w:rsidR="006E391B" w:rsidRDefault="00FC5547" w:rsidP="00A67B2B">
            <w:pPr>
              <w:jc w:val="center"/>
              <w:rPr>
                <w:rFonts w:ascii="Arial" w:hAnsi="Arial" w:cs="Arial"/>
                <w:sz w:val="20"/>
                <w:szCs w:val="20"/>
              </w:rPr>
            </w:pPr>
            <w:r>
              <w:rPr>
                <w:rFonts w:ascii="Arial" w:hAnsi="Arial" w:cs="Arial"/>
                <w:sz w:val="20"/>
                <w:szCs w:val="20"/>
              </w:rPr>
              <w:t xml:space="preserve">NO </w:t>
            </w:r>
          </w:p>
        </w:tc>
        <w:tc>
          <w:tcPr>
            <w:tcW w:w="1183" w:type="dxa"/>
          </w:tcPr>
          <w:p w14:paraId="0B4904F8" w14:textId="77109124" w:rsidR="006E391B" w:rsidRDefault="00FC5547" w:rsidP="00A67B2B">
            <w:pPr>
              <w:jc w:val="center"/>
              <w:rPr>
                <w:rFonts w:ascii="Arial" w:hAnsi="Arial" w:cs="Arial"/>
                <w:sz w:val="20"/>
                <w:szCs w:val="20"/>
              </w:rPr>
            </w:pPr>
            <w:r>
              <w:rPr>
                <w:rFonts w:ascii="Arial" w:hAnsi="Arial" w:cs="Arial"/>
                <w:sz w:val="20"/>
                <w:szCs w:val="20"/>
              </w:rPr>
              <w:t>N/A</w:t>
            </w:r>
          </w:p>
        </w:tc>
        <w:tc>
          <w:tcPr>
            <w:tcW w:w="1017" w:type="dxa"/>
          </w:tcPr>
          <w:p w14:paraId="0B505F6F" w14:textId="121530AE" w:rsidR="006E391B" w:rsidRDefault="00FC5547" w:rsidP="00A67B2B">
            <w:pPr>
              <w:jc w:val="center"/>
              <w:rPr>
                <w:rFonts w:ascii="Arial" w:hAnsi="Arial" w:cs="Arial"/>
                <w:sz w:val="20"/>
                <w:szCs w:val="20"/>
              </w:rPr>
            </w:pPr>
            <w:r>
              <w:rPr>
                <w:rFonts w:ascii="Arial" w:hAnsi="Arial" w:cs="Arial"/>
                <w:sz w:val="20"/>
                <w:szCs w:val="20"/>
              </w:rPr>
              <w:t>YES</w:t>
            </w:r>
          </w:p>
        </w:tc>
        <w:tc>
          <w:tcPr>
            <w:tcW w:w="6263" w:type="dxa"/>
          </w:tcPr>
          <w:p w14:paraId="6FFEB365" w14:textId="36207F65" w:rsidR="006E391B" w:rsidRDefault="001336D4" w:rsidP="0020253F">
            <w:pPr>
              <w:autoSpaceDE w:val="0"/>
              <w:autoSpaceDN w:val="0"/>
              <w:adjustRightInd w:val="0"/>
              <w:rPr>
                <w:rFonts w:ascii="Arial" w:eastAsia="Times New Roman" w:hAnsi="Arial" w:cs="Arial"/>
                <w:sz w:val="20"/>
                <w:szCs w:val="20"/>
                <w:shd w:val="clear" w:color="auto" w:fill="FFFFFF"/>
              </w:rPr>
            </w:pPr>
            <w:r w:rsidRPr="001336D4">
              <w:rPr>
                <w:rFonts w:ascii="Arial" w:hAnsi="Arial" w:cs="Arial"/>
                <w:sz w:val="20"/>
                <w:szCs w:val="20"/>
              </w:rPr>
              <w:t>FHWA proposes to delete the Option statement allowing pictographs on a Supplemental guide sign and add a Standard statement that prohibits the use of pictographs on supplemental guide signs, except for transit system pictographs on the Park-Ride supplemental guide sign, and add a Guidance statement regarding the use and size of transit pictograph and the carpool symbol on the Park-Ride</w:t>
            </w:r>
            <w:r>
              <w:rPr>
                <w:rFonts w:ascii="Arial" w:hAnsi="Arial" w:cs="Arial"/>
                <w:sz w:val="20"/>
                <w:szCs w:val="20"/>
              </w:rPr>
              <w:t xml:space="preserve"> </w:t>
            </w:r>
            <w:r w:rsidRPr="001336D4">
              <w:rPr>
                <w:rFonts w:ascii="Arial" w:hAnsi="Arial" w:cs="Arial"/>
                <w:sz w:val="20"/>
                <w:szCs w:val="20"/>
              </w:rPr>
              <w:t>Supplemental guide sign</w:t>
            </w:r>
            <w:r>
              <w:rPr>
                <w:rFonts w:ascii="Arial" w:hAnsi="Arial" w:cs="Arial"/>
                <w:sz w:val="20"/>
                <w:szCs w:val="20"/>
              </w:rPr>
              <w:t xml:space="preserve">.  </w:t>
            </w:r>
            <w:r w:rsidRPr="00FD272B">
              <w:rPr>
                <w:rFonts w:ascii="Arial" w:eastAsia="Times New Roman" w:hAnsi="Arial" w:cs="Arial"/>
                <w:sz w:val="20"/>
                <w:szCs w:val="20"/>
                <w:shd w:val="clear" w:color="auto" w:fill="FFFFFF"/>
              </w:rPr>
              <w:t xml:space="preserve"> </w:t>
            </w:r>
            <w:r>
              <w:rPr>
                <w:rFonts w:ascii="Arial" w:eastAsia="Times New Roman" w:hAnsi="Arial" w:cs="Arial"/>
                <w:sz w:val="20"/>
                <w:szCs w:val="20"/>
                <w:shd w:val="clear" w:color="auto" w:fill="FFFFFF"/>
              </w:rPr>
              <w:t xml:space="preserve">Guidance regarding the use of pictographs </w:t>
            </w:r>
            <w:r w:rsidR="006E391B" w:rsidRPr="00FD272B">
              <w:rPr>
                <w:rFonts w:ascii="Arial" w:eastAsia="Times New Roman" w:hAnsi="Arial" w:cs="Arial"/>
                <w:sz w:val="20"/>
                <w:szCs w:val="20"/>
                <w:shd w:val="clear" w:color="auto" w:fill="FFFFFF"/>
              </w:rPr>
              <w:t>should be kept as an Option statement, but the use of sports team logos</w:t>
            </w:r>
            <w:r>
              <w:rPr>
                <w:rFonts w:ascii="Arial" w:eastAsia="Times New Roman" w:hAnsi="Arial" w:cs="Arial"/>
                <w:sz w:val="20"/>
                <w:szCs w:val="20"/>
                <w:shd w:val="clear" w:color="auto" w:fill="FFFFFF"/>
              </w:rPr>
              <w:t xml:space="preserve"> should be prohibited</w:t>
            </w:r>
            <w:r w:rsidR="006E391B" w:rsidRPr="00FD272B">
              <w:rPr>
                <w:rFonts w:ascii="Arial" w:eastAsia="Times New Roman" w:hAnsi="Arial" w:cs="Arial"/>
                <w:sz w:val="20"/>
                <w:szCs w:val="20"/>
                <w:shd w:val="clear" w:color="auto" w:fill="FFFFFF"/>
              </w:rPr>
              <w:t>. This impacts both static and variable message signs</w:t>
            </w:r>
            <w:r>
              <w:rPr>
                <w:rFonts w:ascii="Arial" w:eastAsia="Times New Roman" w:hAnsi="Arial" w:cs="Arial"/>
                <w:sz w:val="20"/>
                <w:szCs w:val="20"/>
                <w:shd w:val="clear" w:color="auto" w:fill="FFFFFF"/>
              </w:rPr>
              <w:t>. For example,</w:t>
            </w:r>
            <w:r w:rsidR="006E391B" w:rsidRPr="00FD272B">
              <w:rPr>
                <w:rFonts w:ascii="Arial" w:eastAsia="Times New Roman" w:hAnsi="Arial" w:cs="Arial"/>
                <w:sz w:val="20"/>
                <w:szCs w:val="20"/>
                <w:shd w:val="clear" w:color="auto" w:fill="FFFFFF"/>
              </w:rPr>
              <w:t xml:space="preserve"> a motorist may </w:t>
            </w:r>
            <w:r>
              <w:rPr>
                <w:rFonts w:ascii="Arial" w:eastAsia="Times New Roman" w:hAnsi="Arial" w:cs="Arial"/>
                <w:sz w:val="20"/>
                <w:szCs w:val="20"/>
                <w:shd w:val="clear" w:color="auto" w:fill="FFFFFF"/>
              </w:rPr>
              <w:t xml:space="preserve">have an easier time identifying </w:t>
            </w:r>
            <w:r w:rsidR="006E391B" w:rsidRPr="00FD272B">
              <w:rPr>
                <w:rFonts w:ascii="Arial" w:eastAsia="Times New Roman" w:hAnsi="Arial" w:cs="Arial"/>
                <w:sz w:val="20"/>
                <w:szCs w:val="20"/>
                <w:shd w:val="clear" w:color="auto" w:fill="FFFFFF"/>
              </w:rPr>
              <w:t xml:space="preserve">Trenton-Mercer Airport or the Monmouth Racetrack </w:t>
            </w:r>
            <w:r>
              <w:rPr>
                <w:rFonts w:ascii="Arial" w:eastAsia="Times New Roman" w:hAnsi="Arial" w:cs="Arial"/>
                <w:sz w:val="20"/>
                <w:szCs w:val="20"/>
                <w:shd w:val="clear" w:color="auto" w:fill="FFFFFF"/>
              </w:rPr>
              <w:t>b</w:t>
            </w:r>
            <w:r w:rsidR="006E391B" w:rsidRPr="00FD272B">
              <w:rPr>
                <w:rFonts w:ascii="Arial" w:eastAsia="Times New Roman" w:hAnsi="Arial" w:cs="Arial"/>
                <w:sz w:val="20"/>
                <w:szCs w:val="20"/>
                <w:shd w:val="clear" w:color="auto" w:fill="FFFFFF"/>
              </w:rPr>
              <w:t>y their logo</w:t>
            </w:r>
            <w:r>
              <w:rPr>
                <w:rFonts w:ascii="Arial" w:eastAsia="Times New Roman" w:hAnsi="Arial" w:cs="Arial"/>
                <w:sz w:val="20"/>
                <w:szCs w:val="20"/>
                <w:shd w:val="clear" w:color="auto" w:fill="FFFFFF"/>
              </w:rPr>
              <w:t>s</w:t>
            </w:r>
            <w:r w:rsidR="0020253F">
              <w:rPr>
                <w:rFonts w:ascii="Arial" w:eastAsia="Times New Roman" w:hAnsi="Arial" w:cs="Arial"/>
                <w:sz w:val="20"/>
                <w:szCs w:val="20"/>
                <w:shd w:val="clear" w:color="auto" w:fill="FFFFFF"/>
              </w:rPr>
              <w:t xml:space="preserve"> serving as a shield</w:t>
            </w:r>
            <w:r>
              <w:rPr>
                <w:rFonts w:ascii="Arial" w:eastAsia="Times New Roman" w:hAnsi="Arial" w:cs="Arial"/>
                <w:sz w:val="20"/>
                <w:szCs w:val="20"/>
                <w:shd w:val="clear" w:color="auto" w:fill="FFFFFF"/>
              </w:rPr>
              <w:t xml:space="preserve">, as opposed to </w:t>
            </w:r>
            <w:r w:rsidR="0020253F">
              <w:rPr>
                <w:rFonts w:ascii="Arial" w:eastAsia="Times New Roman" w:hAnsi="Arial" w:cs="Arial"/>
                <w:sz w:val="20"/>
                <w:szCs w:val="20"/>
                <w:shd w:val="clear" w:color="auto" w:fill="FFFFFF"/>
              </w:rPr>
              <w:t>the</w:t>
            </w:r>
            <w:r w:rsidR="006E391B" w:rsidRPr="00FD272B">
              <w:rPr>
                <w:rFonts w:ascii="Arial" w:eastAsia="Times New Roman" w:hAnsi="Arial" w:cs="Arial"/>
                <w:sz w:val="20"/>
                <w:szCs w:val="20"/>
                <w:shd w:val="clear" w:color="auto" w:fill="FFFFFF"/>
              </w:rPr>
              <w:t xml:space="preserve"> words</w:t>
            </w:r>
            <w:r w:rsidR="0020253F">
              <w:rPr>
                <w:rFonts w:ascii="Arial" w:eastAsia="Times New Roman" w:hAnsi="Arial" w:cs="Arial"/>
                <w:sz w:val="20"/>
                <w:szCs w:val="20"/>
                <w:shd w:val="clear" w:color="auto" w:fill="FFFFFF"/>
              </w:rPr>
              <w:t xml:space="preserve"> alone</w:t>
            </w:r>
            <w:r w:rsidR="006E391B" w:rsidRPr="00FD272B">
              <w:rPr>
                <w:rFonts w:ascii="Arial" w:eastAsia="Times New Roman" w:hAnsi="Arial" w:cs="Arial"/>
                <w:sz w:val="20"/>
                <w:szCs w:val="20"/>
                <w:shd w:val="clear" w:color="auto" w:fill="FFFFFF"/>
              </w:rPr>
              <w:t xml:space="preserve">. That is why the words "Garden State Parkway" </w:t>
            </w:r>
            <w:r w:rsidR="0020253F">
              <w:rPr>
                <w:rFonts w:ascii="Arial" w:eastAsia="Times New Roman" w:hAnsi="Arial" w:cs="Arial"/>
                <w:sz w:val="20"/>
                <w:szCs w:val="20"/>
                <w:shd w:val="clear" w:color="auto" w:fill="FFFFFF"/>
              </w:rPr>
              <w:t xml:space="preserve">and </w:t>
            </w:r>
            <w:r w:rsidR="006E391B" w:rsidRPr="00FD272B">
              <w:rPr>
                <w:rFonts w:ascii="Arial" w:eastAsia="Times New Roman" w:hAnsi="Arial" w:cs="Arial"/>
                <w:sz w:val="20"/>
                <w:szCs w:val="20"/>
                <w:shd w:val="clear" w:color="auto" w:fill="FFFFFF"/>
              </w:rPr>
              <w:t>"NJ Turnpike" are not su</w:t>
            </w:r>
            <w:r w:rsidR="0020253F">
              <w:rPr>
                <w:rFonts w:ascii="Arial" w:eastAsia="Times New Roman" w:hAnsi="Arial" w:cs="Arial"/>
                <w:sz w:val="20"/>
                <w:szCs w:val="20"/>
                <w:shd w:val="clear" w:color="auto" w:fill="FFFFFF"/>
              </w:rPr>
              <w:t xml:space="preserve">pposed to be included </w:t>
            </w:r>
            <w:r w:rsidR="006E391B" w:rsidRPr="00FD272B">
              <w:rPr>
                <w:rFonts w:ascii="Arial" w:eastAsia="Times New Roman" w:hAnsi="Arial" w:cs="Arial"/>
                <w:sz w:val="20"/>
                <w:szCs w:val="20"/>
                <w:shd w:val="clear" w:color="auto" w:fill="FFFFFF"/>
              </w:rPr>
              <w:t>in signing and the shield is used in place. Sometimes the logo or "shield" would be used as directional signing along a given roadway</w:t>
            </w:r>
            <w:r w:rsidR="0020253F">
              <w:rPr>
                <w:rFonts w:ascii="Arial" w:eastAsia="Times New Roman" w:hAnsi="Arial" w:cs="Arial"/>
                <w:sz w:val="20"/>
                <w:szCs w:val="20"/>
                <w:shd w:val="clear" w:color="auto" w:fill="FFFFFF"/>
              </w:rPr>
              <w:t xml:space="preserve">.  A logo or shield </w:t>
            </w:r>
            <w:r w:rsidR="006E391B" w:rsidRPr="00FD272B">
              <w:rPr>
                <w:rFonts w:ascii="Arial" w:eastAsia="Times New Roman" w:hAnsi="Arial" w:cs="Arial"/>
                <w:sz w:val="20"/>
                <w:szCs w:val="20"/>
                <w:shd w:val="clear" w:color="auto" w:fill="FFFFFF"/>
              </w:rPr>
              <w:t xml:space="preserve">might also be used because the </w:t>
            </w:r>
            <w:r w:rsidR="0020253F">
              <w:rPr>
                <w:rFonts w:ascii="Arial" w:eastAsia="Times New Roman" w:hAnsi="Arial" w:cs="Arial"/>
                <w:sz w:val="20"/>
                <w:szCs w:val="20"/>
                <w:shd w:val="clear" w:color="auto" w:fill="FFFFFF"/>
              </w:rPr>
              <w:t xml:space="preserve">name </w:t>
            </w:r>
            <w:r w:rsidR="006E391B" w:rsidRPr="00FD272B">
              <w:rPr>
                <w:rFonts w:ascii="Arial" w:eastAsia="Times New Roman" w:hAnsi="Arial" w:cs="Arial"/>
                <w:sz w:val="20"/>
                <w:szCs w:val="20"/>
                <w:shd w:val="clear" w:color="auto" w:fill="FFFFFF"/>
              </w:rPr>
              <w:t xml:space="preserve">of a moderate to high traffic generating facility </w:t>
            </w:r>
            <w:r w:rsidR="0020253F">
              <w:rPr>
                <w:rFonts w:ascii="Arial" w:eastAsia="Times New Roman" w:hAnsi="Arial" w:cs="Arial"/>
                <w:sz w:val="20"/>
                <w:szCs w:val="20"/>
                <w:shd w:val="clear" w:color="auto" w:fill="FFFFFF"/>
              </w:rPr>
              <w:t>will not</w:t>
            </w:r>
            <w:r w:rsidR="006E391B" w:rsidRPr="00FD272B">
              <w:rPr>
                <w:rFonts w:ascii="Arial" w:eastAsia="Times New Roman" w:hAnsi="Arial" w:cs="Arial"/>
                <w:sz w:val="20"/>
                <w:szCs w:val="20"/>
                <w:shd w:val="clear" w:color="auto" w:fill="FFFFFF"/>
              </w:rPr>
              <w:t xml:space="preserve"> fit on static and variable message signs. Th</w:t>
            </w:r>
            <w:r w:rsidR="0020253F">
              <w:rPr>
                <w:rFonts w:ascii="Arial" w:eastAsia="Times New Roman" w:hAnsi="Arial" w:cs="Arial"/>
                <w:sz w:val="20"/>
                <w:szCs w:val="20"/>
                <w:shd w:val="clear" w:color="auto" w:fill="FFFFFF"/>
              </w:rPr>
              <w:t>erefore, the use of pictographs s</w:t>
            </w:r>
            <w:r w:rsidR="006E391B" w:rsidRPr="00FD272B">
              <w:rPr>
                <w:rFonts w:ascii="Arial" w:eastAsia="Times New Roman" w:hAnsi="Arial" w:cs="Arial"/>
                <w:sz w:val="20"/>
                <w:szCs w:val="20"/>
                <w:shd w:val="clear" w:color="auto" w:fill="FFFFFF"/>
              </w:rPr>
              <w:t>hould not be</w:t>
            </w:r>
            <w:r w:rsidR="0020253F">
              <w:rPr>
                <w:rFonts w:ascii="Arial" w:eastAsia="Times New Roman" w:hAnsi="Arial" w:cs="Arial"/>
                <w:sz w:val="20"/>
                <w:szCs w:val="20"/>
                <w:shd w:val="clear" w:color="auto" w:fill="FFFFFF"/>
              </w:rPr>
              <w:t xml:space="preserve"> prohibited,</w:t>
            </w:r>
            <w:r w:rsidR="006E391B" w:rsidRPr="00FD272B">
              <w:rPr>
                <w:rFonts w:ascii="Arial" w:eastAsia="Times New Roman" w:hAnsi="Arial" w:cs="Arial"/>
                <w:sz w:val="20"/>
                <w:szCs w:val="20"/>
                <w:shd w:val="clear" w:color="auto" w:fill="FFFFFF"/>
              </w:rPr>
              <w:t xml:space="preserve"> but </w:t>
            </w:r>
            <w:r w:rsidR="0020253F">
              <w:rPr>
                <w:rFonts w:ascii="Arial" w:eastAsia="Times New Roman" w:hAnsi="Arial" w:cs="Arial"/>
                <w:sz w:val="20"/>
                <w:szCs w:val="20"/>
                <w:shd w:val="clear" w:color="auto" w:fill="FFFFFF"/>
              </w:rPr>
              <w:t xml:space="preserve">modified to allow their use </w:t>
            </w:r>
            <w:r w:rsidR="006E391B" w:rsidRPr="00FD272B">
              <w:rPr>
                <w:rFonts w:ascii="Arial" w:eastAsia="Times New Roman" w:hAnsi="Arial" w:cs="Arial"/>
                <w:sz w:val="20"/>
                <w:szCs w:val="20"/>
                <w:shd w:val="clear" w:color="auto" w:fill="FFFFFF"/>
              </w:rPr>
              <w:t xml:space="preserve">in the same way </w:t>
            </w:r>
            <w:r w:rsidR="002A60CF">
              <w:rPr>
                <w:rFonts w:ascii="Arial" w:eastAsia="Times New Roman" w:hAnsi="Arial" w:cs="Arial"/>
                <w:sz w:val="20"/>
                <w:szCs w:val="20"/>
                <w:shd w:val="clear" w:color="auto" w:fill="FFFFFF"/>
              </w:rPr>
              <w:t xml:space="preserve">that </w:t>
            </w:r>
            <w:r w:rsidR="006E391B" w:rsidRPr="00FD272B">
              <w:rPr>
                <w:rFonts w:ascii="Arial" w:eastAsia="Times New Roman" w:hAnsi="Arial" w:cs="Arial"/>
                <w:sz w:val="20"/>
                <w:szCs w:val="20"/>
                <w:shd w:val="clear" w:color="auto" w:fill="FFFFFF"/>
              </w:rPr>
              <w:t>a route shield is used.</w:t>
            </w:r>
          </w:p>
          <w:p w14:paraId="2569E7CA" w14:textId="0A7CC783" w:rsidR="00F44081" w:rsidRPr="00FD272B" w:rsidRDefault="00F44081" w:rsidP="0020253F">
            <w:pPr>
              <w:autoSpaceDE w:val="0"/>
              <w:autoSpaceDN w:val="0"/>
              <w:adjustRightInd w:val="0"/>
              <w:rPr>
                <w:rFonts w:ascii="Arial" w:eastAsia="Times New Roman" w:hAnsi="Arial" w:cs="Arial"/>
                <w:sz w:val="20"/>
                <w:szCs w:val="20"/>
              </w:rPr>
            </w:pPr>
          </w:p>
        </w:tc>
      </w:tr>
      <w:tr w:rsidR="00D71569" w14:paraId="0F5AF4E3" w14:textId="77777777" w:rsidTr="00C92A11">
        <w:trPr>
          <w:trHeight w:val="1034"/>
        </w:trPr>
        <w:tc>
          <w:tcPr>
            <w:tcW w:w="1170" w:type="dxa"/>
          </w:tcPr>
          <w:p w14:paraId="1AB92B1F" w14:textId="2464724A" w:rsidR="00D71569" w:rsidRDefault="00D71569" w:rsidP="00A67B2B">
            <w:pPr>
              <w:rPr>
                <w:rFonts w:ascii="Arial" w:hAnsi="Arial" w:cs="Arial"/>
                <w:sz w:val="20"/>
                <w:szCs w:val="20"/>
              </w:rPr>
            </w:pPr>
            <w:r>
              <w:rPr>
                <w:rFonts w:ascii="Arial" w:hAnsi="Arial" w:cs="Arial"/>
                <w:sz w:val="20"/>
                <w:szCs w:val="20"/>
              </w:rPr>
              <w:t>2G.21</w:t>
            </w:r>
          </w:p>
        </w:tc>
        <w:tc>
          <w:tcPr>
            <w:tcW w:w="1167" w:type="dxa"/>
          </w:tcPr>
          <w:p w14:paraId="4CB7FE2E" w14:textId="792C6584" w:rsidR="00D71569" w:rsidRDefault="00D71569" w:rsidP="00A67B2B">
            <w:pPr>
              <w:jc w:val="center"/>
              <w:rPr>
                <w:rFonts w:ascii="Arial" w:hAnsi="Arial" w:cs="Arial"/>
                <w:sz w:val="20"/>
                <w:szCs w:val="20"/>
              </w:rPr>
            </w:pPr>
            <w:r>
              <w:rPr>
                <w:rFonts w:ascii="Arial" w:hAnsi="Arial" w:cs="Arial"/>
                <w:sz w:val="20"/>
                <w:szCs w:val="20"/>
              </w:rPr>
              <w:t>N/A</w:t>
            </w:r>
          </w:p>
        </w:tc>
        <w:tc>
          <w:tcPr>
            <w:tcW w:w="1183" w:type="dxa"/>
          </w:tcPr>
          <w:p w14:paraId="499F1436" w14:textId="69425DCD" w:rsidR="00D71569" w:rsidRDefault="00D71569" w:rsidP="00A67B2B">
            <w:pPr>
              <w:jc w:val="center"/>
              <w:rPr>
                <w:rFonts w:ascii="Arial" w:hAnsi="Arial" w:cs="Arial"/>
                <w:sz w:val="20"/>
                <w:szCs w:val="20"/>
              </w:rPr>
            </w:pPr>
            <w:r>
              <w:rPr>
                <w:rFonts w:ascii="Arial" w:hAnsi="Arial" w:cs="Arial"/>
                <w:sz w:val="20"/>
                <w:szCs w:val="20"/>
              </w:rPr>
              <w:t>YES</w:t>
            </w:r>
          </w:p>
        </w:tc>
        <w:tc>
          <w:tcPr>
            <w:tcW w:w="1017" w:type="dxa"/>
          </w:tcPr>
          <w:p w14:paraId="76D72BDD" w14:textId="262C8EE1" w:rsidR="00D71569" w:rsidRDefault="00D71569" w:rsidP="00A67B2B">
            <w:pPr>
              <w:jc w:val="center"/>
              <w:rPr>
                <w:rFonts w:ascii="Arial" w:hAnsi="Arial" w:cs="Arial"/>
                <w:sz w:val="20"/>
                <w:szCs w:val="20"/>
              </w:rPr>
            </w:pPr>
            <w:r>
              <w:rPr>
                <w:rFonts w:ascii="Arial" w:hAnsi="Arial" w:cs="Arial"/>
                <w:sz w:val="20"/>
                <w:szCs w:val="20"/>
              </w:rPr>
              <w:t>N/A</w:t>
            </w:r>
          </w:p>
        </w:tc>
        <w:tc>
          <w:tcPr>
            <w:tcW w:w="6263" w:type="dxa"/>
          </w:tcPr>
          <w:p w14:paraId="678F1599" w14:textId="77777777" w:rsidR="00D71569" w:rsidRDefault="00D71569" w:rsidP="00D71569">
            <w:pPr>
              <w:autoSpaceDE w:val="0"/>
              <w:autoSpaceDN w:val="0"/>
              <w:adjustRightInd w:val="0"/>
              <w:rPr>
                <w:rFonts w:cstheme="minorHAnsi"/>
                <w:bCs/>
              </w:rPr>
            </w:pPr>
            <w:r w:rsidRPr="00095FDD">
              <w:rPr>
                <w:rFonts w:cstheme="minorHAnsi"/>
                <w:bCs/>
              </w:rPr>
              <w:t>Regulatory signs shall be used to notify road users of the periods of operation that travel is allowed</w:t>
            </w:r>
            <w:r>
              <w:rPr>
                <w:rFonts w:cstheme="minorHAnsi"/>
                <w:bCs/>
              </w:rPr>
              <w:t xml:space="preserve"> </w:t>
            </w:r>
            <w:r w:rsidRPr="00095FDD">
              <w:rPr>
                <w:rFonts w:cstheme="minorHAnsi"/>
                <w:bCs/>
              </w:rPr>
              <w:t>on a paved shoulder. The Part-Time Travel on Shoulder Operation (R3-51) sign shall be used where traffic is allowed to travel on the shoulder during certain fixed periods of operation. The Part-Time</w:t>
            </w:r>
            <w:r w:rsidRPr="00095FDD">
              <w:rPr>
                <w:rFonts w:cstheme="minorHAnsi"/>
              </w:rPr>
              <w:t xml:space="preserve"> </w:t>
            </w:r>
            <w:r w:rsidRPr="00095FDD">
              <w:rPr>
                <w:rFonts w:cstheme="minorHAnsi"/>
                <w:bCs/>
              </w:rPr>
              <w:t>Travel on Shoulder Variable Operation (R3-51d) sign with two flashing beacons (see Chapter 4S)</w:t>
            </w:r>
            <w:r w:rsidRPr="00095FDD">
              <w:rPr>
                <w:rFonts w:cstheme="minorHAnsi"/>
              </w:rPr>
              <w:t xml:space="preserve"> </w:t>
            </w:r>
            <w:r w:rsidRPr="00095FDD">
              <w:rPr>
                <w:rFonts w:cstheme="minorHAnsi"/>
                <w:bCs/>
              </w:rPr>
              <w:t>mounted above it shall be used when the period of operation is variable. If certain classes of vehicles are not allowed to use the shoulder during these periods, then a Selective Exclusion (R3-51aP or R3-51bP) plaque shall be mounted below the R3-51 or R3-51d sign. If the travel on the shoulder is restricted to certain classes of vehicles, then the regulatory signs shall display that information.</w:t>
            </w:r>
          </w:p>
          <w:p w14:paraId="4D4EEA30" w14:textId="77777777" w:rsidR="00D71569" w:rsidRDefault="00D71569" w:rsidP="00D71569">
            <w:pPr>
              <w:autoSpaceDE w:val="0"/>
              <w:autoSpaceDN w:val="0"/>
              <w:adjustRightInd w:val="0"/>
              <w:rPr>
                <w:rFonts w:cstheme="minorHAnsi"/>
                <w:bCs/>
              </w:rPr>
            </w:pPr>
          </w:p>
          <w:p w14:paraId="36A7BD5C" w14:textId="147C8868" w:rsidR="00D71569" w:rsidRDefault="00D71569" w:rsidP="00D71569">
            <w:pPr>
              <w:autoSpaceDE w:val="0"/>
              <w:autoSpaceDN w:val="0"/>
              <w:adjustRightInd w:val="0"/>
              <w:rPr>
                <w:rFonts w:cstheme="minorHAnsi"/>
                <w:bCs/>
              </w:rPr>
            </w:pPr>
            <w:r w:rsidRPr="007418C3">
              <w:rPr>
                <w:rFonts w:ascii="Arial" w:hAnsi="Arial" w:cs="Arial"/>
                <w:sz w:val="20"/>
                <w:szCs w:val="20"/>
              </w:rPr>
              <w:t xml:space="preserve">The MUTCD does not specifically address Hard Shoulder Running </w:t>
            </w:r>
            <w:r w:rsidR="006A3F57">
              <w:rPr>
                <w:rFonts w:ascii="Arial" w:hAnsi="Arial" w:cs="Arial"/>
                <w:sz w:val="20"/>
                <w:szCs w:val="20"/>
              </w:rPr>
              <w:t xml:space="preserve">(HSR) </w:t>
            </w:r>
            <w:r w:rsidRPr="007418C3">
              <w:rPr>
                <w:rFonts w:ascii="Arial" w:hAnsi="Arial" w:cs="Arial"/>
                <w:sz w:val="20"/>
                <w:szCs w:val="20"/>
              </w:rPr>
              <w:t>programs deployed on arterials.  In NJ, the Rt 1 Hard Shoulder program in South Brunswick reduced travel times along the arterial corridor without an increase in crashes.  Additional HSR programs on arterials should be considered and the MUTCD should determine applicable changes to any standards, support or guidance for part time shoulder use on an arterial.</w:t>
            </w:r>
          </w:p>
          <w:p w14:paraId="31973E8B" w14:textId="77777777" w:rsidR="00D71569" w:rsidRDefault="00D71569" w:rsidP="00D71569">
            <w:pPr>
              <w:autoSpaceDE w:val="0"/>
              <w:autoSpaceDN w:val="0"/>
              <w:adjustRightInd w:val="0"/>
              <w:rPr>
                <w:rFonts w:cstheme="minorHAnsi"/>
                <w:bCs/>
              </w:rPr>
            </w:pPr>
          </w:p>
          <w:p w14:paraId="72AAE929" w14:textId="77777777" w:rsidR="00D71569" w:rsidRDefault="00D71569" w:rsidP="00D71569">
            <w:pPr>
              <w:autoSpaceDE w:val="0"/>
              <w:autoSpaceDN w:val="0"/>
              <w:adjustRightInd w:val="0"/>
              <w:rPr>
                <w:rFonts w:ascii="Arial" w:hAnsi="Arial" w:cs="Arial"/>
                <w:sz w:val="20"/>
                <w:szCs w:val="20"/>
              </w:rPr>
            </w:pPr>
            <w:r w:rsidRPr="007418C3">
              <w:rPr>
                <w:rFonts w:ascii="Arial" w:hAnsi="Arial" w:cs="Arial"/>
                <w:sz w:val="20"/>
                <w:szCs w:val="20"/>
              </w:rPr>
              <w:t>NJDOT will need to inspect the RT 129/29 weekday freeway shoulder operation for sign conformance upon completed MUTCD revisions</w:t>
            </w:r>
            <w:r>
              <w:rPr>
                <w:rFonts w:ascii="Arial" w:hAnsi="Arial" w:cs="Arial"/>
                <w:sz w:val="20"/>
                <w:szCs w:val="20"/>
              </w:rPr>
              <w:t>.</w:t>
            </w:r>
          </w:p>
          <w:p w14:paraId="37BAABBB" w14:textId="40CC24C1" w:rsidR="00F44081" w:rsidRPr="00D71569" w:rsidRDefault="00F44081" w:rsidP="00D71569">
            <w:pPr>
              <w:autoSpaceDE w:val="0"/>
              <w:autoSpaceDN w:val="0"/>
              <w:adjustRightInd w:val="0"/>
              <w:rPr>
                <w:rFonts w:cstheme="minorHAnsi"/>
                <w:bCs/>
              </w:rPr>
            </w:pPr>
          </w:p>
        </w:tc>
      </w:tr>
      <w:tr w:rsidR="00D71569" w14:paraId="24A321E6" w14:textId="77777777" w:rsidTr="00C92A11">
        <w:trPr>
          <w:trHeight w:val="1034"/>
        </w:trPr>
        <w:tc>
          <w:tcPr>
            <w:tcW w:w="1170" w:type="dxa"/>
          </w:tcPr>
          <w:p w14:paraId="2DD971BF" w14:textId="4D19E1A8" w:rsidR="00D71569" w:rsidRDefault="00865893" w:rsidP="00A67B2B">
            <w:pPr>
              <w:rPr>
                <w:rFonts w:ascii="Arial" w:hAnsi="Arial" w:cs="Arial"/>
                <w:sz w:val="20"/>
                <w:szCs w:val="20"/>
              </w:rPr>
            </w:pPr>
            <w:r>
              <w:rPr>
                <w:rFonts w:ascii="Arial" w:hAnsi="Arial" w:cs="Arial"/>
                <w:sz w:val="20"/>
                <w:szCs w:val="20"/>
              </w:rPr>
              <w:t>N/A</w:t>
            </w:r>
          </w:p>
        </w:tc>
        <w:tc>
          <w:tcPr>
            <w:tcW w:w="1167" w:type="dxa"/>
          </w:tcPr>
          <w:p w14:paraId="09ED8362" w14:textId="09950564" w:rsidR="00D71569" w:rsidRDefault="00865893" w:rsidP="00A67B2B">
            <w:pPr>
              <w:jc w:val="center"/>
              <w:rPr>
                <w:rFonts w:ascii="Arial" w:hAnsi="Arial" w:cs="Arial"/>
                <w:sz w:val="20"/>
                <w:szCs w:val="20"/>
              </w:rPr>
            </w:pPr>
            <w:r>
              <w:rPr>
                <w:rFonts w:ascii="Arial" w:hAnsi="Arial" w:cs="Arial"/>
                <w:sz w:val="20"/>
                <w:szCs w:val="20"/>
              </w:rPr>
              <w:t>N/A</w:t>
            </w:r>
          </w:p>
        </w:tc>
        <w:tc>
          <w:tcPr>
            <w:tcW w:w="1183" w:type="dxa"/>
          </w:tcPr>
          <w:p w14:paraId="77D5F5A7" w14:textId="5ACE07CB" w:rsidR="00D71569" w:rsidRDefault="00865893" w:rsidP="00A67B2B">
            <w:pPr>
              <w:jc w:val="center"/>
              <w:rPr>
                <w:rFonts w:ascii="Arial" w:hAnsi="Arial" w:cs="Arial"/>
                <w:sz w:val="20"/>
                <w:szCs w:val="20"/>
              </w:rPr>
            </w:pPr>
            <w:r>
              <w:rPr>
                <w:rFonts w:ascii="Arial" w:hAnsi="Arial" w:cs="Arial"/>
                <w:sz w:val="20"/>
                <w:szCs w:val="20"/>
              </w:rPr>
              <w:t>N/A</w:t>
            </w:r>
          </w:p>
        </w:tc>
        <w:tc>
          <w:tcPr>
            <w:tcW w:w="1017" w:type="dxa"/>
          </w:tcPr>
          <w:p w14:paraId="663E0A91" w14:textId="223777A6" w:rsidR="00D71569" w:rsidRDefault="00865893" w:rsidP="00A67B2B">
            <w:pPr>
              <w:jc w:val="center"/>
              <w:rPr>
                <w:rFonts w:ascii="Arial" w:hAnsi="Arial" w:cs="Arial"/>
                <w:sz w:val="20"/>
                <w:szCs w:val="20"/>
              </w:rPr>
            </w:pPr>
            <w:r>
              <w:rPr>
                <w:rFonts w:ascii="Arial" w:hAnsi="Arial" w:cs="Arial"/>
                <w:sz w:val="20"/>
                <w:szCs w:val="20"/>
              </w:rPr>
              <w:t>N/A</w:t>
            </w:r>
          </w:p>
        </w:tc>
        <w:tc>
          <w:tcPr>
            <w:tcW w:w="6263" w:type="dxa"/>
          </w:tcPr>
          <w:p w14:paraId="04BE223E" w14:textId="3B4C244D" w:rsidR="00865893" w:rsidRPr="00865893" w:rsidRDefault="00865893" w:rsidP="00865893">
            <w:pPr>
              <w:shd w:val="clear" w:color="auto" w:fill="FFFFFF"/>
              <w:spacing w:after="150"/>
              <w:rPr>
                <w:rFonts w:ascii="Arial" w:eastAsia="Times New Roman" w:hAnsi="Arial" w:cs="Arial"/>
                <w:sz w:val="20"/>
                <w:szCs w:val="20"/>
              </w:rPr>
            </w:pPr>
            <w:r w:rsidRPr="00865893">
              <w:rPr>
                <w:rFonts w:ascii="Arial" w:eastAsia="Times New Roman" w:hAnsi="Arial" w:cs="Arial"/>
                <w:sz w:val="20"/>
                <w:szCs w:val="20"/>
              </w:rPr>
              <w:t>This N</w:t>
            </w:r>
            <w:r w:rsidR="006A3F57">
              <w:rPr>
                <w:rFonts w:ascii="Arial" w:eastAsia="Times New Roman" w:hAnsi="Arial" w:cs="Arial"/>
                <w:sz w:val="20"/>
                <w:szCs w:val="20"/>
              </w:rPr>
              <w:t>otic</w:t>
            </w:r>
            <w:r w:rsidR="00902EB6">
              <w:rPr>
                <w:rFonts w:ascii="Arial" w:eastAsia="Times New Roman" w:hAnsi="Arial" w:cs="Arial"/>
                <w:sz w:val="20"/>
                <w:szCs w:val="20"/>
              </w:rPr>
              <w:t xml:space="preserve">e of </w:t>
            </w:r>
            <w:r w:rsidRPr="00865893">
              <w:rPr>
                <w:rFonts w:ascii="Arial" w:eastAsia="Times New Roman" w:hAnsi="Arial" w:cs="Arial"/>
                <w:sz w:val="20"/>
                <w:szCs w:val="20"/>
              </w:rPr>
              <w:t>P</w:t>
            </w:r>
            <w:r w:rsidR="00902EB6">
              <w:rPr>
                <w:rFonts w:ascii="Arial" w:eastAsia="Times New Roman" w:hAnsi="Arial" w:cs="Arial"/>
                <w:sz w:val="20"/>
                <w:szCs w:val="20"/>
              </w:rPr>
              <w:t xml:space="preserve">roposed </w:t>
            </w:r>
            <w:r w:rsidRPr="00865893">
              <w:rPr>
                <w:rFonts w:ascii="Arial" w:eastAsia="Times New Roman" w:hAnsi="Arial" w:cs="Arial"/>
                <w:sz w:val="20"/>
                <w:szCs w:val="20"/>
              </w:rPr>
              <w:t>A</w:t>
            </w:r>
            <w:r w:rsidR="00902EB6">
              <w:rPr>
                <w:rFonts w:ascii="Arial" w:eastAsia="Times New Roman" w:hAnsi="Arial" w:cs="Arial"/>
                <w:sz w:val="20"/>
                <w:szCs w:val="20"/>
              </w:rPr>
              <w:t>mendments</w:t>
            </w:r>
            <w:r w:rsidRPr="00865893">
              <w:rPr>
                <w:rFonts w:ascii="Arial" w:eastAsia="Times New Roman" w:hAnsi="Arial" w:cs="Arial"/>
                <w:sz w:val="20"/>
                <w:szCs w:val="20"/>
              </w:rPr>
              <w:t xml:space="preserve"> provides quantitative estimates of the expected compliance costs associated with the proposed substantive revisions. There are 132 substantive revisions in total. There are 124 substantive revisions with minimal or no impact, including the introduction of 37 new traffic control device applications. These revisions materially change the MUTCD requirements but have no cost impacts or minimal cost impacts. </w:t>
            </w:r>
            <w:r w:rsidRPr="00865893">
              <w:rPr>
                <w:rFonts w:ascii="Arial" w:hAnsi="Arial" w:cs="Arial"/>
                <w:sz w:val="20"/>
                <w:szCs w:val="20"/>
                <w:shd w:val="clear" w:color="auto" w:fill="FFFFFF"/>
              </w:rPr>
              <w:t>The remaining eight substantive revisions have quantifiable economic impacts. For the three substantive revisions for which costs can be quantified, the total estimated cost measured in 2018 dollars is $541,978 when discounted to 2018 at 7 percent; and $589,667 when discounted at 3 percent. These costs are estimated as the sum of the price of the traffic control device and the removal and installation costs of the device, applied to the current and future deployment rate of the traffic control device, considering the compliance date for the provision relating to the device. This may introduce a life-cycle replacement strategy to confirm application of any MUTCD revisions and meet the 2030 compliance date.</w:t>
            </w:r>
          </w:p>
          <w:p w14:paraId="7528431A" w14:textId="77777777" w:rsidR="00D71569" w:rsidRPr="00095FDD" w:rsidRDefault="00D71569" w:rsidP="00D71569">
            <w:pPr>
              <w:autoSpaceDE w:val="0"/>
              <w:autoSpaceDN w:val="0"/>
              <w:adjustRightInd w:val="0"/>
              <w:rPr>
                <w:rFonts w:cstheme="minorHAnsi"/>
                <w:bCs/>
              </w:rPr>
            </w:pPr>
          </w:p>
        </w:tc>
      </w:tr>
      <w:tr w:rsidR="00865893" w14:paraId="4BFC7739" w14:textId="77777777" w:rsidTr="00E1700C">
        <w:trPr>
          <w:trHeight w:val="494"/>
        </w:trPr>
        <w:tc>
          <w:tcPr>
            <w:tcW w:w="1170" w:type="dxa"/>
          </w:tcPr>
          <w:p w14:paraId="19474BB4" w14:textId="40A63DF3" w:rsidR="00865893" w:rsidRDefault="00865893" w:rsidP="00A67B2B">
            <w:pPr>
              <w:rPr>
                <w:rFonts w:ascii="Arial" w:hAnsi="Arial" w:cs="Arial"/>
                <w:sz w:val="20"/>
                <w:szCs w:val="20"/>
              </w:rPr>
            </w:pPr>
            <w:r>
              <w:rPr>
                <w:rFonts w:ascii="Arial" w:hAnsi="Arial" w:cs="Arial"/>
                <w:sz w:val="20"/>
                <w:szCs w:val="20"/>
              </w:rPr>
              <w:t>2L</w:t>
            </w:r>
          </w:p>
        </w:tc>
        <w:tc>
          <w:tcPr>
            <w:tcW w:w="1167" w:type="dxa"/>
          </w:tcPr>
          <w:p w14:paraId="5F3002DE" w14:textId="16D0DEAF" w:rsidR="00865893" w:rsidRDefault="00E1700C" w:rsidP="00A67B2B">
            <w:pPr>
              <w:jc w:val="center"/>
              <w:rPr>
                <w:rFonts w:ascii="Arial" w:hAnsi="Arial" w:cs="Arial"/>
                <w:sz w:val="20"/>
                <w:szCs w:val="20"/>
              </w:rPr>
            </w:pPr>
            <w:r>
              <w:rPr>
                <w:rFonts w:ascii="Arial" w:hAnsi="Arial" w:cs="Arial"/>
                <w:sz w:val="20"/>
                <w:szCs w:val="20"/>
              </w:rPr>
              <w:t>N/A</w:t>
            </w:r>
          </w:p>
        </w:tc>
        <w:tc>
          <w:tcPr>
            <w:tcW w:w="1183" w:type="dxa"/>
          </w:tcPr>
          <w:p w14:paraId="4FEAED9E" w14:textId="2D193DA8" w:rsidR="00865893" w:rsidRDefault="00E1700C" w:rsidP="00A67B2B">
            <w:pPr>
              <w:jc w:val="center"/>
              <w:rPr>
                <w:rFonts w:ascii="Arial" w:hAnsi="Arial" w:cs="Arial"/>
                <w:sz w:val="20"/>
                <w:szCs w:val="20"/>
              </w:rPr>
            </w:pPr>
            <w:r>
              <w:rPr>
                <w:rFonts w:ascii="Arial" w:hAnsi="Arial" w:cs="Arial"/>
                <w:sz w:val="20"/>
                <w:szCs w:val="20"/>
              </w:rPr>
              <w:t>YES</w:t>
            </w:r>
          </w:p>
        </w:tc>
        <w:tc>
          <w:tcPr>
            <w:tcW w:w="1017" w:type="dxa"/>
          </w:tcPr>
          <w:p w14:paraId="02AAA09E" w14:textId="0383D31F" w:rsidR="00865893" w:rsidRDefault="00E1700C" w:rsidP="00A67B2B">
            <w:pPr>
              <w:jc w:val="center"/>
              <w:rPr>
                <w:rFonts w:ascii="Arial" w:hAnsi="Arial" w:cs="Arial"/>
                <w:sz w:val="20"/>
                <w:szCs w:val="20"/>
              </w:rPr>
            </w:pPr>
            <w:r>
              <w:rPr>
                <w:rFonts w:ascii="Arial" w:hAnsi="Arial" w:cs="Arial"/>
                <w:sz w:val="20"/>
                <w:szCs w:val="20"/>
              </w:rPr>
              <w:t>N/A</w:t>
            </w:r>
          </w:p>
        </w:tc>
        <w:tc>
          <w:tcPr>
            <w:tcW w:w="6263" w:type="dxa"/>
          </w:tcPr>
          <w:p w14:paraId="2D5BBD19" w14:textId="1C8F8E61" w:rsidR="00865893" w:rsidRPr="00865893" w:rsidRDefault="00865893" w:rsidP="00865893">
            <w:pPr>
              <w:autoSpaceDE w:val="0"/>
              <w:autoSpaceDN w:val="0"/>
              <w:adjustRightInd w:val="0"/>
              <w:rPr>
                <w:rFonts w:ascii="Arial" w:hAnsi="Arial" w:cs="Arial"/>
                <w:bCs/>
                <w:sz w:val="20"/>
                <w:szCs w:val="20"/>
              </w:rPr>
            </w:pPr>
            <w:r>
              <w:rPr>
                <w:rFonts w:ascii="Arial" w:hAnsi="Arial" w:cs="Arial"/>
                <w:bCs/>
                <w:sz w:val="20"/>
                <w:szCs w:val="20"/>
              </w:rPr>
              <w:t xml:space="preserve">Under the </w:t>
            </w:r>
            <w:r w:rsidRPr="00865893">
              <w:rPr>
                <w:rFonts w:ascii="Arial" w:hAnsi="Arial" w:cs="Arial"/>
                <w:bCs/>
                <w:sz w:val="20"/>
                <w:szCs w:val="20"/>
              </w:rPr>
              <w:t>Standard</w:t>
            </w:r>
            <w:r>
              <w:rPr>
                <w:rFonts w:ascii="Arial" w:hAnsi="Arial" w:cs="Arial"/>
                <w:bCs/>
                <w:sz w:val="20"/>
                <w:szCs w:val="20"/>
              </w:rPr>
              <w:t xml:space="preserve">, </w:t>
            </w:r>
            <w:r w:rsidR="0095586D">
              <w:rPr>
                <w:rFonts w:ascii="Arial" w:hAnsi="Arial" w:cs="Arial"/>
                <w:bCs/>
                <w:sz w:val="20"/>
                <w:szCs w:val="20"/>
              </w:rPr>
              <w:t>n</w:t>
            </w:r>
            <w:r w:rsidRPr="00865893">
              <w:rPr>
                <w:rFonts w:ascii="Arial" w:hAnsi="Arial" w:cs="Arial"/>
                <w:bCs/>
                <w:sz w:val="20"/>
                <w:szCs w:val="20"/>
              </w:rPr>
              <w:t>o items other than inventory or maintenance-related information (see Section 2A.05) shall be</w:t>
            </w:r>
            <w:r>
              <w:rPr>
                <w:rFonts w:ascii="Arial" w:hAnsi="Arial" w:cs="Arial"/>
                <w:bCs/>
                <w:sz w:val="20"/>
                <w:szCs w:val="20"/>
              </w:rPr>
              <w:t xml:space="preserve"> </w:t>
            </w:r>
            <w:r w:rsidRPr="00865893">
              <w:rPr>
                <w:rFonts w:ascii="Arial" w:hAnsi="Arial" w:cs="Arial"/>
                <w:bCs/>
                <w:sz w:val="20"/>
                <w:szCs w:val="20"/>
              </w:rPr>
              <w:t xml:space="preserve">displayed on the front or back of a </w:t>
            </w:r>
            <w:r>
              <w:rPr>
                <w:rFonts w:ascii="Arial" w:hAnsi="Arial" w:cs="Arial"/>
                <w:bCs/>
                <w:sz w:val="20"/>
                <w:szCs w:val="20"/>
              </w:rPr>
              <w:t>Changeable Message Sign (</w:t>
            </w:r>
            <w:r w:rsidRPr="00865893">
              <w:rPr>
                <w:rFonts w:ascii="Arial" w:hAnsi="Arial" w:cs="Arial"/>
                <w:bCs/>
                <w:sz w:val="20"/>
                <w:szCs w:val="20"/>
              </w:rPr>
              <w:t>CMS</w:t>
            </w:r>
            <w:r>
              <w:rPr>
                <w:rFonts w:ascii="Arial" w:hAnsi="Arial" w:cs="Arial"/>
                <w:bCs/>
                <w:sz w:val="20"/>
                <w:szCs w:val="20"/>
              </w:rPr>
              <w:t>)</w:t>
            </w:r>
            <w:r w:rsidRPr="00865893">
              <w:rPr>
                <w:rFonts w:ascii="Arial" w:hAnsi="Arial" w:cs="Arial"/>
                <w:bCs/>
                <w:sz w:val="20"/>
                <w:szCs w:val="20"/>
              </w:rPr>
              <w:t xml:space="preserve"> or portable CMS. Names or logos of the manufacturer, brand,</w:t>
            </w:r>
            <w:r w:rsidRPr="00865893">
              <w:rPr>
                <w:rFonts w:ascii="Arial" w:hAnsi="Arial" w:cs="Arial"/>
                <w:sz w:val="20"/>
                <w:szCs w:val="20"/>
              </w:rPr>
              <w:t xml:space="preserve"> </w:t>
            </w:r>
            <w:r w:rsidRPr="00865893">
              <w:rPr>
                <w:rFonts w:ascii="Arial" w:hAnsi="Arial" w:cs="Arial"/>
                <w:bCs/>
                <w:sz w:val="20"/>
                <w:szCs w:val="20"/>
              </w:rPr>
              <w:t>or model shall not be displayed on a CMS or portable CMS, either in the message display itself or on</w:t>
            </w:r>
            <w:r w:rsidRPr="00865893">
              <w:rPr>
                <w:rFonts w:ascii="Arial" w:hAnsi="Arial" w:cs="Arial"/>
                <w:sz w:val="20"/>
                <w:szCs w:val="20"/>
              </w:rPr>
              <w:t xml:space="preserve"> </w:t>
            </w:r>
            <w:r w:rsidRPr="00865893">
              <w:rPr>
                <w:rFonts w:ascii="Arial" w:hAnsi="Arial" w:cs="Arial"/>
                <w:bCs/>
                <w:sz w:val="20"/>
                <w:szCs w:val="20"/>
              </w:rPr>
              <w:t>the exterior housing.</w:t>
            </w:r>
            <w:r w:rsidR="00E1700C">
              <w:rPr>
                <w:rFonts w:ascii="Arial" w:hAnsi="Arial" w:cs="Arial"/>
                <w:bCs/>
                <w:sz w:val="20"/>
                <w:szCs w:val="20"/>
              </w:rPr>
              <w:t xml:space="preserve"> </w:t>
            </w:r>
            <w:r w:rsidR="00E1700C" w:rsidRPr="00E565D5">
              <w:rPr>
                <w:rFonts w:ascii="Arial" w:hAnsi="Arial" w:cs="Arial"/>
                <w:sz w:val="20"/>
                <w:szCs w:val="20"/>
              </w:rPr>
              <w:t xml:space="preserve">The </w:t>
            </w:r>
            <w:r w:rsidR="00E1700C" w:rsidRPr="00E565D5">
              <w:rPr>
                <w:rFonts w:ascii="Arial" w:eastAsia="Times New Roman" w:hAnsi="Arial" w:cs="Arial"/>
                <w:sz w:val="20"/>
                <w:szCs w:val="20"/>
              </w:rPr>
              <w:t xml:space="preserve">MUTCD revision should be rephrased to </w:t>
            </w:r>
            <w:r w:rsidR="0095586D">
              <w:rPr>
                <w:rFonts w:ascii="Arial" w:eastAsia="Times New Roman" w:hAnsi="Arial" w:cs="Arial"/>
                <w:sz w:val="20"/>
                <w:szCs w:val="20"/>
              </w:rPr>
              <w:t xml:space="preserve">prohibit </w:t>
            </w:r>
            <w:r w:rsidR="004D3A6D">
              <w:rPr>
                <w:rFonts w:ascii="Arial" w:eastAsia="Times New Roman" w:hAnsi="Arial" w:cs="Arial"/>
                <w:sz w:val="20"/>
                <w:szCs w:val="20"/>
              </w:rPr>
              <w:t xml:space="preserve">manufacturer names and logos on the front of a CMS in areas that are visible to the motoring public. </w:t>
            </w:r>
            <w:r w:rsidR="00E1700C" w:rsidRPr="00E565D5">
              <w:rPr>
                <w:rFonts w:ascii="Arial" w:eastAsia="Times New Roman" w:hAnsi="Arial" w:cs="Arial"/>
                <w:sz w:val="20"/>
                <w:szCs w:val="20"/>
              </w:rPr>
              <w:t xml:space="preserve">Otherwise, </w:t>
            </w:r>
            <w:r w:rsidR="00E1700C" w:rsidRPr="00E565D5">
              <w:rPr>
                <w:rFonts w:ascii="Arial" w:hAnsi="Arial" w:cs="Arial"/>
                <w:sz w:val="20"/>
                <w:szCs w:val="20"/>
              </w:rPr>
              <w:t xml:space="preserve">NJDOT will need to work with existing CMS vendors to remove any/all names, logos, brand or model names from the exterior housing.  This will include cost of </w:t>
            </w:r>
            <w:r w:rsidR="00AE4936">
              <w:rPr>
                <w:rFonts w:ascii="Arial" w:hAnsi="Arial" w:cs="Arial"/>
                <w:sz w:val="20"/>
                <w:szCs w:val="20"/>
              </w:rPr>
              <w:t>maintenance and traffic protection</w:t>
            </w:r>
            <w:r w:rsidR="00E1700C" w:rsidRPr="00E565D5">
              <w:rPr>
                <w:rFonts w:ascii="Arial" w:hAnsi="Arial" w:cs="Arial"/>
                <w:sz w:val="20"/>
                <w:szCs w:val="20"/>
              </w:rPr>
              <w:t xml:space="preserve"> and </w:t>
            </w:r>
            <w:r w:rsidR="00E1700C">
              <w:rPr>
                <w:rFonts w:ascii="Arial" w:hAnsi="Arial" w:cs="Arial"/>
                <w:sz w:val="20"/>
                <w:szCs w:val="20"/>
              </w:rPr>
              <w:t>r</w:t>
            </w:r>
            <w:r w:rsidR="00E1700C" w:rsidRPr="00E565D5">
              <w:rPr>
                <w:rFonts w:ascii="Arial" w:hAnsi="Arial" w:cs="Arial"/>
                <w:sz w:val="20"/>
                <w:szCs w:val="20"/>
              </w:rPr>
              <w:t>emoval by either the contractor or NJDOT unless completed during lifecycle replacement.</w:t>
            </w:r>
          </w:p>
          <w:p w14:paraId="66E0752F" w14:textId="77777777" w:rsidR="00865893" w:rsidRPr="00865893" w:rsidRDefault="00865893" w:rsidP="00865893">
            <w:pPr>
              <w:shd w:val="clear" w:color="auto" w:fill="FFFFFF"/>
              <w:spacing w:after="150"/>
              <w:rPr>
                <w:rFonts w:ascii="Arial" w:eastAsia="Times New Roman" w:hAnsi="Arial" w:cs="Arial"/>
                <w:sz w:val="20"/>
                <w:szCs w:val="20"/>
              </w:rPr>
            </w:pPr>
          </w:p>
        </w:tc>
      </w:tr>
      <w:tr w:rsidR="00E1700C" w14:paraId="53022CC0" w14:textId="77777777" w:rsidTr="00C92A11">
        <w:trPr>
          <w:trHeight w:val="1034"/>
        </w:trPr>
        <w:tc>
          <w:tcPr>
            <w:tcW w:w="1170" w:type="dxa"/>
          </w:tcPr>
          <w:p w14:paraId="14549F91" w14:textId="21306B4A" w:rsidR="00E1700C" w:rsidRDefault="00E1700C" w:rsidP="00A67B2B">
            <w:pPr>
              <w:rPr>
                <w:rFonts w:ascii="Arial" w:hAnsi="Arial" w:cs="Arial"/>
                <w:sz w:val="20"/>
                <w:szCs w:val="20"/>
              </w:rPr>
            </w:pPr>
            <w:r>
              <w:rPr>
                <w:rFonts w:ascii="Arial" w:hAnsi="Arial" w:cs="Arial"/>
                <w:sz w:val="20"/>
                <w:szCs w:val="20"/>
              </w:rPr>
              <w:t>4F.17</w:t>
            </w:r>
          </w:p>
        </w:tc>
        <w:tc>
          <w:tcPr>
            <w:tcW w:w="1167" w:type="dxa"/>
          </w:tcPr>
          <w:p w14:paraId="0D7A319B" w14:textId="6D1A7030" w:rsidR="00E1700C" w:rsidRDefault="00E1700C" w:rsidP="00A67B2B">
            <w:pPr>
              <w:jc w:val="center"/>
              <w:rPr>
                <w:rFonts w:ascii="Arial" w:hAnsi="Arial" w:cs="Arial"/>
                <w:sz w:val="20"/>
                <w:szCs w:val="20"/>
              </w:rPr>
            </w:pPr>
            <w:r>
              <w:rPr>
                <w:rFonts w:ascii="Arial" w:hAnsi="Arial" w:cs="Arial"/>
                <w:sz w:val="20"/>
                <w:szCs w:val="20"/>
              </w:rPr>
              <w:t>N/A</w:t>
            </w:r>
          </w:p>
        </w:tc>
        <w:tc>
          <w:tcPr>
            <w:tcW w:w="1183" w:type="dxa"/>
          </w:tcPr>
          <w:p w14:paraId="23CDB611" w14:textId="509DA21D" w:rsidR="00E1700C" w:rsidRDefault="00E1700C" w:rsidP="00A67B2B">
            <w:pPr>
              <w:jc w:val="center"/>
              <w:rPr>
                <w:rFonts w:ascii="Arial" w:hAnsi="Arial" w:cs="Arial"/>
                <w:sz w:val="20"/>
                <w:szCs w:val="20"/>
              </w:rPr>
            </w:pPr>
            <w:r>
              <w:rPr>
                <w:rFonts w:ascii="Arial" w:hAnsi="Arial" w:cs="Arial"/>
                <w:sz w:val="20"/>
                <w:szCs w:val="20"/>
              </w:rPr>
              <w:t>N/A</w:t>
            </w:r>
          </w:p>
        </w:tc>
        <w:tc>
          <w:tcPr>
            <w:tcW w:w="1017" w:type="dxa"/>
          </w:tcPr>
          <w:p w14:paraId="25CE6AD7" w14:textId="02DBCE43" w:rsidR="00E1700C" w:rsidRDefault="00E1700C" w:rsidP="00A67B2B">
            <w:pPr>
              <w:jc w:val="center"/>
              <w:rPr>
                <w:rFonts w:ascii="Arial" w:hAnsi="Arial" w:cs="Arial"/>
                <w:sz w:val="20"/>
                <w:szCs w:val="20"/>
              </w:rPr>
            </w:pPr>
            <w:r>
              <w:rPr>
                <w:rFonts w:ascii="Arial" w:hAnsi="Arial" w:cs="Arial"/>
                <w:sz w:val="20"/>
                <w:szCs w:val="20"/>
              </w:rPr>
              <w:t>N/A</w:t>
            </w:r>
          </w:p>
        </w:tc>
        <w:tc>
          <w:tcPr>
            <w:tcW w:w="6263" w:type="dxa"/>
          </w:tcPr>
          <w:p w14:paraId="7AE58A93" w14:textId="13E0CDB6" w:rsidR="00E1700C" w:rsidRPr="00E1700C" w:rsidRDefault="00E1700C" w:rsidP="00865893">
            <w:pPr>
              <w:autoSpaceDE w:val="0"/>
              <w:autoSpaceDN w:val="0"/>
              <w:adjustRightInd w:val="0"/>
              <w:rPr>
                <w:rFonts w:ascii="Arial" w:hAnsi="Arial" w:cs="Arial"/>
                <w:bCs/>
                <w:sz w:val="20"/>
                <w:szCs w:val="20"/>
              </w:rPr>
            </w:pPr>
            <w:r w:rsidRPr="00E1700C">
              <w:rPr>
                <w:rFonts w:ascii="Arial" w:hAnsi="Arial" w:cs="Arial"/>
                <w:sz w:val="20"/>
                <w:szCs w:val="20"/>
              </w:rPr>
              <w:t>Changes to this section could affect practices of calculating clearance intervals since it regards changes of reference material.  Also, there is a proposed revision to the guidance regarding the length of yellow for turning movement allowed to be as much as seven seconds.  We assume 25 MPH for turning, and thus a fixed three-second yellow turn interval.  If this changes, it will affect signal program calculations.</w:t>
            </w:r>
          </w:p>
        </w:tc>
      </w:tr>
      <w:tr w:rsidR="00E1700C" w14:paraId="5F58DFF2" w14:textId="77777777" w:rsidTr="00E1700C">
        <w:trPr>
          <w:trHeight w:val="989"/>
        </w:trPr>
        <w:tc>
          <w:tcPr>
            <w:tcW w:w="1170" w:type="dxa"/>
          </w:tcPr>
          <w:p w14:paraId="59DC5ED1" w14:textId="29FB9995" w:rsidR="00E1700C" w:rsidRDefault="00E1700C" w:rsidP="00A67B2B">
            <w:pPr>
              <w:rPr>
                <w:rFonts w:ascii="Arial" w:hAnsi="Arial" w:cs="Arial"/>
                <w:sz w:val="20"/>
                <w:szCs w:val="20"/>
              </w:rPr>
            </w:pPr>
            <w:r>
              <w:rPr>
                <w:rFonts w:ascii="Arial" w:hAnsi="Arial" w:cs="Arial"/>
                <w:sz w:val="20"/>
                <w:szCs w:val="20"/>
              </w:rPr>
              <w:t>4I.05</w:t>
            </w:r>
          </w:p>
        </w:tc>
        <w:tc>
          <w:tcPr>
            <w:tcW w:w="1167" w:type="dxa"/>
          </w:tcPr>
          <w:p w14:paraId="762E5549" w14:textId="25D98190" w:rsidR="00E1700C" w:rsidRDefault="00E1700C" w:rsidP="00A67B2B">
            <w:pPr>
              <w:jc w:val="center"/>
              <w:rPr>
                <w:rFonts w:ascii="Arial" w:hAnsi="Arial" w:cs="Arial"/>
                <w:sz w:val="20"/>
                <w:szCs w:val="20"/>
              </w:rPr>
            </w:pPr>
            <w:r>
              <w:rPr>
                <w:rFonts w:ascii="Arial" w:hAnsi="Arial" w:cs="Arial"/>
                <w:sz w:val="20"/>
                <w:szCs w:val="20"/>
              </w:rPr>
              <w:t>N/A</w:t>
            </w:r>
          </w:p>
        </w:tc>
        <w:tc>
          <w:tcPr>
            <w:tcW w:w="1183" w:type="dxa"/>
          </w:tcPr>
          <w:p w14:paraId="6A8AB7CB" w14:textId="28E540D0" w:rsidR="00E1700C" w:rsidRDefault="00E1700C" w:rsidP="00A67B2B">
            <w:pPr>
              <w:jc w:val="center"/>
              <w:rPr>
                <w:rFonts w:ascii="Arial" w:hAnsi="Arial" w:cs="Arial"/>
                <w:sz w:val="20"/>
                <w:szCs w:val="20"/>
              </w:rPr>
            </w:pPr>
            <w:r>
              <w:rPr>
                <w:rFonts w:ascii="Arial" w:hAnsi="Arial" w:cs="Arial"/>
                <w:sz w:val="20"/>
                <w:szCs w:val="20"/>
              </w:rPr>
              <w:t>N/A</w:t>
            </w:r>
          </w:p>
        </w:tc>
        <w:tc>
          <w:tcPr>
            <w:tcW w:w="1017" w:type="dxa"/>
          </w:tcPr>
          <w:p w14:paraId="66B9E4B3" w14:textId="698D2D5D" w:rsidR="00E1700C" w:rsidRDefault="00E1700C" w:rsidP="00A67B2B">
            <w:pPr>
              <w:jc w:val="center"/>
              <w:rPr>
                <w:rFonts w:ascii="Arial" w:hAnsi="Arial" w:cs="Arial"/>
                <w:sz w:val="20"/>
                <w:szCs w:val="20"/>
              </w:rPr>
            </w:pPr>
            <w:r>
              <w:rPr>
                <w:rFonts w:ascii="Arial" w:hAnsi="Arial" w:cs="Arial"/>
                <w:sz w:val="20"/>
                <w:szCs w:val="20"/>
              </w:rPr>
              <w:t>N/A</w:t>
            </w:r>
          </w:p>
        </w:tc>
        <w:tc>
          <w:tcPr>
            <w:tcW w:w="6263" w:type="dxa"/>
          </w:tcPr>
          <w:p w14:paraId="67FAB1BB" w14:textId="38968F31" w:rsidR="00E1700C" w:rsidRPr="00E1700C" w:rsidRDefault="00E1700C" w:rsidP="00E1700C">
            <w:pPr>
              <w:rPr>
                <w:rFonts w:ascii="Arial" w:hAnsi="Arial" w:cs="Arial"/>
                <w:sz w:val="20"/>
                <w:szCs w:val="20"/>
              </w:rPr>
            </w:pPr>
            <w:r w:rsidRPr="00E1700C">
              <w:rPr>
                <w:rFonts w:ascii="Arial" w:hAnsi="Arial" w:cs="Arial"/>
                <w:sz w:val="20"/>
                <w:szCs w:val="20"/>
              </w:rPr>
              <w:t xml:space="preserve">This section proposes the possibility of “touch-free” </w:t>
            </w:r>
            <w:r w:rsidR="00AD290D">
              <w:rPr>
                <w:rFonts w:ascii="Arial" w:hAnsi="Arial" w:cs="Arial"/>
                <w:sz w:val="20"/>
                <w:szCs w:val="20"/>
              </w:rPr>
              <w:t>pedestrian push buttons</w:t>
            </w:r>
            <w:r w:rsidRPr="00E1700C">
              <w:rPr>
                <w:rFonts w:ascii="Arial" w:hAnsi="Arial" w:cs="Arial"/>
                <w:sz w:val="20"/>
                <w:szCs w:val="20"/>
              </w:rPr>
              <w:t>, which might affect our calculations for pedestrian clearance considering the distances from the buttons to the curb, depending on how they are to be actuated.</w:t>
            </w:r>
          </w:p>
          <w:p w14:paraId="04878DD5" w14:textId="77777777" w:rsidR="00E1700C" w:rsidRPr="00E1700C" w:rsidRDefault="00E1700C" w:rsidP="00865893">
            <w:pPr>
              <w:autoSpaceDE w:val="0"/>
              <w:autoSpaceDN w:val="0"/>
              <w:adjustRightInd w:val="0"/>
              <w:rPr>
                <w:rFonts w:ascii="Arial" w:hAnsi="Arial" w:cs="Arial"/>
                <w:sz w:val="20"/>
                <w:szCs w:val="20"/>
              </w:rPr>
            </w:pPr>
          </w:p>
        </w:tc>
      </w:tr>
      <w:tr w:rsidR="00E1700C" w14:paraId="2ED06222" w14:textId="77777777" w:rsidTr="00C92A11">
        <w:trPr>
          <w:trHeight w:val="1034"/>
        </w:trPr>
        <w:tc>
          <w:tcPr>
            <w:tcW w:w="1170" w:type="dxa"/>
          </w:tcPr>
          <w:p w14:paraId="0A3BE8BC" w14:textId="03A2807A" w:rsidR="00E1700C" w:rsidRDefault="00E1700C" w:rsidP="00E1700C">
            <w:pPr>
              <w:rPr>
                <w:rFonts w:ascii="Arial" w:hAnsi="Arial" w:cs="Arial"/>
                <w:sz w:val="20"/>
                <w:szCs w:val="20"/>
              </w:rPr>
            </w:pPr>
            <w:r>
              <w:rPr>
                <w:rFonts w:ascii="Arial" w:hAnsi="Arial" w:cs="Arial"/>
                <w:sz w:val="20"/>
                <w:szCs w:val="20"/>
              </w:rPr>
              <w:t>6C.05</w:t>
            </w:r>
          </w:p>
        </w:tc>
        <w:tc>
          <w:tcPr>
            <w:tcW w:w="1167" w:type="dxa"/>
          </w:tcPr>
          <w:p w14:paraId="375C3BA1" w14:textId="40D2ACBB" w:rsidR="00E1700C" w:rsidRDefault="00E1700C" w:rsidP="00A67B2B">
            <w:pPr>
              <w:jc w:val="center"/>
              <w:rPr>
                <w:rFonts w:ascii="Arial" w:hAnsi="Arial" w:cs="Arial"/>
                <w:sz w:val="20"/>
                <w:szCs w:val="20"/>
              </w:rPr>
            </w:pPr>
            <w:r>
              <w:rPr>
                <w:rFonts w:ascii="Arial" w:hAnsi="Arial" w:cs="Arial"/>
                <w:sz w:val="20"/>
                <w:szCs w:val="20"/>
              </w:rPr>
              <w:t>YES</w:t>
            </w:r>
          </w:p>
        </w:tc>
        <w:tc>
          <w:tcPr>
            <w:tcW w:w="1183" w:type="dxa"/>
          </w:tcPr>
          <w:p w14:paraId="68686654" w14:textId="4A8C9A55" w:rsidR="00E1700C" w:rsidRDefault="00E1700C" w:rsidP="00A67B2B">
            <w:pPr>
              <w:jc w:val="center"/>
              <w:rPr>
                <w:rFonts w:ascii="Arial" w:hAnsi="Arial" w:cs="Arial"/>
                <w:sz w:val="20"/>
                <w:szCs w:val="20"/>
              </w:rPr>
            </w:pPr>
            <w:r>
              <w:rPr>
                <w:rFonts w:ascii="Arial" w:hAnsi="Arial" w:cs="Arial"/>
                <w:sz w:val="20"/>
                <w:szCs w:val="20"/>
              </w:rPr>
              <w:t>N/A</w:t>
            </w:r>
          </w:p>
        </w:tc>
        <w:tc>
          <w:tcPr>
            <w:tcW w:w="1017" w:type="dxa"/>
          </w:tcPr>
          <w:p w14:paraId="082A925D" w14:textId="02D266C1" w:rsidR="00E1700C" w:rsidRDefault="00E1700C" w:rsidP="00A67B2B">
            <w:pPr>
              <w:jc w:val="center"/>
              <w:rPr>
                <w:rFonts w:ascii="Arial" w:hAnsi="Arial" w:cs="Arial"/>
                <w:sz w:val="20"/>
                <w:szCs w:val="20"/>
              </w:rPr>
            </w:pPr>
            <w:r>
              <w:rPr>
                <w:rFonts w:ascii="Arial" w:hAnsi="Arial" w:cs="Arial"/>
                <w:sz w:val="20"/>
                <w:szCs w:val="20"/>
              </w:rPr>
              <w:t>N/A</w:t>
            </w:r>
          </w:p>
        </w:tc>
        <w:tc>
          <w:tcPr>
            <w:tcW w:w="6263" w:type="dxa"/>
          </w:tcPr>
          <w:p w14:paraId="1BA69A58" w14:textId="1DCC1283" w:rsidR="00E1700C" w:rsidRPr="00704FD0" w:rsidRDefault="00E1700C" w:rsidP="00704FD0">
            <w:pPr>
              <w:autoSpaceDE w:val="0"/>
              <w:autoSpaceDN w:val="0"/>
              <w:adjustRightInd w:val="0"/>
              <w:rPr>
                <w:rFonts w:ascii="Arial" w:hAnsi="Arial" w:cs="Arial"/>
                <w:bCs/>
                <w:sz w:val="20"/>
                <w:szCs w:val="20"/>
              </w:rPr>
            </w:pPr>
            <w:r w:rsidRPr="00704FD0">
              <w:rPr>
                <w:rFonts w:ascii="Arial" w:hAnsi="Arial" w:cs="Arial"/>
                <w:bCs/>
                <w:sz w:val="20"/>
                <w:szCs w:val="20"/>
              </w:rPr>
              <w:t>For daytime and nighttime activity, all workers, including emergency responders, within</w:t>
            </w:r>
            <w:r w:rsidR="00704FD0" w:rsidRPr="00704FD0">
              <w:rPr>
                <w:rFonts w:ascii="Arial" w:hAnsi="Arial" w:cs="Arial"/>
                <w:bCs/>
                <w:sz w:val="20"/>
                <w:szCs w:val="20"/>
              </w:rPr>
              <w:t xml:space="preserve"> </w:t>
            </w:r>
            <w:r w:rsidRPr="00704FD0">
              <w:rPr>
                <w:rFonts w:ascii="Arial" w:hAnsi="Arial" w:cs="Arial"/>
                <w:bCs/>
                <w:sz w:val="20"/>
                <w:szCs w:val="20"/>
              </w:rPr>
              <w:t xml:space="preserve">the right-of-way who are </w:t>
            </w:r>
            <w:r w:rsidR="00704FD0" w:rsidRPr="00704FD0">
              <w:rPr>
                <w:rFonts w:ascii="Arial" w:hAnsi="Arial" w:cs="Arial"/>
                <w:bCs/>
                <w:sz w:val="20"/>
                <w:szCs w:val="20"/>
              </w:rPr>
              <w:t>e</w:t>
            </w:r>
            <w:r w:rsidRPr="00704FD0">
              <w:rPr>
                <w:rFonts w:ascii="Arial" w:hAnsi="Arial" w:cs="Arial"/>
                <w:bCs/>
                <w:sz w:val="20"/>
                <w:szCs w:val="20"/>
              </w:rPr>
              <w:t xml:space="preserve">xposed either to traffic (vehicles using the highway for purposes of travel) or to work vehicles and construction equipment within the </w:t>
            </w:r>
            <w:r w:rsidR="00FA4A57">
              <w:rPr>
                <w:rFonts w:ascii="Arial" w:hAnsi="Arial" w:cs="Arial"/>
                <w:bCs/>
                <w:sz w:val="20"/>
                <w:szCs w:val="20"/>
              </w:rPr>
              <w:t xml:space="preserve">temporary traffic control </w:t>
            </w:r>
            <w:r w:rsidRPr="00704FD0">
              <w:rPr>
                <w:rFonts w:ascii="Arial" w:hAnsi="Arial" w:cs="Arial"/>
                <w:bCs/>
                <w:sz w:val="20"/>
                <w:szCs w:val="20"/>
              </w:rPr>
              <w:t>zone shall wear high-visibility safety apparel that meets the Performance Class 2 or 3 requirements of the ANSI/ISEA 107–2015 publication entitled “American National Standard for High-Visibility Safety Apparel and Headwear”</w:t>
            </w:r>
            <w:r w:rsidRPr="00704FD0">
              <w:rPr>
                <w:rFonts w:ascii="Arial" w:hAnsi="Arial" w:cs="Arial"/>
                <w:sz w:val="20"/>
                <w:szCs w:val="20"/>
              </w:rPr>
              <w:t xml:space="preserve"> </w:t>
            </w:r>
            <w:r w:rsidRPr="00704FD0">
              <w:rPr>
                <w:rFonts w:ascii="Arial" w:hAnsi="Arial" w:cs="Arial"/>
                <w:bCs/>
                <w:sz w:val="20"/>
                <w:szCs w:val="20"/>
              </w:rPr>
              <w:t>(see Section 1A.05), or equivalent revisions, except as provided in Paragraph 4. A person designated by</w:t>
            </w:r>
            <w:r w:rsidRPr="00704FD0">
              <w:rPr>
                <w:rFonts w:ascii="Arial" w:hAnsi="Arial" w:cs="Arial"/>
                <w:sz w:val="20"/>
                <w:szCs w:val="20"/>
              </w:rPr>
              <w:t xml:space="preserve"> </w:t>
            </w:r>
            <w:r w:rsidRPr="00704FD0">
              <w:rPr>
                <w:rFonts w:ascii="Arial" w:hAnsi="Arial" w:cs="Arial"/>
                <w:bCs/>
                <w:sz w:val="20"/>
                <w:szCs w:val="20"/>
              </w:rPr>
              <w:t>the employer to be responsible for worker safety shall make the selection of the appropriate class of</w:t>
            </w:r>
            <w:r w:rsidRPr="00704FD0">
              <w:rPr>
                <w:rFonts w:ascii="Arial" w:hAnsi="Arial" w:cs="Arial"/>
                <w:sz w:val="20"/>
                <w:szCs w:val="20"/>
              </w:rPr>
              <w:t xml:space="preserve"> </w:t>
            </w:r>
            <w:r w:rsidRPr="00704FD0">
              <w:rPr>
                <w:rFonts w:ascii="Arial" w:hAnsi="Arial" w:cs="Arial"/>
                <w:bCs/>
                <w:sz w:val="20"/>
                <w:szCs w:val="20"/>
              </w:rPr>
              <w:t>garment.</w:t>
            </w:r>
            <w:r w:rsidR="00704FD0">
              <w:rPr>
                <w:rFonts w:ascii="Arial" w:hAnsi="Arial" w:cs="Arial"/>
                <w:bCs/>
                <w:sz w:val="20"/>
                <w:szCs w:val="20"/>
              </w:rPr>
              <w:t xml:space="preserve"> </w:t>
            </w:r>
            <w:r w:rsidR="00704FD0" w:rsidRPr="00240F23">
              <w:rPr>
                <w:rFonts w:ascii="Arial" w:hAnsi="Arial" w:cs="Arial"/>
                <w:sz w:val="20"/>
                <w:szCs w:val="20"/>
              </w:rPr>
              <w:t>NJDOT support</w:t>
            </w:r>
            <w:r w:rsidR="00704FD0">
              <w:rPr>
                <w:rFonts w:ascii="Arial" w:hAnsi="Arial" w:cs="Arial"/>
                <w:sz w:val="20"/>
                <w:szCs w:val="20"/>
              </w:rPr>
              <w:t>s</w:t>
            </w:r>
            <w:r w:rsidR="00704FD0" w:rsidRPr="00240F23">
              <w:rPr>
                <w:rFonts w:ascii="Arial" w:hAnsi="Arial" w:cs="Arial"/>
                <w:sz w:val="20"/>
                <w:szCs w:val="20"/>
              </w:rPr>
              <w:t xml:space="preserve"> the specific inclusion of “emergency responders” to the Standard, Guidance, and Options items of Section 6C.05 and aggressively support</w:t>
            </w:r>
            <w:r w:rsidR="00704FD0">
              <w:rPr>
                <w:rFonts w:ascii="Arial" w:hAnsi="Arial" w:cs="Arial"/>
                <w:sz w:val="20"/>
                <w:szCs w:val="20"/>
              </w:rPr>
              <w:t>s</w:t>
            </w:r>
            <w:r w:rsidR="00704FD0" w:rsidRPr="00240F23">
              <w:rPr>
                <w:rFonts w:ascii="Arial" w:hAnsi="Arial" w:cs="Arial"/>
                <w:sz w:val="20"/>
                <w:szCs w:val="20"/>
              </w:rPr>
              <w:t xml:space="preserve"> and promote</w:t>
            </w:r>
            <w:r w:rsidR="00704FD0">
              <w:rPr>
                <w:rFonts w:ascii="Arial" w:hAnsi="Arial" w:cs="Arial"/>
                <w:sz w:val="20"/>
                <w:szCs w:val="20"/>
              </w:rPr>
              <w:t>s</w:t>
            </w:r>
            <w:r w:rsidR="00704FD0" w:rsidRPr="00240F23">
              <w:rPr>
                <w:rFonts w:ascii="Arial" w:hAnsi="Arial" w:cs="Arial"/>
                <w:sz w:val="20"/>
                <w:szCs w:val="20"/>
              </w:rPr>
              <w:t xml:space="preserve"> the consistent use of high-visibility safety gear by all first responders in TTC zones.</w:t>
            </w:r>
            <w:r w:rsidR="00704FD0">
              <w:rPr>
                <w:rFonts w:ascii="Arial" w:hAnsi="Arial" w:cs="Arial"/>
                <w:sz w:val="20"/>
                <w:szCs w:val="20"/>
              </w:rPr>
              <w:t>+</w:t>
            </w:r>
          </w:p>
          <w:p w14:paraId="643DB833" w14:textId="77777777" w:rsidR="00E1700C" w:rsidRPr="00E1700C" w:rsidRDefault="00E1700C" w:rsidP="00E1700C">
            <w:pPr>
              <w:rPr>
                <w:rFonts w:ascii="Arial" w:hAnsi="Arial" w:cs="Arial"/>
                <w:sz w:val="20"/>
                <w:szCs w:val="20"/>
              </w:rPr>
            </w:pPr>
          </w:p>
        </w:tc>
      </w:tr>
      <w:tr w:rsidR="00704FD0" w14:paraId="033D2277" w14:textId="77777777" w:rsidTr="00C92A11">
        <w:trPr>
          <w:trHeight w:val="1034"/>
        </w:trPr>
        <w:tc>
          <w:tcPr>
            <w:tcW w:w="1170" w:type="dxa"/>
          </w:tcPr>
          <w:p w14:paraId="38C51552" w14:textId="3BC1CA43" w:rsidR="00704FD0" w:rsidRDefault="0022210B" w:rsidP="00E1700C">
            <w:pPr>
              <w:rPr>
                <w:rFonts w:ascii="Arial" w:hAnsi="Arial" w:cs="Arial"/>
                <w:sz w:val="20"/>
                <w:szCs w:val="20"/>
              </w:rPr>
            </w:pPr>
            <w:r>
              <w:rPr>
                <w:rFonts w:ascii="Arial" w:hAnsi="Arial" w:cs="Arial"/>
                <w:sz w:val="20"/>
                <w:szCs w:val="20"/>
              </w:rPr>
              <w:t>2J</w:t>
            </w:r>
          </w:p>
        </w:tc>
        <w:tc>
          <w:tcPr>
            <w:tcW w:w="1167" w:type="dxa"/>
          </w:tcPr>
          <w:p w14:paraId="7BCFB138" w14:textId="1E47176A" w:rsidR="00704FD0" w:rsidRDefault="0022210B" w:rsidP="00A67B2B">
            <w:pPr>
              <w:jc w:val="center"/>
              <w:rPr>
                <w:rFonts w:ascii="Arial" w:hAnsi="Arial" w:cs="Arial"/>
                <w:sz w:val="20"/>
                <w:szCs w:val="20"/>
              </w:rPr>
            </w:pPr>
            <w:r>
              <w:rPr>
                <w:rFonts w:ascii="Arial" w:hAnsi="Arial" w:cs="Arial"/>
                <w:sz w:val="20"/>
                <w:szCs w:val="20"/>
              </w:rPr>
              <w:t>N/A</w:t>
            </w:r>
          </w:p>
        </w:tc>
        <w:tc>
          <w:tcPr>
            <w:tcW w:w="1183" w:type="dxa"/>
          </w:tcPr>
          <w:p w14:paraId="69CEA7A7" w14:textId="744F7F81" w:rsidR="00704FD0" w:rsidRDefault="0022210B" w:rsidP="00A67B2B">
            <w:pPr>
              <w:jc w:val="center"/>
              <w:rPr>
                <w:rFonts w:ascii="Arial" w:hAnsi="Arial" w:cs="Arial"/>
                <w:sz w:val="20"/>
                <w:szCs w:val="20"/>
              </w:rPr>
            </w:pPr>
            <w:r>
              <w:rPr>
                <w:rFonts w:ascii="Arial" w:hAnsi="Arial" w:cs="Arial"/>
                <w:sz w:val="20"/>
                <w:szCs w:val="20"/>
              </w:rPr>
              <w:t>N/A</w:t>
            </w:r>
          </w:p>
        </w:tc>
        <w:tc>
          <w:tcPr>
            <w:tcW w:w="1017" w:type="dxa"/>
          </w:tcPr>
          <w:p w14:paraId="3802AAAE" w14:textId="29BC744F" w:rsidR="00704FD0" w:rsidRDefault="0022210B" w:rsidP="00A67B2B">
            <w:pPr>
              <w:jc w:val="center"/>
              <w:rPr>
                <w:rFonts w:ascii="Arial" w:hAnsi="Arial" w:cs="Arial"/>
                <w:sz w:val="20"/>
                <w:szCs w:val="20"/>
              </w:rPr>
            </w:pPr>
            <w:r>
              <w:rPr>
                <w:rFonts w:ascii="Arial" w:hAnsi="Arial" w:cs="Arial"/>
                <w:sz w:val="20"/>
                <w:szCs w:val="20"/>
              </w:rPr>
              <w:t>N/A</w:t>
            </w:r>
          </w:p>
        </w:tc>
        <w:tc>
          <w:tcPr>
            <w:tcW w:w="6263" w:type="dxa"/>
          </w:tcPr>
          <w:p w14:paraId="6DBE2959" w14:textId="77777777" w:rsidR="00704FD0" w:rsidRPr="0022210B" w:rsidRDefault="0022210B" w:rsidP="0022210B">
            <w:pPr>
              <w:autoSpaceDE w:val="0"/>
              <w:autoSpaceDN w:val="0"/>
              <w:adjustRightInd w:val="0"/>
              <w:rPr>
                <w:rFonts w:ascii="Arial" w:hAnsi="Arial" w:cs="Arial"/>
                <w:sz w:val="20"/>
                <w:szCs w:val="20"/>
                <w:shd w:val="clear" w:color="auto" w:fill="FFFFFF"/>
              </w:rPr>
            </w:pPr>
            <w:r w:rsidRPr="0022210B">
              <w:rPr>
                <w:rFonts w:ascii="Arial" w:hAnsi="Arial" w:cs="Arial"/>
                <w:sz w:val="20"/>
                <w:szCs w:val="20"/>
                <w:bdr w:val="none" w:sz="0" w:space="0" w:color="auto" w:frame="1"/>
              </w:rPr>
              <w:t>Currently, States are prohibited from allowing businesses that provide EV charging, but not gasoline, to qualify for placement on Specific Service signs in most cases.  NJDOT believes that this could lead to driver confusion regarding fuel choices that could potentially lead to motorist safety issues.  NJDOT suggests that the regulations a</w:t>
            </w:r>
            <w:r w:rsidRPr="0022210B">
              <w:rPr>
                <w:rFonts w:ascii="Arial" w:hAnsi="Arial" w:cs="Arial"/>
                <w:sz w:val="20"/>
                <w:szCs w:val="20"/>
                <w:shd w:val="clear" w:color="auto" w:fill="FFFFFF"/>
              </w:rPr>
              <w:t>llow States to modify the “Gas” category of Specific Service signs to a new “Fuel” category.</w:t>
            </w:r>
          </w:p>
          <w:p w14:paraId="54CEA2CC" w14:textId="77777777" w:rsidR="0022210B" w:rsidRPr="0022210B" w:rsidRDefault="0022210B" w:rsidP="0022210B">
            <w:pPr>
              <w:autoSpaceDE w:val="0"/>
              <w:autoSpaceDN w:val="0"/>
              <w:adjustRightInd w:val="0"/>
              <w:rPr>
                <w:rFonts w:ascii="Arial" w:hAnsi="Arial" w:cs="Arial"/>
                <w:sz w:val="20"/>
                <w:szCs w:val="20"/>
                <w:shd w:val="clear" w:color="auto" w:fill="FFFFFF"/>
              </w:rPr>
            </w:pPr>
          </w:p>
          <w:p w14:paraId="400D8C56" w14:textId="69E114AB" w:rsidR="0022210B" w:rsidRPr="0022210B" w:rsidRDefault="0022210B" w:rsidP="0022210B">
            <w:pPr>
              <w:pStyle w:val="xmsolistparagraph"/>
              <w:shd w:val="clear" w:color="auto" w:fill="FFFFFF"/>
              <w:spacing w:before="0" w:beforeAutospacing="0" w:after="0" w:afterAutospacing="0"/>
              <w:rPr>
                <w:rFonts w:ascii="Arial" w:hAnsi="Arial" w:cs="Arial"/>
                <w:sz w:val="20"/>
                <w:szCs w:val="20"/>
              </w:rPr>
            </w:pPr>
            <w:r w:rsidRPr="0022210B">
              <w:rPr>
                <w:rFonts w:ascii="Arial" w:hAnsi="Arial" w:cs="Arial"/>
                <w:sz w:val="20"/>
                <w:szCs w:val="20"/>
                <w:bdr w:val="none" w:sz="0" w:space="0" w:color="auto" w:frame="1"/>
              </w:rPr>
              <w:t xml:space="preserve">Gas stations that offer EV charging can provide a supplemental message in words indicating that on their signs, but other businesses cannot.  </w:t>
            </w:r>
            <w:r>
              <w:rPr>
                <w:rFonts w:ascii="Arial" w:hAnsi="Arial" w:cs="Arial"/>
                <w:sz w:val="20"/>
                <w:szCs w:val="20"/>
                <w:bdr w:val="none" w:sz="0" w:space="0" w:color="auto" w:frame="1"/>
              </w:rPr>
              <w:t xml:space="preserve">NJDOT </w:t>
            </w:r>
            <w:r w:rsidRPr="0022210B">
              <w:rPr>
                <w:rFonts w:ascii="Arial" w:hAnsi="Arial" w:cs="Arial"/>
                <w:sz w:val="20"/>
                <w:szCs w:val="20"/>
                <w:bdr w:val="none" w:sz="0" w:space="0" w:color="auto" w:frame="1"/>
              </w:rPr>
              <w:t>would also like to suggest that u</w:t>
            </w:r>
            <w:r w:rsidRPr="0022210B">
              <w:rPr>
                <w:rFonts w:ascii="Arial" w:hAnsi="Arial" w:cs="Arial"/>
                <w:sz w:val="20"/>
                <w:szCs w:val="20"/>
                <w:shd w:val="clear" w:color="auto" w:fill="FFFFFF"/>
              </w:rPr>
              <w:t>nder this new “Fuel” category, states should be permitted to allow businesses that offer gasoline or EV charging or other alternate fuels to provide their logo and/or business name in addition to supplemental wording listing the refueling options that they offer.</w:t>
            </w:r>
          </w:p>
          <w:p w14:paraId="595A9619" w14:textId="77AD7782" w:rsidR="0022210B" w:rsidRPr="0022210B" w:rsidRDefault="0022210B" w:rsidP="0022210B">
            <w:pPr>
              <w:autoSpaceDE w:val="0"/>
              <w:autoSpaceDN w:val="0"/>
              <w:adjustRightInd w:val="0"/>
              <w:rPr>
                <w:rFonts w:ascii="Arial" w:hAnsi="Arial" w:cs="Arial"/>
                <w:bCs/>
                <w:sz w:val="20"/>
                <w:szCs w:val="20"/>
              </w:rPr>
            </w:pPr>
          </w:p>
        </w:tc>
      </w:tr>
      <w:tr w:rsidR="00BA3DD6" w14:paraId="42ED8C87" w14:textId="77777777" w:rsidTr="00C92A11">
        <w:trPr>
          <w:trHeight w:val="1034"/>
        </w:trPr>
        <w:tc>
          <w:tcPr>
            <w:tcW w:w="1170" w:type="dxa"/>
          </w:tcPr>
          <w:p w14:paraId="5502A29D" w14:textId="7B7C2097" w:rsidR="00BA3DD6" w:rsidRDefault="007F41EE" w:rsidP="00E1700C">
            <w:pPr>
              <w:rPr>
                <w:rFonts w:ascii="Arial" w:hAnsi="Arial" w:cs="Arial"/>
                <w:sz w:val="20"/>
                <w:szCs w:val="20"/>
              </w:rPr>
            </w:pPr>
            <w:r>
              <w:rPr>
                <w:rFonts w:ascii="Arial" w:hAnsi="Arial" w:cs="Arial"/>
                <w:sz w:val="20"/>
                <w:szCs w:val="20"/>
              </w:rPr>
              <w:t>2C</w:t>
            </w:r>
          </w:p>
        </w:tc>
        <w:tc>
          <w:tcPr>
            <w:tcW w:w="1167" w:type="dxa"/>
          </w:tcPr>
          <w:p w14:paraId="6125497C" w14:textId="3016082C" w:rsidR="00BA3DD6" w:rsidRDefault="007F41EE" w:rsidP="00A67B2B">
            <w:pPr>
              <w:jc w:val="center"/>
              <w:rPr>
                <w:rFonts w:ascii="Arial" w:hAnsi="Arial" w:cs="Arial"/>
                <w:sz w:val="20"/>
                <w:szCs w:val="20"/>
              </w:rPr>
            </w:pPr>
            <w:r>
              <w:rPr>
                <w:rFonts w:ascii="Arial" w:hAnsi="Arial" w:cs="Arial"/>
                <w:sz w:val="20"/>
                <w:szCs w:val="20"/>
              </w:rPr>
              <w:t>N/A</w:t>
            </w:r>
          </w:p>
        </w:tc>
        <w:tc>
          <w:tcPr>
            <w:tcW w:w="1183" w:type="dxa"/>
          </w:tcPr>
          <w:p w14:paraId="6E80FBD3" w14:textId="1A15C031" w:rsidR="00BA3DD6" w:rsidRDefault="007F41EE" w:rsidP="00A67B2B">
            <w:pPr>
              <w:jc w:val="center"/>
              <w:rPr>
                <w:rFonts w:ascii="Arial" w:hAnsi="Arial" w:cs="Arial"/>
                <w:sz w:val="20"/>
                <w:szCs w:val="20"/>
              </w:rPr>
            </w:pPr>
            <w:r>
              <w:rPr>
                <w:rFonts w:ascii="Arial" w:hAnsi="Arial" w:cs="Arial"/>
                <w:sz w:val="20"/>
                <w:szCs w:val="20"/>
              </w:rPr>
              <w:t>N/A</w:t>
            </w:r>
          </w:p>
        </w:tc>
        <w:tc>
          <w:tcPr>
            <w:tcW w:w="1017" w:type="dxa"/>
          </w:tcPr>
          <w:p w14:paraId="6549CF6D" w14:textId="792EFC3D" w:rsidR="00BA3DD6" w:rsidRDefault="007F41EE" w:rsidP="00A67B2B">
            <w:pPr>
              <w:jc w:val="center"/>
              <w:rPr>
                <w:rFonts w:ascii="Arial" w:hAnsi="Arial" w:cs="Arial"/>
                <w:sz w:val="20"/>
                <w:szCs w:val="20"/>
              </w:rPr>
            </w:pPr>
            <w:r>
              <w:rPr>
                <w:rFonts w:ascii="Arial" w:hAnsi="Arial" w:cs="Arial"/>
                <w:sz w:val="20"/>
                <w:szCs w:val="20"/>
              </w:rPr>
              <w:t>N/A</w:t>
            </w:r>
            <w:bookmarkStart w:id="0" w:name="_GoBack"/>
            <w:bookmarkEnd w:id="0"/>
          </w:p>
        </w:tc>
        <w:tc>
          <w:tcPr>
            <w:tcW w:w="6263" w:type="dxa"/>
          </w:tcPr>
          <w:p w14:paraId="2A656E27" w14:textId="77777777" w:rsidR="00126A90" w:rsidRDefault="00126A90" w:rsidP="00126A90"/>
          <w:p w14:paraId="103F865E" w14:textId="77777777" w:rsidR="00126A90" w:rsidRDefault="00126A90" w:rsidP="00126A90">
            <w:pPr>
              <w:pStyle w:val="xmsonormal"/>
            </w:pPr>
            <w:r>
              <w:rPr>
                <w:noProof/>
              </w:rPr>
              <w:drawing>
                <wp:inline distT="0" distB="0" distL="0" distR="0" wp14:anchorId="5FAC9DDD" wp14:editId="7C310B16">
                  <wp:extent cx="4049486" cy="1778823"/>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__x0000_i1031"/>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4093120" cy="1797990"/>
                          </a:xfrm>
                          <a:prstGeom prst="rect">
                            <a:avLst/>
                          </a:prstGeom>
                          <a:noFill/>
                          <a:ln>
                            <a:noFill/>
                          </a:ln>
                        </pic:spPr>
                      </pic:pic>
                    </a:graphicData>
                  </a:graphic>
                </wp:inline>
              </w:drawing>
            </w:r>
          </w:p>
          <w:p w14:paraId="70128077" w14:textId="77777777" w:rsidR="00126A90" w:rsidRDefault="00126A90" w:rsidP="00126A90">
            <w:pPr>
              <w:pStyle w:val="xmsonormal"/>
            </w:pPr>
            <w:r>
              <w:t xml:space="preserve">NJDOT recommends the addition of a “Grooved Pavement Ahead” sign to give drivers advanced warning about grooved pavement and a “Grooved Pavement Ahead” sign to alert drivers when they reach the grooved pavement.  </w:t>
            </w:r>
          </w:p>
          <w:p w14:paraId="10D7378A" w14:textId="77777777" w:rsidR="00126A90" w:rsidRDefault="00126A90" w:rsidP="00126A90">
            <w:pPr>
              <w:pStyle w:val="xmsonormal"/>
            </w:pPr>
          </w:p>
          <w:p w14:paraId="2B7A6899" w14:textId="77777777" w:rsidR="00126A90" w:rsidRDefault="00126A90" w:rsidP="00126A90">
            <w:pPr>
              <w:pStyle w:val="xmsonormal"/>
            </w:pPr>
            <w:r>
              <w:t xml:space="preserve">NJDOT recommends the expansion of the use of the pictogram for uneven pavement.  Currently, the MUTCD states that it can only be used where the shoulder is a different height from the rest of the pavement. This pictogram would be useful when re-paving roads, for mill and pave projects, for Pavement Preservation Projects, and for surprise occurrences.  Drivers readily understand the pictogram.  It would be used primarily in road construction work zones.  It means the longitudinal line of uneven pavement elevations could be anywhere.  The differential pavement height could be between lanes or in the center of a lane.  </w:t>
            </w:r>
          </w:p>
          <w:p w14:paraId="120B89A8" w14:textId="77777777" w:rsidR="00126A90" w:rsidRDefault="00126A90" w:rsidP="00126A90">
            <w:pPr>
              <w:pStyle w:val="xmsonormal"/>
            </w:pPr>
            <w:r>
              <w:t> </w:t>
            </w:r>
          </w:p>
          <w:p w14:paraId="5BA77983" w14:textId="77777777" w:rsidR="00BA3DD6" w:rsidRPr="0022210B" w:rsidRDefault="00BA3DD6" w:rsidP="00126A90">
            <w:pPr>
              <w:rPr>
                <w:rFonts w:ascii="Arial" w:hAnsi="Arial" w:cs="Arial"/>
                <w:sz w:val="20"/>
                <w:szCs w:val="20"/>
                <w:bdr w:val="none" w:sz="0" w:space="0" w:color="auto" w:frame="1"/>
              </w:rPr>
            </w:pPr>
          </w:p>
        </w:tc>
      </w:tr>
    </w:tbl>
    <w:p w14:paraId="19BE9553" w14:textId="77777777" w:rsidR="00E14F60" w:rsidRDefault="00E14F60" w:rsidP="003116C8">
      <w:pPr>
        <w:spacing w:before="360" w:after="120" w:line="240" w:lineRule="auto"/>
        <w:ind w:left="-450"/>
      </w:pPr>
    </w:p>
    <w:sectPr w:rsidR="00E14F60" w:rsidSect="00A67B2B">
      <w:headerReference w:type="default" r:id="rId15"/>
      <w:footerReference w:type="default" r:id="rId16"/>
      <w:pgSz w:w="12240" w:h="15840"/>
      <w:pgMar w:top="1260" w:right="720" w:bottom="810" w:left="1440" w:header="540" w:footer="4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701E81" w14:textId="77777777" w:rsidR="0097406E" w:rsidRDefault="0097406E" w:rsidP="00CA28CD">
      <w:pPr>
        <w:spacing w:after="0" w:line="240" w:lineRule="auto"/>
      </w:pPr>
      <w:r>
        <w:separator/>
      </w:r>
    </w:p>
  </w:endnote>
  <w:endnote w:type="continuationSeparator" w:id="0">
    <w:p w14:paraId="599DDD49" w14:textId="77777777" w:rsidR="0097406E" w:rsidRDefault="0097406E" w:rsidP="00CA2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1985C4" w14:textId="7029CEE9" w:rsidR="00520AAA" w:rsidRPr="00A67B2B" w:rsidRDefault="003774EE" w:rsidP="00A67B2B">
    <w:pPr>
      <w:pStyle w:val="Footer"/>
      <w:ind w:left="-450" w:right="180"/>
      <w:rPr>
        <w:rFonts w:ascii="Arial" w:hAnsi="Arial" w:cs="Arial"/>
        <w:sz w:val="21"/>
        <w:szCs w:val="21"/>
      </w:rPr>
    </w:pPr>
    <w:r w:rsidRPr="00A67B2B">
      <w:rPr>
        <w:rFonts w:ascii="Arial" w:hAnsi="Arial" w:cs="Arial"/>
        <w:sz w:val="21"/>
        <w:szCs w:val="21"/>
      </w:rPr>
      <w:t xml:space="preserve">Page </w:t>
    </w:r>
    <w:r w:rsidRPr="00A67B2B">
      <w:rPr>
        <w:rFonts w:ascii="Arial" w:hAnsi="Arial" w:cs="Arial"/>
        <w:sz w:val="21"/>
        <w:szCs w:val="21"/>
      </w:rPr>
      <w:fldChar w:fldCharType="begin"/>
    </w:r>
    <w:r w:rsidRPr="00A67B2B">
      <w:rPr>
        <w:rFonts w:ascii="Arial" w:hAnsi="Arial" w:cs="Arial"/>
        <w:sz w:val="21"/>
        <w:szCs w:val="21"/>
      </w:rPr>
      <w:instrText xml:space="preserve"> PAGE   \* MERGEFORMAT </w:instrText>
    </w:r>
    <w:r w:rsidRPr="00A67B2B">
      <w:rPr>
        <w:rFonts w:ascii="Arial" w:hAnsi="Arial" w:cs="Arial"/>
        <w:sz w:val="21"/>
        <w:szCs w:val="21"/>
      </w:rPr>
      <w:fldChar w:fldCharType="separate"/>
    </w:r>
    <w:r w:rsidR="0097406E">
      <w:rPr>
        <w:rFonts w:ascii="Arial" w:hAnsi="Arial" w:cs="Arial"/>
        <w:noProof/>
        <w:sz w:val="21"/>
        <w:szCs w:val="21"/>
      </w:rPr>
      <w:t>1</w:t>
    </w:r>
    <w:r w:rsidRPr="00A67B2B">
      <w:rPr>
        <w:rFonts w:ascii="Arial" w:hAnsi="Arial" w:cs="Arial"/>
        <w:sz w:val="21"/>
        <w:szCs w:val="21"/>
      </w:rPr>
      <w:fldChar w:fldCharType="end"/>
    </w:r>
    <w:r w:rsidRPr="00A67B2B">
      <w:rPr>
        <w:rFonts w:ascii="Arial" w:hAnsi="Arial" w:cs="Arial"/>
        <w:sz w:val="21"/>
        <w:szCs w:val="21"/>
      </w:rPr>
      <w:t xml:space="preserve"> of </w:t>
    </w:r>
    <w:r w:rsidRPr="00A67B2B">
      <w:rPr>
        <w:rFonts w:ascii="Arial" w:hAnsi="Arial" w:cs="Arial"/>
        <w:sz w:val="21"/>
        <w:szCs w:val="21"/>
      </w:rPr>
      <w:fldChar w:fldCharType="begin"/>
    </w:r>
    <w:r w:rsidRPr="00A67B2B">
      <w:rPr>
        <w:rFonts w:ascii="Arial" w:hAnsi="Arial" w:cs="Arial"/>
        <w:sz w:val="21"/>
        <w:szCs w:val="21"/>
      </w:rPr>
      <w:instrText xml:space="preserve"> NUMPAGES   \* MERGEFORMAT </w:instrText>
    </w:r>
    <w:r w:rsidRPr="00A67B2B">
      <w:rPr>
        <w:rFonts w:ascii="Arial" w:hAnsi="Arial" w:cs="Arial"/>
        <w:sz w:val="21"/>
        <w:szCs w:val="21"/>
      </w:rPr>
      <w:fldChar w:fldCharType="separate"/>
    </w:r>
    <w:r w:rsidR="0097406E">
      <w:rPr>
        <w:rFonts w:ascii="Arial" w:hAnsi="Arial" w:cs="Arial"/>
        <w:noProof/>
        <w:sz w:val="21"/>
        <w:szCs w:val="21"/>
      </w:rPr>
      <w:t>1</w:t>
    </w:r>
    <w:r w:rsidRPr="00A67B2B">
      <w:rPr>
        <w:rFonts w:ascii="Arial" w:hAnsi="Arial" w:cs="Arial"/>
        <w:sz w:val="21"/>
        <w:szCs w:val="21"/>
      </w:rPr>
      <w:fldChar w:fldCharType="end"/>
    </w:r>
    <w:r w:rsidRPr="00A67B2B">
      <w:rPr>
        <w:rFonts w:ascii="Arial" w:hAnsi="Arial" w:cs="Arial"/>
        <w:sz w:val="21"/>
        <w:szCs w:val="21"/>
      </w:rPr>
      <w:t xml:space="preserve"> </w:t>
    </w:r>
    <w:r w:rsidRPr="00A67B2B">
      <w:rPr>
        <w:rFonts w:ascii="Arial" w:hAnsi="Arial" w:cs="Arial"/>
        <w:sz w:val="21"/>
        <w:szCs w:val="21"/>
      </w:rPr>
      <w:ptab w:relativeTo="margin" w:alignment="center" w:leader="none"/>
    </w:r>
    <w:r w:rsidRPr="00A67B2B">
      <w:rPr>
        <w:rFonts w:ascii="Arial" w:hAnsi="Arial" w:cs="Arial"/>
        <w:sz w:val="21"/>
        <w:szCs w:val="21"/>
      </w:rPr>
      <w:ptab w:relativeTo="margin" w:alignment="right" w:leader="none"/>
    </w:r>
    <w:r w:rsidR="00AE1909">
      <w:rPr>
        <w:rFonts w:ascii="Arial" w:hAnsi="Arial" w:cs="Arial"/>
        <w:sz w:val="21"/>
        <w:szCs w:val="21"/>
      </w:rPr>
      <w:t>New Jersey Department of Transportation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22F0D3" w14:textId="77777777" w:rsidR="0097406E" w:rsidRDefault="0097406E" w:rsidP="00CA28CD">
      <w:pPr>
        <w:spacing w:after="0" w:line="240" w:lineRule="auto"/>
      </w:pPr>
      <w:r>
        <w:separator/>
      </w:r>
    </w:p>
  </w:footnote>
  <w:footnote w:type="continuationSeparator" w:id="0">
    <w:p w14:paraId="06A21EE2" w14:textId="77777777" w:rsidR="0097406E" w:rsidRDefault="0097406E" w:rsidP="00CA28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25B180" w14:textId="77777777" w:rsidR="00F1362C" w:rsidRPr="00A67B2B" w:rsidRDefault="00CA28CD" w:rsidP="00A67B2B">
    <w:pPr>
      <w:spacing w:after="0"/>
      <w:ind w:left="-630"/>
      <w:jc w:val="center"/>
      <w:rPr>
        <w:rFonts w:ascii="Arial" w:hAnsi="Arial" w:cs="Arial"/>
        <w:b/>
        <w:bCs/>
        <w:sz w:val="24"/>
        <w:szCs w:val="24"/>
      </w:rPr>
    </w:pPr>
    <w:r w:rsidRPr="00A67B2B">
      <w:rPr>
        <w:rFonts w:ascii="Arial" w:hAnsi="Arial" w:cs="Arial"/>
        <w:b/>
        <w:bCs/>
        <w:sz w:val="24"/>
        <w:szCs w:val="24"/>
      </w:rPr>
      <w:t xml:space="preserve">Comments on Docket No. FHWA-2020-0001 National Standards for Traffic Control Devices; </w:t>
    </w:r>
  </w:p>
  <w:p w14:paraId="1C173F03" w14:textId="77777777" w:rsidR="00CA28CD" w:rsidRPr="00A67B2B" w:rsidRDefault="00CA28CD" w:rsidP="00A67B2B">
    <w:pPr>
      <w:ind w:left="-450"/>
      <w:jc w:val="center"/>
      <w:rPr>
        <w:rFonts w:ascii="Arial" w:hAnsi="Arial" w:cs="Arial"/>
        <w:sz w:val="24"/>
        <w:szCs w:val="24"/>
      </w:rPr>
    </w:pPr>
    <w:r w:rsidRPr="00A67B2B">
      <w:rPr>
        <w:rFonts w:ascii="Arial" w:hAnsi="Arial" w:cs="Arial"/>
        <w:b/>
        <w:bCs/>
        <w:sz w:val="24"/>
        <w:szCs w:val="24"/>
      </w:rPr>
      <w:t xml:space="preserve">the </w:t>
    </w:r>
    <w:r w:rsidRPr="00A67B2B">
      <w:rPr>
        <w:rFonts w:ascii="Arial" w:hAnsi="Arial" w:cs="Arial"/>
        <w:b/>
        <w:bCs/>
        <w:i/>
        <w:iCs/>
        <w:sz w:val="24"/>
        <w:szCs w:val="24"/>
      </w:rPr>
      <w:t>Manual on Uniform Traffic Control Devices for Streets and Highways</w:t>
    </w:r>
    <w:r w:rsidRPr="00A67B2B">
      <w:rPr>
        <w:rFonts w:ascii="Arial" w:hAnsi="Arial" w:cs="Arial"/>
        <w:b/>
        <w:bCs/>
        <w:sz w:val="24"/>
        <w:szCs w:val="24"/>
      </w:rPr>
      <w:t>; Revision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BF166B"/>
    <w:multiLevelType w:val="multilevel"/>
    <w:tmpl w:val="980A5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E61110"/>
    <w:multiLevelType w:val="multilevel"/>
    <w:tmpl w:val="AB8A6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E11B93"/>
    <w:multiLevelType w:val="hybridMultilevel"/>
    <w:tmpl w:val="D076E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D0251D"/>
    <w:multiLevelType w:val="hybridMultilevel"/>
    <w:tmpl w:val="352A0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0469B7"/>
    <w:multiLevelType w:val="hybridMultilevel"/>
    <w:tmpl w:val="C3CE3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E45728"/>
    <w:multiLevelType w:val="hybridMultilevel"/>
    <w:tmpl w:val="C2B06ABC"/>
    <w:lvl w:ilvl="0" w:tplc="90B4B740">
      <w:start w:val="37"/>
      <w:numFmt w:val="bullet"/>
      <w:lvlText w:val="-"/>
      <w:lvlJc w:val="left"/>
      <w:pPr>
        <w:ind w:left="720" w:hanging="360"/>
      </w:pPr>
      <w:rPr>
        <w:rFonts w:ascii="Helvetica" w:eastAsiaTheme="minorHAnsi" w:hAnsi="Helvetica"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B64"/>
    <w:rsid w:val="00006579"/>
    <w:rsid w:val="000376FC"/>
    <w:rsid w:val="00057668"/>
    <w:rsid w:val="00064834"/>
    <w:rsid w:val="000B28D3"/>
    <w:rsid w:val="000C12B2"/>
    <w:rsid w:val="000D7F45"/>
    <w:rsid w:val="000E5FF2"/>
    <w:rsid w:val="000F6CA9"/>
    <w:rsid w:val="00110428"/>
    <w:rsid w:val="001132C0"/>
    <w:rsid w:val="001177E6"/>
    <w:rsid w:val="00123640"/>
    <w:rsid w:val="00126A90"/>
    <w:rsid w:val="001336D4"/>
    <w:rsid w:val="00142413"/>
    <w:rsid w:val="001467C2"/>
    <w:rsid w:val="00160C94"/>
    <w:rsid w:val="00167C41"/>
    <w:rsid w:val="00185458"/>
    <w:rsid w:val="00187D5A"/>
    <w:rsid w:val="00192171"/>
    <w:rsid w:val="001B1B30"/>
    <w:rsid w:val="001B5156"/>
    <w:rsid w:val="001C3E4C"/>
    <w:rsid w:val="001C7E04"/>
    <w:rsid w:val="001E1EBD"/>
    <w:rsid w:val="0020253F"/>
    <w:rsid w:val="002063CD"/>
    <w:rsid w:val="0022210B"/>
    <w:rsid w:val="00225108"/>
    <w:rsid w:val="00242B8E"/>
    <w:rsid w:val="00260856"/>
    <w:rsid w:val="002715A2"/>
    <w:rsid w:val="002715A7"/>
    <w:rsid w:val="00271CB7"/>
    <w:rsid w:val="00277785"/>
    <w:rsid w:val="00286AE2"/>
    <w:rsid w:val="00295CAE"/>
    <w:rsid w:val="002A11FF"/>
    <w:rsid w:val="002A1D98"/>
    <w:rsid w:val="002A50E5"/>
    <w:rsid w:val="002A60CF"/>
    <w:rsid w:val="002C4CE5"/>
    <w:rsid w:val="002E2E5A"/>
    <w:rsid w:val="002F61A0"/>
    <w:rsid w:val="00304896"/>
    <w:rsid w:val="003116C8"/>
    <w:rsid w:val="00354FE9"/>
    <w:rsid w:val="0036218B"/>
    <w:rsid w:val="00371935"/>
    <w:rsid w:val="003774EE"/>
    <w:rsid w:val="00393E82"/>
    <w:rsid w:val="003958E8"/>
    <w:rsid w:val="00396819"/>
    <w:rsid w:val="00397C38"/>
    <w:rsid w:val="003A68AB"/>
    <w:rsid w:val="003C400F"/>
    <w:rsid w:val="003C79CF"/>
    <w:rsid w:val="003D605E"/>
    <w:rsid w:val="003F578E"/>
    <w:rsid w:val="004110FD"/>
    <w:rsid w:val="00412ED2"/>
    <w:rsid w:val="00417593"/>
    <w:rsid w:val="0043299E"/>
    <w:rsid w:val="00433326"/>
    <w:rsid w:val="004430D7"/>
    <w:rsid w:val="00460EB9"/>
    <w:rsid w:val="00465D75"/>
    <w:rsid w:val="004A03C4"/>
    <w:rsid w:val="004D3A6D"/>
    <w:rsid w:val="004F0FF0"/>
    <w:rsid w:val="00504DCE"/>
    <w:rsid w:val="005078C4"/>
    <w:rsid w:val="00520AAA"/>
    <w:rsid w:val="00525497"/>
    <w:rsid w:val="00525FE6"/>
    <w:rsid w:val="00552921"/>
    <w:rsid w:val="0059610F"/>
    <w:rsid w:val="005A54F2"/>
    <w:rsid w:val="005B2899"/>
    <w:rsid w:val="005B694A"/>
    <w:rsid w:val="005F11B8"/>
    <w:rsid w:val="00634404"/>
    <w:rsid w:val="0065419B"/>
    <w:rsid w:val="00675E0A"/>
    <w:rsid w:val="00692B40"/>
    <w:rsid w:val="00692BC8"/>
    <w:rsid w:val="006944BC"/>
    <w:rsid w:val="006957FF"/>
    <w:rsid w:val="006A2A89"/>
    <w:rsid w:val="006A3F57"/>
    <w:rsid w:val="006B07AA"/>
    <w:rsid w:val="006E384F"/>
    <w:rsid w:val="006E391B"/>
    <w:rsid w:val="006E6A82"/>
    <w:rsid w:val="006F7DDA"/>
    <w:rsid w:val="00704FD0"/>
    <w:rsid w:val="007068F7"/>
    <w:rsid w:val="007266E5"/>
    <w:rsid w:val="00765D73"/>
    <w:rsid w:val="007746E2"/>
    <w:rsid w:val="00782C18"/>
    <w:rsid w:val="007A2B2D"/>
    <w:rsid w:val="007C26EB"/>
    <w:rsid w:val="007D2681"/>
    <w:rsid w:val="007E6FEB"/>
    <w:rsid w:val="007E7C6A"/>
    <w:rsid w:val="007F1BE8"/>
    <w:rsid w:val="007F1E02"/>
    <w:rsid w:val="007F41EE"/>
    <w:rsid w:val="007F64EB"/>
    <w:rsid w:val="00800A4E"/>
    <w:rsid w:val="00801DC8"/>
    <w:rsid w:val="00814469"/>
    <w:rsid w:val="0083322F"/>
    <w:rsid w:val="00836E4A"/>
    <w:rsid w:val="00845000"/>
    <w:rsid w:val="00865893"/>
    <w:rsid w:val="00866520"/>
    <w:rsid w:val="008827E3"/>
    <w:rsid w:val="00885A12"/>
    <w:rsid w:val="00885E70"/>
    <w:rsid w:val="00886FE4"/>
    <w:rsid w:val="008B2A22"/>
    <w:rsid w:val="008B5B38"/>
    <w:rsid w:val="008D495B"/>
    <w:rsid w:val="008F4BC5"/>
    <w:rsid w:val="008F6A14"/>
    <w:rsid w:val="00902EB6"/>
    <w:rsid w:val="009155B7"/>
    <w:rsid w:val="009216FA"/>
    <w:rsid w:val="00924717"/>
    <w:rsid w:val="009252C2"/>
    <w:rsid w:val="009272C9"/>
    <w:rsid w:val="00927EB7"/>
    <w:rsid w:val="0095586D"/>
    <w:rsid w:val="0097406E"/>
    <w:rsid w:val="009816AB"/>
    <w:rsid w:val="00986E47"/>
    <w:rsid w:val="009937CF"/>
    <w:rsid w:val="00997A49"/>
    <w:rsid w:val="009A121F"/>
    <w:rsid w:val="009A7EC7"/>
    <w:rsid w:val="009B20E9"/>
    <w:rsid w:val="009D0920"/>
    <w:rsid w:val="009E0658"/>
    <w:rsid w:val="009E57F1"/>
    <w:rsid w:val="00A23A3A"/>
    <w:rsid w:val="00A470F2"/>
    <w:rsid w:val="00A54333"/>
    <w:rsid w:val="00A60135"/>
    <w:rsid w:val="00A66C4F"/>
    <w:rsid w:val="00A67B2B"/>
    <w:rsid w:val="00A824EB"/>
    <w:rsid w:val="00A95DA2"/>
    <w:rsid w:val="00AA01D9"/>
    <w:rsid w:val="00AA0C88"/>
    <w:rsid w:val="00AB519D"/>
    <w:rsid w:val="00AC2635"/>
    <w:rsid w:val="00AC2CBE"/>
    <w:rsid w:val="00AC4B74"/>
    <w:rsid w:val="00AD290D"/>
    <w:rsid w:val="00AE1909"/>
    <w:rsid w:val="00AE4936"/>
    <w:rsid w:val="00AF0E95"/>
    <w:rsid w:val="00AF4B6B"/>
    <w:rsid w:val="00B014CB"/>
    <w:rsid w:val="00B05349"/>
    <w:rsid w:val="00B06C0A"/>
    <w:rsid w:val="00B570CF"/>
    <w:rsid w:val="00B64366"/>
    <w:rsid w:val="00B80D10"/>
    <w:rsid w:val="00B824F8"/>
    <w:rsid w:val="00B8673B"/>
    <w:rsid w:val="00BA3DD6"/>
    <w:rsid w:val="00BB104C"/>
    <w:rsid w:val="00BC3B64"/>
    <w:rsid w:val="00BD7682"/>
    <w:rsid w:val="00C1721D"/>
    <w:rsid w:val="00C25EA4"/>
    <w:rsid w:val="00C27DB3"/>
    <w:rsid w:val="00C4768F"/>
    <w:rsid w:val="00C51422"/>
    <w:rsid w:val="00C52EA2"/>
    <w:rsid w:val="00C65E5F"/>
    <w:rsid w:val="00C77B28"/>
    <w:rsid w:val="00C77D56"/>
    <w:rsid w:val="00C855DC"/>
    <w:rsid w:val="00C92A11"/>
    <w:rsid w:val="00CA28CD"/>
    <w:rsid w:val="00CB1EA5"/>
    <w:rsid w:val="00CC0DA7"/>
    <w:rsid w:val="00CC5670"/>
    <w:rsid w:val="00CD0FD3"/>
    <w:rsid w:val="00CE0F95"/>
    <w:rsid w:val="00CE45E9"/>
    <w:rsid w:val="00D015E1"/>
    <w:rsid w:val="00D22B25"/>
    <w:rsid w:val="00D40A56"/>
    <w:rsid w:val="00D543C1"/>
    <w:rsid w:val="00D66D26"/>
    <w:rsid w:val="00D67AB1"/>
    <w:rsid w:val="00D71569"/>
    <w:rsid w:val="00D72EC6"/>
    <w:rsid w:val="00D85085"/>
    <w:rsid w:val="00D86280"/>
    <w:rsid w:val="00DA6D06"/>
    <w:rsid w:val="00DA7226"/>
    <w:rsid w:val="00DB0FBC"/>
    <w:rsid w:val="00DB37DB"/>
    <w:rsid w:val="00DD75B3"/>
    <w:rsid w:val="00DE2EAC"/>
    <w:rsid w:val="00DF130A"/>
    <w:rsid w:val="00E05E1B"/>
    <w:rsid w:val="00E07BC7"/>
    <w:rsid w:val="00E14F60"/>
    <w:rsid w:val="00E1700C"/>
    <w:rsid w:val="00E258AD"/>
    <w:rsid w:val="00E71147"/>
    <w:rsid w:val="00E75A26"/>
    <w:rsid w:val="00E972AB"/>
    <w:rsid w:val="00EA2B2F"/>
    <w:rsid w:val="00EA5DC6"/>
    <w:rsid w:val="00ED08C7"/>
    <w:rsid w:val="00ED78AA"/>
    <w:rsid w:val="00EE246A"/>
    <w:rsid w:val="00F061E8"/>
    <w:rsid w:val="00F06647"/>
    <w:rsid w:val="00F10082"/>
    <w:rsid w:val="00F127BF"/>
    <w:rsid w:val="00F1362C"/>
    <w:rsid w:val="00F17C8E"/>
    <w:rsid w:val="00F22F86"/>
    <w:rsid w:val="00F43942"/>
    <w:rsid w:val="00F44081"/>
    <w:rsid w:val="00F80644"/>
    <w:rsid w:val="00F926DD"/>
    <w:rsid w:val="00FA1E54"/>
    <w:rsid w:val="00FA4A57"/>
    <w:rsid w:val="00FC5547"/>
    <w:rsid w:val="00FC696E"/>
    <w:rsid w:val="00FD1F4F"/>
    <w:rsid w:val="00FD272B"/>
    <w:rsid w:val="00FE6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7C5FB7"/>
  <w15:chartTrackingRefBased/>
  <w15:docId w15:val="{78A28946-A91B-44B4-9327-A2CDA20C9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68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7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2C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C18"/>
    <w:rPr>
      <w:rFonts w:ascii="Segoe UI" w:hAnsi="Segoe UI" w:cs="Segoe UI"/>
      <w:sz w:val="18"/>
      <w:szCs w:val="18"/>
    </w:rPr>
  </w:style>
  <w:style w:type="paragraph" w:styleId="Header">
    <w:name w:val="header"/>
    <w:basedOn w:val="Normal"/>
    <w:link w:val="HeaderChar"/>
    <w:uiPriority w:val="99"/>
    <w:unhideWhenUsed/>
    <w:rsid w:val="00CA28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8CD"/>
  </w:style>
  <w:style w:type="paragraph" w:styleId="Footer">
    <w:name w:val="footer"/>
    <w:basedOn w:val="Normal"/>
    <w:link w:val="FooterChar"/>
    <w:uiPriority w:val="99"/>
    <w:unhideWhenUsed/>
    <w:rsid w:val="00CA28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8CD"/>
  </w:style>
  <w:style w:type="paragraph" w:styleId="ListParagraph">
    <w:name w:val="List Paragraph"/>
    <w:basedOn w:val="Normal"/>
    <w:uiPriority w:val="34"/>
    <w:qFormat/>
    <w:rsid w:val="000B28D3"/>
    <w:pPr>
      <w:ind w:left="720"/>
      <w:contextualSpacing/>
    </w:pPr>
  </w:style>
  <w:style w:type="character" w:styleId="CommentReference">
    <w:name w:val="annotation reference"/>
    <w:basedOn w:val="DefaultParagraphFont"/>
    <w:uiPriority w:val="99"/>
    <w:semiHidden/>
    <w:unhideWhenUsed/>
    <w:rsid w:val="000C12B2"/>
    <w:rPr>
      <w:sz w:val="16"/>
      <w:szCs w:val="16"/>
    </w:rPr>
  </w:style>
  <w:style w:type="paragraph" w:styleId="CommentText">
    <w:name w:val="annotation text"/>
    <w:basedOn w:val="Normal"/>
    <w:link w:val="CommentTextChar"/>
    <w:uiPriority w:val="99"/>
    <w:semiHidden/>
    <w:unhideWhenUsed/>
    <w:rsid w:val="000C12B2"/>
    <w:pPr>
      <w:spacing w:line="240" w:lineRule="auto"/>
    </w:pPr>
    <w:rPr>
      <w:sz w:val="20"/>
      <w:szCs w:val="20"/>
    </w:rPr>
  </w:style>
  <w:style w:type="character" w:customStyle="1" w:styleId="CommentTextChar">
    <w:name w:val="Comment Text Char"/>
    <w:basedOn w:val="DefaultParagraphFont"/>
    <w:link w:val="CommentText"/>
    <w:uiPriority w:val="99"/>
    <w:semiHidden/>
    <w:rsid w:val="000C12B2"/>
    <w:rPr>
      <w:sz w:val="20"/>
      <w:szCs w:val="20"/>
    </w:rPr>
  </w:style>
  <w:style w:type="paragraph" w:styleId="CommentSubject">
    <w:name w:val="annotation subject"/>
    <w:basedOn w:val="CommentText"/>
    <w:next w:val="CommentText"/>
    <w:link w:val="CommentSubjectChar"/>
    <w:uiPriority w:val="99"/>
    <w:semiHidden/>
    <w:unhideWhenUsed/>
    <w:rsid w:val="000C12B2"/>
    <w:rPr>
      <w:b/>
      <w:bCs/>
    </w:rPr>
  </w:style>
  <w:style w:type="character" w:customStyle="1" w:styleId="CommentSubjectChar">
    <w:name w:val="Comment Subject Char"/>
    <w:basedOn w:val="CommentTextChar"/>
    <w:link w:val="CommentSubject"/>
    <w:uiPriority w:val="99"/>
    <w:semiHidden/>
    <w:rsid w:val="000C12B2"/>
    <w:rPr>
      <w:b/>
      <w:bCs/>
      <w:sz w:val="20"/>
      <w:szCs w:val="20"/>
    </w:rPr>
  </w:style>
  <w:style w:type="paragraph" w:customStyle="1" w:styleId="xmsolistparagraph">
    <w:name w:val="x_msolistparagraph"/>
    <w:basedOn w:val="Normal"/>
    <w:rsid w:val="0022210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normal">
    <w:name w:val="x_msonormal"/>
    <w:basedOn w:val="Normal"/>
    <w:rsid w:val="00126A90"/>
    <w:pPr>
      <w:spacing w:after="0"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93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cid:image005.jpg@01D74808.CC8845A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781a52b0-d0f4-44f0-98bb-0d102f5fd161" ContentTypeId="0x0101" PreviousValue="fals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file>

<file path=customXml/item5.xml><?xml version="1.0" encoding="utf-8"?>
<ct:contentTypeSchema xmlns:ct="http://schemas.microsoft.com/office/2006/metadata/contentType" xmlns:ma="http://schemas.microsoft.com/office/2006/metadata/properties/metaAttributes" ct:_="" ma:_="" ma:contentTypeName="Document" ma:contentTypeID="0x0101007E96EE31F519D94C99405237C44B62D2" ma:contentTypeVersion="5" ma:contentTypeDescription="Create a new document." ma:contentTypeScope="" ma:versionID="77c655d200e4084c3ae3c67594012a4d">
  <xsd:schema xmlns:xsd="http://www.w3.org/2001/XMLSchema" xmlns:xs="http://www.w3.org/2001/XMLSchema" xmlns:p="http://schemas.microsoft.com/office/2006/metadata/properties" xmlns:ns3="4f28eaab-23dc-4647-a571-2fc9fc3bd12b" xmlns:ns4="c18e8617-fc0f-4dda-a87a-c0ec120ddf92" xmlns:ns5="4b3dc96f-1312-4627-93e5-a98d5b29c755" targetNamespace="http://schemas.microsoft.com/office/2006/metadata/properties" ma:root="true" ma:fieldsID="728bb3fdccad37a75028861715afae40" ns3:_="" ns4:_="" ns5:_="">
    <xsd:import namespace="4f28eaab-23dc-4647-a571-2fc9fc3bd12b"/>
    <xsd:import namespace="c18e8617-fc0f-4dda-a87a-c0ec120ddf92"/>
    <xsd:import namespace="4b3dc96f-1312-4627-93e5-a98d5b29c755"/>
    <xsd:element name="properties">
      <xsd:complexType>
        <xsd:sequence>
          <xsd:element name="documentManagement">
            <xsd:complexType>
              <xsd:all>
                <xsd:element ref="ns3:SharedWithUsers" minOccurs="0"/>
                <xsd:element ref="ns3:SharedWithDetails" minOccurs="0"/>
                <xsd:element ref="ns3:SharingHintHash" minOccurs="0"/>
                <xsd:element ref="ns4:_dlc_DocId" minOccurs="0"/>
                <xsd:element ref="ns4:_dlc_DocIdUrl" minOccurs="0"/>
                <xsd:element ref="ns4:_dlc_DocIdPersistId" minOccurs="0"/>
                <xsd:element ref="ns5:MediaServiceMetadata" minOccurs="0"/>
                <xsd:element ref="ns5: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28eaab-23dc-4647-a571-2fc9fc3bd12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8e8617-fc0f-4dda-a87a-c0ec120ddf92"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b3dc96f-1312-4627-93e5-a98d5b29c755"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341B72-E4A5-440B-8478-CB4F7463F907}">
  <ds:schemaRefs>
    <ds:schemaRef ds:uri="Microsoft.SharePoint.Taxonomy.ContentTypeSync"/>
  </ds:schemaRefs>
</ds:datastoreItem>
</file>

<file path=customXml/itemProps2.xml><?xml version="1.0" encoding="utf-8"?>
<ds:datastoreItem xmlns:ds="http://schemas.openxmlformats.org/officeDocument/2006/customXml" ds:itemID="{E2435B6B-A2E0-4C78-8848-EDECDCE6E2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5EA2182-29F7-4C89-B017-D9FCF3416238}">
  <ds:schemaRefs>
    <ds:schemaRef ds:uri="http://schemas.microsoft.com/sharepoint/v3/contenttype/forms"/>
  </ds:schemaRefs>
</ds:datastoreItem>
</file>

<file path=customXml/itemProps4.xml><?xml version="1.0" encoding="utf-8"?>
<ds:datastoreItem xmlns:ds="http://schemas.openxmlformats.org/officeDocument/2006/customXml" ds:itemID="{5A0A144C-A5BD-4CC8-BC3F-FBE2ED25B6EA}">
  <ds:schemaRefs>
    <ds:schemaRef ds:uri="http://schemas.microsoft.com/sharepoint/events"/>
  </ds:schemaRefs>
</ds:datastoreItem>
</file>

<file path=customXml/itemProps5.xml><?xml version="1.0" encoding="utf-8"?>
<ds:datastoreItem xmlns:ds="http://schemas.openxmlformats.org/officeDocument/2006/customXml" ds:itemID="{19518707-33AE-4BE7-A6D3-8D43F43CC5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28eaab-23dc-4647-a571-2fc9fc3bd12b"/>
    <ds:schemaRef ds:uri="c18e8617-fc0f-4dda-a87a-c0ec120ddf92"/>
    <ds:schemaRef ds:uri="4b3dc96f-1312-4627-93e5-a98d5b29c7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185CB2A6-0E12-4AF1-89FF-83EC69D64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5</Pages>
  <Words>2151</Words>
  <Characters>12265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Falk, Kathy</dc:creator>
  <cp:keywords/>
  <dc:description/>
  <cp:lastModifiedBy>Sprewell, Paul (DOT)</cp:lastModifiedBy>
  <cp:revision>5</cp:revision>
  <dcterms:created xsi:type="dcterms:W3CDTF">2021-05-13T18:45:00Z</dcterms:created>
  <dcterms:modified xsi:type="dcterms:W3CDTF">2021-05-14T15:26:00Z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0x0101007E96EE31F519D94C99405237C44B62D2</vt:lpwstr>
  </property>
</Properties>
</file>