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Comments on </w:t>
      </w:r>
      <w:r>
        <w:rPr>
          <w:rtl w:val="0"/>
        </w:rPr>
        <w:t>FHWA Docket No. FHWA</w:t>
      </w:r>
      <w:r>
        <w:rPr>
          <w:rtl w:val="0"/>
        </w:rPr>
        <w:t>–</w:t>
      </w:r>
      <w:r>
        <w:rPr>
          <w:rtl w:val="0"/>
        </w:rPr>
        <w:t>2020</w:t>
      </w:r>
      <w:r>
        <w:rPr>
          <w:rtl w:val="0"/>
        </w:rPr>
        <w:t>–</w:t>
      </w:r>
      <w:r>
        <w:rPr>
          <w:rtl w:val="0"/>
        </w:rPr>
        <w:t>0001</w:t>
      </w:r>
    </w:p>
    <w:p>
      <w:pPr>
        <w:pStyle w:val="Body"/>
        <w:bidi w:val="0"/>
      </w:pPr>
      <w:r>
        <w:rPr>
          <w:rtl w:val="0"/>
        </w:rPr>
        <w:t>from Dwight Kingsbury, Ph.D.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proposed amendment is a long awaited, much needed revision. Specific comments: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Proposed </w:t>
      </w:r>
      <w:r>
        <w:rPr>
          <w:rtl w:val="0"/>
        </w:rPr>
        <w:t>s.</w:t>
      </w:r>
      <w:r>
        <w:rPr>
          <w:rtl w:val="0"/>
        </w:rPr>
        <w:t xml:space="preserve"> 1C.02, def. 158</w:t>
      </w:r>
      <w:r>
        <w:rPr>
          <w:rtl w:val="0"/>
        </w:rPr>
        <w:t>:</w:t>
      </w:r>
      <w:r>
        <w:rPr>
          <w:rtl w:val="0"/>
        </w:rPr>
        <w:t xml:space="preserve"> "Pedestrian Hybrid Beacon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br w:type="textWrapping"/>
        <w:br w:type="textWrapping"/>
      </w:r>
      <w:r>
        <w:rPr>
          <w:rtl w:val="0"/>
        </w:rPr>
        <w:t>Existing definition, but i</w:t>
      </w:r>
      <w:r>
        <w:rPr>
          <w:rtl w:val="0"/>
        </w:rPr>
        <w:t>nternally inconsistent, describ</w:t>
      </w:r>
      <w:r>
        <w:rPr>
          <w:rtl w:val="0"/>
        </w:rPr>
        <w:t>ing</w:t>
      </w:r>
      <w:r>
        <w:rPr>
          <w:rtl w:val="0"/>
        </w:rPr>
        <w:t xml:space="preserve"> </w:t>
      </w:r>
      <w:r>
        <w:rPr>
          <w:rtl w:val="0"/>
        </w:rPr>
        <w:t>PHB</w:t>
      </w:r>
      <w:r>
        <w:rPr>
          <w:rtl w:val="0"/>
        </w:rPr>
        <w:t xml:space="preserve"> as "used...at an unsignalized location...", </w:t>
      </w:r>
      <w:r>
        <w:rPr>
          <w:rtl w:val="0"/>
        </w:rPr>
        <w:t>even though</w:t>
      </w:r>
      <w:r>
        <w:rPr>
          <w:rtl w:val="0"/>
        </w:rPr>
        <w:t xml:space="preserve"> "Beacon" is defined as "A highway traffic signal..." Change to "...at an otherwise unsignalized location..."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S. 1C.02, def. 265: </w:t>
      </w:r>
      <w:r>
        <w:rPr>
          <w:rtl w:val="0"/>
        </w:rPr>
        <w:t>“</w:t>
      </w:r>
      <w:r>
        <w:rPr>
          <w:rtl w:val="0"/>
        </w:rPr>
        <w:t>Traffic Control Device</w:t>
      </w:r>
      <w:r>
        <w:rPr>
          <w:rtl w:val="0"/>
        </w:rPr>
        <w:t>”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>Revised definition changes the number from singular to plural (</w:t>
      </w: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all</w:t>
      </w:r>
      <w:r>
        <w:rPr>
          <w:rtl w:val="0"/>
        </w:rPr>
        <w:t xml:space="preserve"> signs, signals, markings</w:t>
      </w:r>
      <w:r>
        <w:rPr>
          <w:rtl w:val="0"/>
        </w:rPr>
        <w:t>…”</w:t>
      </w:r>
      <w:r>
        <w:rPr>
          <w:rtl w:val="0"/>
        </w:rPr>
        <w:t xml:space="preserve">). This does not make sense. The NPA text contains dozens of instances in which </w:t>
      </w:r>
      <w:r>
        <w:rPr>
          <w:rtl w:val="0"/>
        </w:rPr>
        <w:t>“</w:t>
      </w:r>
      <w:r>
        <w:rPr>
          <w:rtl w:val="0"/>
        </w:rPr>
        <w:t>traffic control device</w:t>
      </w:r>
      <w:r>
        <w:rPr>
          <w:rtl w:val="0"/>
        </w:rPr>
        <w:t xml:space="preserve">” </w:t>
      </w:r>
      <w:r>
        <w:rPr>
          <w:rtl w:val="0"/>
        </w:rPr>
        <w:t xml:space="preserve">clearly refers to a single device of some type, not to all TCDs. Presumably the intent was to emphasize that all the listed devices are TCDs. This could be done by using the adjective </w:t>
      </w:r>
      <w:r>
        <w:rPr>
          <w:rtl w:val="0"/>
        </w:rPr>
        <w:t>“</w:t>
      </w:r>
      <w:r>
        <w:rPr>
          <w:rtl w:val="0"/>
        </w:rPr>
        <w:t>any</w:t>
      </w:r>
      <w:r>
        <w:rPr>
          <w:rtl w:val="0"/>
        </w:rPr>
        <w:t>”</w:t>
      </w:r>
      <w:r>
        <w:rPr>
          <w:rtl w:val="0"/>
        </w:rPr>
        <w:t xml:space="preserve">. Compare definition 275, which defines </w:t>
      </w:r>
      <w:r>
        <w:rPr>
          <w:rtl w:val="0"/>
        </w:rPr>
        <w:t>“</w:t>
      </w:r>
      <w:r>
        <w:rPr>
          <w:rtl w:val="0"/>
        </w:rPr>
        <w:t>Vehicle</w:t>
      </w:r>
      <w:r>
        <w:rPr>
          <w:rtl w:val="0"/>
        </w:rPr>
        <w:t xml:space="preserve">” </w:t>
      </w:r>
      <w:r>
        <w:rPr>
          <w:rtl w:val="0"/>
        </w:rPr>
        <w:t xml:space="preserve">in the singular as </w:t>
      </w: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every</w:t>
      </w:r>
      <w:r>
        <w:rPr>
          <w:rtl w:val="0"/>
        </w:rPr>
        <w:t xml:space="preserve"> device </w:t>
      </w:r>
      <w:r>
        <w:rPr>
          <w:rtl w:val="0"/>
        </w:rPr>
        <w:t>in, upon, or by which</w:t>
      </w:r>
      <w:r>
        <w:rPr>
          <w:rtl w:val="0"/>
        </w:rPr>
        <w:t>…”</w:t>
      </w:r>
      <w:r>
        <w:rPr>
          <w:rtl w:val="0"/>
        </w:rPr>
        <w:t xml:space="preserve">, rather than as </w:t>
      </w:r>
      <w:r>
        <w:rPr>
          <w:rtl w:val="0"/>
        </w:rPr>
        <w:t>“</w:t>
      </w:r>
      <w:r>
        <w:rPr>
          <w:rtl w:val="0"/>
        </w:rPr>
        <w:t>all devices</w:t>
      </w:r>
      <w:r>
        <w:rPr>
          <w:rtl w:val="0"/>
        </w:rPr>
        <w:t>…”</w:t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S. 8E.08 P1:</w:t>
      </w:r>
      <w:r>
        <w:rPr>
          <w:rtl w:val="0"/>
        </w:rPr>
        <w:t>“</w:t>
      </w:r>
      <w:r>
        <w:rPr>
          <w:rtl w:val="0"/>
        </w:rPr>
        <w:t>the universal application of</w:t>
      </w:r>
      <w:r>
        <w:rPr>
          <w:rtl w:val="0"/>
        </w:rPr>
        <w:t>…</w:t>
      </w:r>
      <w:r>
        <w:rPr>
          <w:rtl w:val="0"/>
        </w:rPr>
        <w:t>are the uniform active traffic control device</w:t>
      </w:r>
      <w:r>
        <w:rPr>
          <w:rtl w:val="0"/>
        </w:rPr>
        <w:t xml:space="preserve"> for</w:t>
      </w:r>
      <w:r>
        <w:rPr>
          <w:rtl w:val="0"/>
        </w:rPr>
        <w:t xml:space="preserve">…” </w:t>
        <w:br w:type="textWrapping"/>
        <w:br w:type="textWrapping"/>
      </w:r>
      <w:r>
        <w:rPr>
          <w:rtl w:val="0"/>
        </w:rPr>
        <w:t>A</w:t>
      </w:r>
      <w:r>
        <w:rPr>
          <w:rtl w:val="0"/>
        </w:rPr>
        <w:t>wkward subject-predicate number disagreement</w:t>
      </w:r>
      <w:r>
        <w:rPr>
          <w:rtl w:val="0"/>
        </w:rPr>
        <w:t xml:space="preserve">; </w:t>
      </w:r>
      <w:r>
        <w:rPr>
          <w:rtl w:val="0"/>
        </w:rPr>
        <w:t>“</w:t>
      </w:r>
      <w:r>
        <w:rPr>
          <w:rtl w:val="0"/>
        </w:rPr>
        <w:t>application</w:t>
      </w:r>
      <w:r>
        <w:rPr>
          <w:rtl w:val="0"/>
        </w:rPr>
        <w:t xml:space="preserve">” </w:t>
      </w:r>
      <w:r>
        <w:rPr>
          <w:rtl w:val="0"/>
        </w:rPr>
        <w:t xml:space="preserve">is singular, </w:t>
      </w:r>
      <w:r>
        <w:rPr>
          <w:rtl w:val="0"/>
        </w:rPr>
        <w:t>“</w:t>
      </w:r>
      <w:r>
        <w:rPr>
          <w:rtl w:val="0"/>
        </w:rPr>
        <w:t>are</w:t>
      </w:r>
      <w:r>
        <w:rPr>
          <w:rtl w:val="0"/>
        </w:rPr>
        <w:t xml:space="preserve">” </w:t>
      </w:r>
      <w:r>
        <w:rPr>
          <w:rtl w:val="0"/>
        </w:rPr>
        <w:t xml:space="preserve">is plural, </w:t>
      </w:r>
      <w:r>
        <w:rPr>
          <w:rtl w:val="0"/>
        </w:rPr>
        <w:t>“</w:t>
      </w:r>
      <w:r>
        <w:rPr>
          <w:rtl w:val="0"/>
        </w:rPr>
        <w:t>device</w:t>
      </w:r>
      <w:r>
        <w:rPr>
          <w:rtl w:val="0"/>
        </w:rPr>
        <w:t xml:space="preserve">” </w:t>
      </w:r>
      <w:r>
        <w:rPr>
          <w:rtl w:val="0"/>
        </w:rPr>
        <w:t>is singular.</w:t>
      </w:r>
      <w:r>
        <w:rPr>
          <w:rtl w:val="0"/>
        </w:rPr>
        <w:t xml:space="preserve"> </w:t>
      </w:r>
      <w:r>
        <w:rPr>
          <w:rtl w:val="0"/>
        </w:rPr>
        <w:t xml:space="preserve">Change to </w:t>
      </w:r>
      <w:r>
        <w:rPr>
          <w:rtl w:val="0"/>
        </w:rPr>
        <w:t>“…</w:t>
      </w:r>
      <w:r>
        <w:rPr>
          <w:strike w:val="1"/>
          <w:dstrike w:val="0"/>
          <w:rtl w:val="0"/>
          <w:lang w:val="en-US"/>
        </w:rPr>
        <w:t xml:space="preserve">the universal application of </w:t>
      </w:r>
      <w:r>
        <w:rPr>
          <w:rtl w:val="0"/>
        </w:rPr>
        <w:t>horizontally-aligned,</w:t>
      </w:r>
      <w:r>
        <w:rPr>
          <w:rtl w:val="0"/>
        </w:rPr>
        <w:t xml:space="preserve"> </w:t>
      </w:r>
      <w:r>
        <w:rPr>
          <w:rtl w:val="0"/>
        </w:rPr>
        <w:t>alternately-flashing red lights are the uniform active traffic control device</w:t>
      </w:r>
      <w:r>
        <w:rPr>
          <w:rtl w:val="0"/>
        </w:rPr>
        <w:t>s</w:t>
      </w:r>
      <w:r>
        <w:rPr>
          <w:rtl w:val="0"/>
        </w:rPr>
        <w:t xml:space="preserve"> for</w:t>
      </w:r>
      <w:r>
        <w:rPr>
          <w:rtl w:val="0"/>
        </w:rPr>
        <w:t>…”</w:t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S. 9B.25 P2: </w:t>
      </w:r>
      <w:r>
        <w:rPr>
          <w:rtl w:val="0"/>
        </w:rPr>
        <w:t>“…</w:t>
      </w:r>
      <w:r>
        <w:rPr>
          <w:rtl w:val="0"/>
        </w:rPr>
        <w:t>intended for viewing by both bicycles and other road users</w:t>
      </w:r>
      <w:r>
        <w:rPr>
          <w:rtl w:val="0"/>
        </w:rPr>
        <w:t>…”</w:t>
        <w:br w:type="textWrapping"/>
        <w:br w:type="textWrapping"/>
      </w:r>
      <w:r>
        <w:rPr>
          <w:rtl w:val="0"/>
        </w:rPr>
        <w:t xml:space="preserve">Other road users are humans, whereas bicycles are vehicles that, at least at this time, are incapable of viewing anything. Change to </w:t>
      </w:r>
      <w:r>
        <w:rPr>
          <w:rtl w:val="0"/>
        </w:rPr>
        <w:t>“</w:t>
      </w:r>
      <w:r>
        <w:rPr>
          <w:rtl w:val="0"/>
        </w:rPr>
        <w:t>…</w:t>
      </w:r>
      <w:r>
        <w:rPr>
          <w:rtl w:val="0"/>
        </w:rPr>
        <w:t>intended for viewing by both bicycl</w:t>
      </w:r>
      <w:r>
        <w:rPr>
          <w:rtl w:val="0"/>
        </w:rPr>
        <w:t>ist</w:t>
      </w:r>
      <w:r>
        <w:rPr>
          <w:rtl w:val="0"/>
        </w:rPr>
        <w:t>s and other road users</w:t>
      </w:r>
      <w:r>
        <w:rPr>
          <w:rtl w:val="0"/>
        </w:rPr>
        <w:t>…”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S. 9D.04 P6(?): </w:t>
      </w:r>
      <w:r>
        <w:rPr>
          <w:rtl w:val="0"/>
        </w:rPr>
        <w:t>“</w:t>
      </w:r>
      <w:r>
        <w:rPr>
          <w:rtl w:val="0"/>
        </w:rPr>
        <w:t>All numbered bicycle routes shall be identified by route signs</w:t>
      </w:r>
      <w:r>
        <w:rPr>
          <w:rtl w:val="0"/>
        </w:rPr>
        <w:t>…”</w:t>
        <w:br w:type="textWrapping"/>
        <w:br w:type="textWrapping"/>
      </w:r>
      <w:r>
        <w:rPr>
          <w:rtl w:val="0"/>
        </w:rPr>
        <w:t>This might be ideal, but should be restated as Guidance. Nowadays most cyclists with the time and resources to use an (unfamiliar) numbered route for travel could follow it on a smartphone app, and some still use printed maps. Making route signing a requirement could deter some agencies from pursuing development of numbered routes.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S. 9D.12 P6 (?): </w:t>
      </w:r>
      <w:r>
        <w:rPr>
          <w:rtl w:val="0"/>
        </w:rPr>
        <w:t>“</w:t>
      </w:r>
      <w:r>
        <w:rPr>
          <w:rtl w:val="0"/>
        </w:rPr>
        <w:t>that would be otherwise display</w:t>
      </w:r>
      <w:r>
        <w:rPr>
          <w:rtl w:val="0"/>
        </w:rPr>
        <w:t xml:space="preserve"> </w:t>
      </w:r>
      <w:r>
        <w:rPr>
          <w:rtl w:val="0"/>
        </w:rPr>
        <w:t>directional navigation to</w:t>
      </w:r>
      <w:r>
        <w:rPr>
          <w:rtl w:val="0"/>
        </w:rPr>
        <w:t>…”</w:t>
        <w:br w:type="textWrapping"/>
        <w:br w:type="textWrapping"/>
      </w:r>
      <w:r>
        <w:rPr>
          <w:rtl w:val="0"/>
        </w:rPr>
        <w:t xml:space="preserve">Ungrammatical. Intended sense presumably something like </w:t>
      </w:r>
      <w:r>
        <w:rPr>
          <w:rtl w:val="0"/>
        </w:rPr>
        <w:t>“</w:t>
      </w:r>
      <w:r>
        <w:rPr>
          <w:rtl w:val="0"/>
        </w:rPr>
        <w:t>that would otherwise display</w:t>
      </w:r>
      <w:r>
        <w:rPr>
          <w:rtl w:val="0"/>
        </w:rPr>
        <w:t>…”</w:t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S. 9E.11 P1: </w:t>
      </w:r>
      <w:r>
        <w:rPr>
          <w:rtl w:val="0"/>
        </w:rPr>
        <w:t>“</w:t>
      </w:r>
      <w:r>
        <w:rPr>
          <w:rtl w:val="0"/>
        </w:rPr>
        <w:t>Two-stage bicycle turn boxes allow bicycles the opportunity</w:t>
      </w:r>
      <w:r>
        <w:rPr>
          <w:rtl w:val="0"/>
        </w:rPr>
        <w:t>…”</w:t>
        <w:br w:type="textWrapping"/>
        <w:br w:type="textWrapping"/>
      </w:r>
      <w:r>
        <w:rPr>
          <w:rtl w:val="0"/>
        </w:rPr>
        <w:t xml:space="preserve">As vehicles, bicycles do not have opportunities; their operators do. Change to </w:t>
      </w:r>
      <w:r>
        <w:rPr>
          <w:rtl w:val="0"/>
        </w:rPr>
        <w:t>“…</w:t>
      </w:r>
      <w:r>
        <w:rPr>
          <w:rtl w:val="0"/>
        </w:rPr>
        <w:t>allow bicycl</w:t>
      </w:r>
      <w:r>
        <w:rPr>
          <w:rtl w:val="0"/>
        </w:rPr>
        <w:t>ists</w:t>
      </w:r>
      <w:r>
        <w:rPr>
          <w:rtl w:val="0"/>
        </w:rPr>
        <w:t xml:space="preserve"> the opportunity</w:t>
      </w:r>
      <w:r>
        <w:rPr>
          <w:rtl w:val="0"/>
        </w:rPr>
        <w:t>…”</w:t>
      </w:r>
      <w:r>
        <w:br w:type="textWrapping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