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40594A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C9544F" w14:paraId="419081C3" w14:textId="77777777" w:rsidTr="0040594A">
        <w:trPr>
          <w:cantSplit/>
        </w:trPr>
        <w:tc>
          <w:tcPr>
            <w:tcW w:w="1170" w:type="dxa"/>
          </w:tcPr>
          <w:p w14:paraId="2BC42DC5" w14:textId="366122B5" w:rsidR="00C9544F" w:rsidRDefault="00C9544F" w:rsidP="00A67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200D1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ables in Chapter 2A</w:t>
            </w:r>
          </w:p>
        </w:tc>
        <w:tc>
          <w:tcPr>
            <w:tcW w:w="1167" w:type="dxa"/>
          </w:tcPr>
          <w:p w14:paraId="201CA3BA" w14:textId="5B83F33D" w:rsidR="00C9544F" w:rsidRDefault="00C9544F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05C1E327" w14:textId="16B13538" w:rsidR="00C9544F" w:rsidRDefault="00C9544F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33F4B4" w14:textId="51F86771" w:rsidR="00C9544F" w:rsidRDefault="00C9544F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7B98468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NCUTCD notes that the assigned numbering for tables in Chapter 2A is completely different between the draft NPA text as seen in docket items -0004 and -0038, and the draft NPA tables as seen in docket item -0006, as illustrated here:</w:t>
            </w:r>
          </w:p>
          <w:p w14:paraId="531970A8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3C5EF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Draft Text (Clean and Mark-Up):</w:t>
            </w:r>
          </w:p>
          <w:p w14:paraId="35CD20B1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2A-1. Use of Sign Shapes</w:t>
            </w:r>
          </w:p>
          <w:p w14:paraId="196BE8FD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2A-2. Common Uses of Sign Colors</w:t>
            </w:r>
          </w:p>
          <w:p w14:paraId="5BD5FEB6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2A-3. Illumination of Sign Elements</w:t>
            </w:r>
          </w:p>
          <w:p w14:paraId="3B996CED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2A-4. Retroreflection of Sign Elements</w:t>
            </w:r>
          </w:p>
          <w:p w14:paraId="07F48DA7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 xml:space="preserve">Table 2A-5. Minimum Maintained </w:t>
            </w:r>
            <w:proofErr w:type="spellStart"/>
            <w:r w:rsidRPr="00C9544F">
              <w:rPr>
                <w:rFonts w:ascii="Arial" w:hAnsi="Arial" w:cs="Arial"/>
                <w:sz w:val="20"/>
                <w:szCs w:val="20"/>
              </w:rPr>
              <w:t>Retroreflectivity</w:t>
            </w:r>
            <w:proofErr w:type="spellEnd"/>
            <w:r w:rsidRPr="00C9544F">
              <w:rPr>
                <w:rFonts w:ascii="Arial" w:hAnsi="Arial" w:cs="Arial"/>
                <w:sz w:val="20"/>
                <w:szCs w:val="20"/>
              </w:rPr>
              <w:t xml:space="preserve"> Levels</w:t>
            </w:r>
          </w:p>
          <w:p w14:paraId="4BEAF312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7BC43F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Draft Tables:</w:t>
            </w:r>
          </w:p>
          <w:p w14:paraId="1A245C09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2A-1. Illumination of Sign Elements</w:t>
            </w:r>
          </w:p>
          <w:p w14:paraId="7FEB931E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2A-2. Retroreflection of Sign Elements</w:t>
            </w:r>
          </w:p>
          <w:p w14:paraId="0B77DB8A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 xml:space="preserve">Table 2A-3. Minimum Maintained </w:t>
            </w:r>
            <w:proofErr w:type="spellStart"/>
            <w:r w:rsidRPr="00C9544F">
              <w:rPr>
                <w:rFonts w:ascii="Arial" w:hAnsi="Arial" w:cs="Arial"/>
                <w:sz w:val="20"/>
                <w:szCs w:val="20"/>
              </w:rPr>
              <w:t>Retroreflectivity</w:t>
            </w:r>
            <w:proofErr w:type="spellEnd"/>
            <w:r w:rsidRPr="00C9544F">
              <w:rPr>
                <w:rFonts w:ascii="Arial" w:hAnsi="Arial" w:cs="Arial"/>
                <w:sz w:val="20"/>
                <w:szCs w:val="20"/>
              </w:rPr>
              <w:t xml:space="preserve"> Levels</w:t>
            </w:r>
          </w:p>
          <w:p w14:paraId="102DF781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2A-4. Use of Sign Shapes</w:t>
            </w:r>
          </w:p>
          <w:p w14:paraId="4E7CD672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Table 2A-5. Common Uses of Sign Colors</w:t>
            </w:r>
          </w:p>
          <w:p w14:paraId="263BB14D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DA14D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This should be rectified prior to the Final Rule.</w:t>
            </w:r>
          </w:p>
          <w:p w14:paraId="34F1E801" w14:textId="77777777" w:rsidR="00C9544F" w:rsidRPr="00C9544F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3F9DAB" w14:textId="3F5E50D2" w:rsidR="00C9544F" w:rsidRPr="002E7E0E" w:rsidRDefault="00C9544F" w:rsidP="00C9544F">
            <w:pPr>
              <w:rPr>
                <w:rFonts w:ascii="Arial" w:hAnsi="Arial" w:cs="Arial"/>
                <w:sz w:val="20"/>
                <w:szCs w:val="20"/>
              </w:rPr>
            </w:pPr>
            <w:r w:rsidRPr="00C9544F">
              <w:rPr>
                <w:rFonts w:ascii="Arial" w:hAnsi="Arial" w:cs="Arial"/>
                <w:sz w:val="20"/>
                <w:szCs w:val="20"/>
              </w:rPr>
              <w:t>In our comments, NCUTCD presumes that the table numbers in the draft NPA tables document (docket item -0006) are correct, and our proposed changes and edits of Chapter 2A reflect this.</w:t>
            </w:r>
          </w:p>
        </w:tc>
      </w:tr>
      <w:tr w:rsidR="00782C18" w14:paraId="728D6732" w14:textId="0756E885" w:rsidTr="0040594A">
        <w:trPr>
          <w:cantSplit/>
        </w:trPr>
        <w:tc>
          <w:tcPr>
            <w:tcW w:w="1170" w:type="dxa"/>
          </w:tcPr>
          <w:p w14:paraId="6AFCDF00" w14:textId="762ED7F5" w:rsidR="00F06647" w:rsidRPr="00A67B2B" w:rsidRDefault="0099748D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2A.01</w:t>
            </w:r>
          </w:p>
        </w:tc>
        <w:tc>
          <w:tcPr>
            <w:tcW w:w="1167" w:type="dxa"/>
          </w:tcPr>
          <w:p w14:paraId="02040168" w14:textId="24C1D929" w:rsidR="00F06647" w:rsidRPr="00A67B2B" w:rsidRDefault="0099748D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EB6B6BD" w14:textId="4185E460" w:rsidR="00F06647" w:rsidRPr="00A67B2B" w:rsidRDefault="0099748D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A51550" w14:textId="4FA44B0B" w:rsidR="00F06647" w:rsidRPr="00A67B2B" w:rsidRDefault="0099748D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0F06F03F" w:rsidR="00F06647" w:rsidRPr="00A67B2B" w:rsidRDefault="002E7E0E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E7E0E">
              <w:rPr>
                <w:rFonts w:ascii="Arial" w:hAnsi="Arial" w:cs="Arial"/>
                <w:sz w:val="20"/>
                <w:szCs w:val="20"/>
              </w:rPr>
              <w:t>NCUTCD recommends change to NPA text as shown regarding site roadways in accordance with NCUTCD recommendation 15A-EC-01.  This recommended change occurs in numerous sections throughout the NPA MUTCD text.</w:t>
            </w:r>
          </w:p>
        </w:tc>
      </w:tr>
      <w:tr w:rsidR="00782C18" w14:paraId="291930E3" w14:textId="74252152" w:rsidTr="0040594A">
        <w:trPr>
          <w:cantSplit/>
        </w:trPr>
        <w:tc>
          <w:tcPr>
            <w:tcW w:w="1170" w:type="dxa"/>
          </w:tcPr>
          <w:p w14:paraId="5C239D48" w14:textId="525F072E" w:rsidR="00F06647" w:rsidRPr="00A67B2B" w:rsidRDefault="002428B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2A.02</w:t>
            </w:r>
          </w:p>
        </w:tc>
        <w:tc>
          <w:tcPr>
            <w:tcW w:w="1167" w:type="dxa"/>
          </w:tcPr>
          <w:p w14:paraId="5D55ADD1" w14:textId="6FDE9A26" w:rsidR="00F06647" w:rsidRPr="00A67B2B" w:rsidRDefault="002428B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AFA22E3" w14:textId="3EDF748D" w:rsidR="00F06647" w:rsidRPr="00A67B2B" w:rsidRDefault="002428B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673DECA7" w:rsidR="00F06647" w:rsidRPr="00A67B2B" w:rsidRDefault="002428B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5465DE74" w:rsidR="00F06647" w:rsidRPr="00A67B2B" w:rsidRDefault="002428B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428B9">
              <w:rPr>
                <w:rFonts w:ascii="Arial" w:hAnsi="Arial" w:cs="Arial"/>
                <w:sz w:val="20"/>
                <w:szCs w:val="20"/>
              </w:rPr>
              <w:t>NCUTCD recommends changes to NPA text as shown.  The “site roadways” recommended change occurs in numerous sections throughout the NPA MUTCD text.  Other recommended change corrects reference to Section 1D.05.</w:t>
            </w:r>
          </w:p>
        </w:tc>
      </w:tr>
      <w:tr w:rsidR="00E805D1" w14:paraId="441F5ED9" w14:textId="3F7BEEC2" w:rsidTr="0040594A">
        <w:trPr>
          <w:cantSplit/>
        </w:trPr>
        <w:tc>
          <w:tcPr>
            <w:tcW w:w="1170" w:type="dxa"/>
          </w:tcPr>
          <w:p w14:paraId="467546D0" w14:textId="5B8BCE9F" w:rsidR="00E805D1" w:rsidRPr="00A67B2B" w:rsidRDefault="00E805D1" w:rsidP="00E805D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2A.03</w:t>
            </w:r>
          </w:p>
        </w:tc>
        <w:tc>
          <w:tcPr>
            <w:tcW w:w="1167" w:type="dxa"/>
          </w:tcPr>
          <w:p w14:paraId="1C2A64F1" w14:textId="4DF0A679" w:rsidR="00E805D1" w:rsidRPr="00A67B2B" w:rsidRDefault="00E805D1" w:rsidP="00E805D1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6F410D" w14:textId="242F5244" w:rsidR="00E805D1" w:rsidRPr="00A67B2B" w:rsidRDefault="00E805D1" w:rsidP="00E805D1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9427328" w14:textId="4673BA2B" w:rsidR="00E805D1" w:rsidRPr="00A67B2B" w:rsidRDefault="00E805D1" w:rsidP="00E805D1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1C09FA31" w:rsidR="00E805D1" w:rsidRPr="00A67B2B" w:rsidRDefault="00E805D1" w:rsidP="00E805D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805D1">
              <w:rPr>
                <w:rFonts w:ascii="Arial" w:hAnsi="Arial" w:cs="Arial"/>
                <w:sz w:val="20"/>
                <w:szCs w:val="20"/>
              </w:rPr>
              <w:t>NCUTCD recommends revising from “defined” to “described’ with additional Section reference since it is describing these devices.</w:t>
            </w:r>
          </w:p>
        </w:tc>
      </w:tr>
      <w:tr w:rsidR="00EF7249" w14:paraId="4E2FCF5E" w14:textId="77777777" w:rsidTr="0040594A">
        <w:trPr>
          <w:cantSplit/>
        </w:trPr>
        <w:tc>
          <w:tcPr>
            <w:tcW w:w="1170" w:type="dxa"/>
          </w:tcPr>
          <w:p w14:paraId="50531FAD" w14:textId="4958B9F7" w:rsidR="00EF7249" w:rsidRPr="00A67B2B" w:rsidRDefault="00EF7249" w:rsidP="00EF7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2A.04</w:t>
            </w:r>
          </w:p>
        </w:tc>
        <w:tc>
          <w:tcPr>
            <w:tcW w:w="1167" w:type="dxa"/>
          </w:tcPr>
          <w:p w14:paraId="1FF318E6" w14:textId="6CDF628E" w:rsidR="00EF7249" w:rsidRPr="00A67B2B" w:rsidRDefault="00EF7249" w:rsidP="00EF72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C0EFC5B" w14:textId="50D4E3F6" w:rsidR="00EF7249" w:rsidRPr="00A67B2B" w:rsidRDefault="00EF7249" w:rsidP="00EF72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5F40FDD" w14:textId="123A304F" w:rsidR="00EF7249" w:rsidRPr="00A67B2B" w:rsidRDefault="00EF7249" w:rsidP="00EF72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9BAA164" w14:textId="77777777" w:rsidR="00EF7249" w:rsidRPr="00EF7249" w:rsidRDefault="00EF7249" w:rsidP="00EF7249">
            <w:p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 xml:space="preserve">NCUTCD recommends the following changes consistent with NCUTCD recommendation 20B-RW-03: </w:t>
            </w:r>
          </w:p>
          <w:p w14:paraId="17CE6228" w14:textId="3B2711E8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>Add references to dynamic message signs, hybrid signs and blank-out signs</w:t>
            </w:r>
          </w:p>
          <w:p w14:paraId="6398506D" w14:textId="64E6B863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>Downgrade from Standard to Guidance the requirement that modification of a MUTCD standard sign shall not be allowed</w:t>
            </w:r>
          </w:p>
          <w:p w14:paraId="655252C4" w14:textId="023C9645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>Give owners of site roadways the same option as public agencies to develop special word legends</w:t>
            </w:r>
          </w:p>
          <w:p w14:paraId="223E1BFF" w14:textId="695D828C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>Recommend a new definition for scanning graphics and revise the text accordingly</w:t>
            </w:r>
          </w:p>
          <w:p w14:paraId="43C4C39A" w14:textId="43661884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>Add a requirement for scanning graphics for connected and automated vehicles (CAV)</w:t>
            </w:r>
          </w:p>
          <w:p w14:paraId="6E90CD19" w14:textId="3EC760C3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>Revise university or college graphic permissions to allow a logo vs. a seal, and prohibit pictorial representations</w:t>
            </w:r>
          </w:p>
          <w:p w14:paraId="2F118533" w14:textId="01D7E665" w:rsidR="00EF7249" w:rsidRPr="00EF7249" w:rsidRDefault="00EF7249" w:rsidP="00EF72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F7249">
              <w:rPr>
                <w:rFonts w:ascii="Arial" w:hAnsi="Arial" w:cs="Arial"/>
                <w:sz w:val="20"/>
                <w:szCs w:val="20"/>
              </w:rPr>
              <w:t xml:space="preserve">Allow the use of scanning graphics to work with driver automotive technologies    </w:t>
            </w:r>
          </w:p>
        </w:tc>
      </w:tr>
      <w:tr w:rsidR="00D91F2E" w14:paraId="7F2DE5EF" w14:textId="77777777" w:rsidTr="0040594A">
        <w:trPr>
          <w:cantSplit/>
        </w:trPr>
        <w:tc>
          <w:tcPr>
            <w:tcW w:w="1170" w:type="dxa"/>
          </w:tcPr>
          <w:p w14:paraId="4AD0A86D" w14:textId="27E0000F" w:rsidR="00D91F2E" w:rsidRPr="00A67B2B" w:rsidRDefault="00D91F2E" w:rsidP="00D91F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2A.05</w:t>
            </w:r>
          </w:p>
        </w:tc>
        <w:tc>
          <w:tcPr>
            <w:tcW w:w="1167" w:type="dxa"/>
          </w:tcPr>
          <w:p w14:paraId="41DA321E" w14:textId="3CC3FE52" w:rsidR="00D91F2E" w:rsidRPr="00A67B2B" w:rsidRDefault="00D91F2E" w:rsidP="00D9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AC17E8A" w14:textId="460068BB" w:rsidR="00D91F2E" w:rsidRPr="00A67B2B" w:rsidRDefault="00D91F2E" w:rsidP="00D9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C206594" w14:textId="18BE98B7" w:rsidR="00D91F2E" w:rsidRPr="00A67B2B" w:rsidRDefault="00D91F2E" w:rsidP="00D9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1E59265" w14:textId="388DD4BA" w:rsidR="00D91F2E" w:rsidRPr="00A67B2B" w:rsidRDefault="00D91F2E" w:rsidP="00D91F2E">
            <w:pPr>
              <w:rPr>
                <w:rFonts w:ascii="Arial" w:hAnsi="Arial" w:cs="Arial"/>
                <w:sz w:val="20"/>
                <w:szCs w:val="20"/>
              </w:rPr>
            </w:pPr>
            <w:r w:rsidRPr="00D91F2E">
              <w:rPr>
                <w:rFonts w:ascii="Arial" w:hAnsi="Arial" w:cs="Arial"/>
                <w:sz w:val="20"/>
                <w:szCs w:val="20"/>
              </w:rPr>
              <w:t>NCUTCD recommends that Guidance on lateral offset be relocated to Section 2A.15 Lateral Offset.</w:t>
            </w:r>
          </w:p>
        </w:tc>
      </w:tr>
      <w:tr w:rsidR="00D91F2E" w14:paraId="409E3F9B" w14:textId="77777777" w:rsidTr="0040594A">
        <w:trPr>
          <w:cantSplit/>
        </w:trPr>
        <w:tc>
          <w:tcPr>
            <w:tcW w:w="1170" w:type="dxa"/>
          </w:tcPr>
          <w:p w14:paraId="23A95FA8" w14:textId="291FB4E1" w:rsidR="00D91F2E" w:rsidRPr="00A67B2B" w:rsidRDefault="00AB6180" w:rsidP="00D91F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2A-4</w:t>
            </w:r>
          </w:p>
        </w:tc>
        <w:tc>
          <w:tcPr>
            <w:tcW w:w="1167" w:type="dxa"/>
          </w:tcPr>
          <w:p w14:paraId="33C765AE" w14:textId="2C825D3E" w:rsidR="00D91F2E" w:rsidRPr="00A67B2B" w:rsidRDefault="00AB6180" w:rsidP="00D9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394A027" w14:textId="73BA3B90" w:rsidR="00D91F2E" w:rsidRPr="00A67B2B" w:rsidRDefault="00AB6180" w:rsidP="00D9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7D0A6C5" w14:textId="4EE70CE5" w:rsidR="00D91F2E" w:rsidRPr="00A67B2B" w:rsidRDefault="00AB6180" w:rsidP="00D9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A9AD306" w14:textId="44068464" w:rsidR="00D91F2E" w:rsidRPr="00A67B2B" w:rsidRDefault="00AB6180" w:rsidP="00D91F2E">
            <w:pPr>
              <w:rPr>
                <w:rFonts w:ascii="Arial" w:hAnsi="Arial" w:cs="Arial"/>
                <w:sz w:val="20"/>
                <w:szCs w:val="20"/>
              </w:rPr>
            </w:pPr>
            <w:r w:rsidRPr="00AB6180">
              <w:rPr>
                <w:rFonts w:ascii="Arial" w:hAnsi="Arial" w:cs="Arial"/>
                <w:sz w:val="20"/>
                <w:szCs w:val="20"/>
              </w:rPr>
              <w:t>NCUTCD agrees with Table 2A-4 as presented in the NPA.</w:t>
            </w:r>
          </w:p>
        </w:tc>
      </w:tr>
      <w:tr w:rsidR="006B1AA5" w14:paraId="7A60B982" w14:textId="77777777" w:rsidTr="0040594A">
        <w:trPr>
          <w:cantSplit/>
        </w:trPr>
        <w:tc>
          <w:tcPr>
            <w:tcW w:w="1170" w:type="dxa"/>
          </w:tcPr>
          <w:p w14:paraId="502B4E2F" w14:textId="789F751C" w:rsidR="006B1AA5" w:rsidRDefault="006B1AA5" w:rsidP="006B1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2A.06</w:t>
            </w:r>
          </w:p>
        </w:tc>
        <w:tc>
          <w:tcPr>
            <w:tcW w:w="1167" w:type="dxa"/>
          </w:tcPr>
          <w:p w14:paraId="2863343F" w14:textId="17698AC0" w:rsidR="006B1AA5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0D82032" w14:textId="46FC9FA5" w:rsidR="006B1AA5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E57C054" w14:textId="64856A1C" w:rsidR="006B1AA5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77A5021" w14:textId="7471E527" w:rsidR="006B1AA5" w:rsidRPr="003167BD" w:rsidRDefault="006B1AA5" w:rsidP="006B1AA5">
            <w:pPr>
              <w:rPr>
                <w:rFonts w:ascii="Arial" w:hAnsi="Arial" w:cs="Arial"/>
                <w:sz w:val="20"/>
                <w:szCs w:val="20"/>
              </w:rPr>
            </w:pPr>
            <w:r w:rsidRPr="00066457">
              <w:rPr>
                <w:rFonts w:ascii="Arial" w:hAnsi="Arial" w:cs="Arial"/>
                <w:sz w:val="20"/>
                <w:szCs w:val="20"/>
              </w:rPr>
              <w:t xml:space="preserve">NCUTCD agrees with Section 2A.06 with minor editorial comments. except the expansion of Chapter 2L (Changeable Message Signs) has resulted in a revision of Table 2A-5 Common Uses of Sign Colors, since </w:t>
            </w:r>
            <w:r>
              <w:rPr>
                <w:rFonts w:ascii="Arial" w:hAnsi="Arial" w:cs="Arial"/>
                <w:sz w:val="20"/>
                <w:szCs w:val="20"/>
              </w:rPr>
              <w:t>not all</w:t>
            </w:r>
            <w:r w:rsidRPr="00066457">
              <w:rPr>
                <w:rFonts w:ascii="Arial" w:hAnsi="Arial" w:cs="Arial"/>
                <w:sz w:val="20"/>
                <w:szCs w:val="20"/>
              </w:rPr>
              <w:t xml:space="preserve"> changeable message signs can display all standard sign colors, and these are addressed in Chapter 2L.</w:t>
            </w:r>
          </w:p>
        </w:tc>
      </w:tr>
      <w:tr w:rsidR="006B1AA5" w14:paraId="01CE3132" w14:textId="77777777" w:rsidTr="0040594A">
        <w:trPr>
          <w:cantSplit/>
        </w:trPr>
        <w:tc>
          <w:tcPr>
            <w:tcW w:w="1170" w:type="dxa"/>
          </w:tcPr>
          <w:p w14:paraId="4BF5567D" w14:textId="55ACB73D" w:rsidR="006B1AA5" w:rsidRPr="00A67B2B" w:rsidRDefault="006B1AA5" w:rsidP="006B1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2A-5</w:t>
            </w:r>
          </w:p>
        </w:tc>
        <w:tc>
          <w:tcPr>
            <w:tcW w:w="1167" w:type="dxa"/>
          </w:tcPr>
          <w:p w14:paraId="1E03DE44" w14:textId="030AF6B7" w:rsidR="006B1AA5" w:rsidRPr="00A67B2B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5729CEA" w14:textId="56A7721E" w:rsidR="006B1AA5" w:rsidRPr="00A67B2B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8FA780D" w14:textId="70D1C61C" w:rsidR="006B1AA5" w:rsidRPr="00A67B2B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BDC69A8" w14:textId="052F241D" w:rsidR="006B1AA5" w:rsidRPr="00A67B2B" w:rsidRDefault="006B1AA5" w:rsidP="006B1AA5">
            <w:pPr>
              <w:rPr>
                <w:rFonts w:ascii="Arial" w:hAnsi="Arial" w:cs="Arial"/>
                <w:sz w:val="20"/>
                <w:szCs w:val="20"/>
              </w:rPr>
            </w:pPr>
            <w:r w:rsidRPr="003167BD">
              <w:rPr>
                <w:rFonts w:ascii="Arial" w:hAnsi="Arial" w:cs="Arial"/>
                <w:sz w:val="20"/>
                <w:szCs w:val="20"/>
              </w:rPr>
              <w:t xml:space="preserve">NCUTCD generally agrees with Table 2A-5, but the expansion of Chapter 2L (Changeable Message Signs) has resulted in a revision of the table, as </w:t>
            </w:r>
            <w:r>
              <w:rPr>
                <w:rFonts w:ascii="Arial" w:hAnsi="Arial" w:cs="Arial"/>
                <w:sz w:val="20"/>
                <w:szCs w:val="20"/>
              </w:rPr>
              <w:t>not all</w:t>
            </w:r>
            <w:r w:rsidRPr="003167BD">
              <w:rPr>
                <w:rFonts w:ascii="Arial" w:hAnsi="Arial" w:cs="Arial"/>
                <w:sz w:val="20"/>
                <w:szCs w:val="20"/>
              </w:rPr>
              <w:t xml:space="preserve"> changeable message signs can display all standard sign colors. NCUTCD recommends deleting the bottom portion of the table subtitled “Changeable Message Signs” in accordance with NCUTCD recommendation 20B-RW-03, as part of changes made with the new Section 2L.04 on Dynamic Electronic Signs called “Design Characteristics of Messages” (to be submitted with NCUTCD comments on Chapter 2L).</w:t>
            </w:r>
          </w:p>
        </w:tc>
      </w:tr>
      <w:tr w:rsidR="006B1AA5" w14:paraId="51424239" w14:textId="77777777" w:rsidTr="0040594A">
        <w:trPr>
          <w:cantSplit/>
        </w:trPr>
        <w:tc>
          <w:tcPr>
            <w:tcW w:w="1170" w:type="dxa"/>
          </w:tcPr>
          <w:p w14:paraId="0387800E" w14:textId="6A9BA3A5" w:rsidR="006B1AA5" w:rsidRPr="00A67B2B" w:rsidRDefault="006B1AA5" w:rsidP="006B1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2A.07</w:t>
            </w:r>
          </w:p>
        </w:tc>
        <w:tc>
          <w:tcPr>
            <w:tcW w:w="1167" w:type="dxa"/>
          </w:tcPr>
          <w:p w14:paraId="004853D5" w14:textId="4AA32E87" w:rsidR="006B1AA5" w:rsidRPr="00A67B2B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1C4D570" w14:textId="713CBDEB" w:rsidR="006B1AA5" w:rsidRPr="00A67B2B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73D1955" w14:textId="424EC826" w:rsidR="006B1AA5" w:rsidRPr="00A67B2B" w:rsidRDefault="006B1AA5" w:rsidP="006B1A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E01AC77" w14:textId="4FBA3F59" w:rsidR="006B1AA5" w:rsidRPr="00A67B2B" w:rsidRDefault="006B1AA5" w:rsidP="006B1AA5">
            <w:pPr>
              <w:rPr>
                <w:rFonts w:ascii="Arial" w:hAnsi="Arial" w:cs="Arial"/>
                <w:sz w:val="20"/>
                <w:szCs w:val="20"/>
              </w:rPr>
            </w:pPr>
            <w:r w:rsidRPr="00066457">
              <w:rPr>
                <w:rFonts w:ascii="Arial" w:hAnsi="Arial" w:cs="Arial"/>
                <w:sz w:val="20"/>
                <w:szCs w:val="20"/>
              </w:rPr>
              <w:t>NCUTCD generally agrees with 2A.07 as presented, except to add Stop and Yield sign sizes when a site roadway intersects a street or highway, to be consistent with NCUTCD recommendation 15A-RW-01. See NCUTCD comments on Chapter 2B for comments on Table 2B-1.</w:t>
            </w:r>
          </w:p>
        </w:tc>
      </w:tr>
      <w:tr w:rsidR="008B1530" w14:paraId="6163F5E4" w14:textId="77777777" w:rsidTr="0040594A">
        <w:trPr>
          <w:cantSplit/>
        </w:trPr>
        <w:tc>
          <w:tcPr>
            <w:tcW w:w="1170" w:type="dxa"/>
          </w:tcPr>
          <w:p w14:paraId="2D4C2CE1" w14:textId="34757DB4" w:rsidR="008B1530" w:rsidRPr="00A67B2B" w:rsidRDefault="008B1530" w:rsidP="008B15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2A.08</w:t>
            </w:r>
          </w:p>
        </w:tc>
        <w:tc>
          <w:tcPr>
            <w:tcW w:w="1167" w:type="dxa"/>
          </w:tcPr>
          <w:p w14:paraId="5E627FA4" w14:textId="00113F31" w:rsidR="008B1530" w:rsidRPr="00A67B2B" w:rsidRDefault="008B1530" w:rsidP="008B15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3C7907F" w14:textId="30B1E416" w:rsidR="008B1530" w:rsidRPr="00A67B2B" w:rsidRDefault="008B1530" w:rsidP="008B15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9FF0A6B" w14:textId="3387FD0E" w:rsidR="008B1530" w:rsidRPr="00A67B2B" w:rsidRDefault="008B1530" w:rsidP="008B15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8E3AA9B" w14:textId="77777777" w:rsidR="008B1530" w:rsidRPr="008B1530" w:rsidRDefault="008B1530" w:rsidP="008B1530">
            <w:pPr>
              <w:rPr>
                <w:rFonts w:ascii="Arial" w:hAnsi="Arial" w:cs="Arial"/>
                <w:sz w:val="20"/>
                <w:szCs w:val="20"/>
              </w:rPr>
            </w:pPr>
            <w:r w:rsidRPr="008B1530">
              <w:rPr>
                <w:rFonts w:ascii="Arial" w:hAnsi="Arial" w:cs="Arial"/>
                <w:sz w:val="20"/>
                <w:szCs w:val="20"/>
              </w:rPr>
              <w:t>NCUTCD agrees with Section 2A.08 except as follows:</w:t>
            </w:r>
          </w:p>
          <w:p w14:paraId="0114EC55" w14:textId="77777777" w:rsidR="008B1530" w:rsidRPr="008B1530" w:rsidRDefault="008B1530" w:rsidP="008B15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B1530">
              <w:rPr>
                <w:rFonts w:ascii="Arial" w:hAnsi="Arial" w:cs="Arial"/>
                <w:sz w:val="20"/>
                <w:szCs w:val="20"/>
              </w:rPr>
              <w:t>The Standard Highway Signs publication needs to be consistently titled appropriately</w:t>
            </w:r>
          </w:p>
          <w:p w14:paraId="1ABB1B33" w14:textId="77777777" w:rsidR="008B1530" w:rsidRPr="008B1530" w:rsidRDefault="008B1530" w:rsidP="008B15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B1530">
              <w:rPr>
                <w:rFonts w:ascii="Arial" w:hAnsi="Arial" w:cs="Arial"/>
                <w:sz w:val="20"/>
                <w:szCs w:val="20"/>
              </w:rPr>
              <w:t>Retain parenthetical definition of “solidus”</w:t>
            </w:r>
          </w:p>
          <w:p w14:paraId="170F2E5A" w14:textId="77777777" w:rsidR="008B1530" w:rsidRPr="008B1530" w:rsidRDefault="008B1530" w:rsidP="008B15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B1530">
              <w:rPr>
                <w:rFonts w:ascii="Arial" w:hAnsi="Arial" w:cs="Arial"/>
                <w:sz w:val="20"/>
                <w:szCs w:val="20"/>
              </w:rPr>
              <w:t>Delete support information that is more appropriate to include this information the Standard Highway Signs publication</w:t>
            </w:r>
          </w:p>
          <w:p w14:paraId="683F59C6" w14:textId="3C71E1DD" w:rsidR="008B1530" w:rsidRPr="008B1530" w:rsidRDefault="008B1530" w:rsidP="008B15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B1530">
              <w:rPr>
                <w:rFonts w:ascii="Arial" w:hAnsi="Arial" w:cs="Arial"/>
                <w:sz w:val="20"/>
                <w:szCs w:val="20"/>
              </w:rPr>
              <w:t>Add reference to Section 2E.12 regarding Series E Modified alphabets</w:t>
            </w:r>
          </w:p>
        </w:tc>
      </w:tr>
      <w:tr w:rsidR="005B2D2B" w14:paraId="0BE745EF" w14:textId="77777777" w:rsidTr="0040594A">
        <w:trPr>
          <w:cantSplit/>
        </w:trPr>
        <w:tc>
          <w:tcPr>
            <w:tcW w:w="1170" w:type="dxa"/>
          </w:tcPr>
          <w:p w14:paraId="00070D46" w14:textId="0A6C3233" w:rsidR="005B2D2B" w:rsidRPr="00A67B2B" w:rsidRDefault="005B2D2B" w:rsidP="005B2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2A.09</w:t>
            </w:r>
          </w:p>
        </w:tc>
        <w:tc>
          <w:tcPr>
            <w:tcW w:w="1167" w:type="dxa"/>
          </w:tcPr>
          <w:p w14:paraId="2994DA9F" w14:textId="00FBE4F7" w:rsidR="005B2D2B" w:rsidRPr="00A67B2B" w:rsidRDefault="005B2D2B" w:rsidP="005B2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E93D556" w14:textId="5A8B7BB2" w:rsidR="005B2D2B" w:rsidRPr="00A67B2B" w:rsidRDefault="005B2D2B" w:rsidP="005B2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86C27F9" w14:textId="34153CB3" w:rsidR="005B2D2B" w:rsidRPr="00A67B2B" w:rsidRDefault="005B2D2B" w:rsidP="005B2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8464C3C" w14:textId="431A689E" w:rsidR="005B2D2B" w:rsidRPr="00A67B2B" w:rsidRDefault="005B2D2B" w:rsidP="005B2D2B">
            <w:pPr>
              <w:rPr>
                <w:rFonts w:ascii="Arial" w:hAnsi="Arial" w:cs="Arial"/>
                <w:sz w:val="20"/>
                <w:szCs w:val="20"/>
              </w:rPr>
            </w:pPr>
            <w:r w:rsidRPr="005B2D2B">
              <w:rPr>
                <w:rFonts w:ascii="Arial" w:hAnsi="Arial" w:cs="Arial"/>
                <w:sz w:val="20"/>
                <w:szCs w:val="20"/>
              </w:rPr>
              <w:t xml:space="preserve">NCUTCD generally </w:t>
            </w:r>
            <w:r w:rsidR="003C1008">
              <w:rPr>
                <w:rFonts w:ascii="Arial" w:hAnsi="Arial" w:cs="Arial"/>
                <w:sz w:val="20"/>
                <w:szCs w:val="20"/>
              </w:rPr>
              <w:t>agree</w:t>
            </w:r>
            <w:r w:rsidRPr="005B2D2B">
              <w:rPr>
                <w:rFonts w:ascii="Arial" w:hAnsi="Arial" w:cs="Arial"/>
                <w:sz w:val="20"/>
                <w:szCs w:val="20"/>
              </w:rPr>
              <w:t>s with Section 2A.09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B2D2B">
              <w:rPr>
                <w:rFonts w:ascii="Arial" w:hAnsi="Arial" w:cs="Arial"/>
                <w:sz w:val="20"/>
                <w:szCs w:val="20"/>
              </w:rPr>
              <w:t xml:space="preserve"> except we recommend changing the usage of recreational and cultural interest symbols only within a recreational and cultural area from a Standard to Guidance, since usage outside the area is addressed in Chapter 2M. The connection to the recreational or cultural area may be a highway intersection where drivers might benefit from use of these symbols on highway directional signing. Also, presently snowmobiles and ATVs are prevalent outside recreational areas and the use of a common symbol is preferred.</w:t>
            </w:r>
          </w:p>
        </w:tc>
      </w:tr>
      <w:tr w:rsidR="005B2D2B" w14:paraId="7ABFEF87" w14:textId="77777777" w:rsidTr="0040594A">
        <w:trPr>
          <w:cantSplit/>
        </w:trPr>
        <w:tc>
          <w:tcPr>
            <w:tcW w:w="1170" w:type="dxa"/>
          </w:tcPr>
          <w:p w14:paraId="13A1C4D2" w14:textId="4E4E06B0" w:rsidR="005B2D2B" w:rsidRPr="00A67B2B" w:rsidRDefault="003C1008" w:rsidP="005B2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2A.10</w:t>
            </w:r>
          </w:p>
        </w:tc>
        <w:tc>
          <w:tcPr>
            <w:tcW w:w="1167" w:type="dxa"/>
          </w:tcPr>
          <w:p w14:paraId="40085593" w14:textId="74325AAB" w:rsidR="005B2D2B" w:rsidRPr="00A67B2B" w:rsidRDefault="003C1008" w:rsidP="005B2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AC7C577" w14:textId="736F7795" w:rsidR="005B2D2B" w:rsidRPr="00A67B2B" w:rsidRDefault="003C1008" w:rsidP="005B2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CEF30A2" w14:textId="3F5A9DE3" w:rsidR="005B2D2B" w:rsidRPr="00A67B2B" w:rsidRDefault="003C1008" w:rsidP="005B2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F299ED9" w14:textId="38C101FB" w:rsidR="005B2D2B" w:rsidRPr="00A67B2B" w:rsidRDefault="003C1008" w:rsidP="005B2D2B">
            <w:pPr>
              <w:tabs>
                <w:tab w:val="left" w:pos="3634"/>
              </w:tabs>
              <w:rPr>
                <w:rFonts w:ascii="Arial" w:hAnsi="Arial" w:cs="Arial"/>
                <w:sz w:val="20"/>
                <w:szCs w:val="20"/>
              </w:rPr>
            </w:pPr>
            <w:r w:rsidRPr="003C1008">
              <w:rPr>
                <w:rFonts w:ascii="Arial" w:hAnsi="Arial" w:cs="Arial"/>
                <w:sz w:val="20"/>
                <w:szCs w:val="20"/>
              </w:rPr>
              <w:t>NCUTCD agrees with 2A.10 as presented in the NPA.</w:t>
            </w:r>
            <w:r w:rsidR="005B2D2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92192" w14:paraId="7165C651" w14:textId="77777777" w:rsidTr="0040594A">
        <w:trPr>
          <w:cantSplit/>
        </w:trPr>
        <w:tc>
          <w:tcPr>
            <w:tcW w:w="1170" w:type="dxa"/>
          </w:tcPr>
          <w:p w14:paraId="07196FAC" w14:textId="28856645" w:rsidR="00F92192" w:rsidRPr="00A67B2B" w:rsidRDefault="00F92192" w:rsidP="00F92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2A.11</w:t>
            </w:r>
          </w:p>
        </w:tc>
        <w:tc>
          <w:tcPr>
            <w:tcW w:w="1167" w:type="dxa"/>
          </w:tcPr>
          <w:p w14:paraId="75DDC6AA" w14:textId="659B72C8" w:rsidR="00F92192" w:rsidRPr="00A67B2B" w:rsidRDefault="00F92192" w:rsidP="00F92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81B55E7" w14:textId="178F61D0" w:rsidR="00F92192" w:rsidRPr="00A67B2B" w:rsidRDefault="00F92192" w:rsidP="00F92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BBB595C" w14:textId="72A82567" w:rsidR="00F92192" w:rsidRPr="00A67B2B" w:rsidRDefault="00F92192" w:rsidP="00F921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5FDB1D" w14:textId="6CA9724B" w:rsidR="00F92192" w:rsidRPr="00A67B2B" w:rsidRDefault="00F92192" w:rsidP="00F92192">
            <w:pPr>
              <w:rPr>
                <w:rFonts w:ascii="Arial" w:hAnsi="Arial" w:cs="Arial"/>
                <w:sz w:val="20"/>
                <w:szCs w:val="20"/>
              </w:rPr>
            </w:pPr>
            <w:r w:rsidRPr="00F92192">
              <w:rPr>
                <w:rFonts w:ascii="Arial" w:hAnsi="Arial" w:cs="Arial"/>
                <w:sz w:val="20"/>
                <w:szCs w:val="20"/>
              </w:rPr>
              <w:t>NCUTCD generally agrees with 2A.11, except the text regarding retroreflective material on a sign support be revised from a Standard to a Guidance condition.</w:t>
            </w:r>
          </w:p>
        </w:tc>
      </w:tr>
      <w:tr w:rsidR="001F74BA" w14:paraId="2899C70F" w14:textId="77777777" w:rsidTr="0040594A">
        <w:trPr>
          <w:cantSplit/>
        </w:trPr>
        <w:tc>
          <w:tcPr>
            <w:tcW w:w="1170" w:type="dxa"/>
          </w:tcPr>
          <w:p w14:paraId="1E1A74D1" w14:textId="113B6964" w:rsidR="001F74BA" w:rsidRPr="00A67B2B" w:rsidRDefault="001F74BA" w:rsidP="001F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2A-1</w:t>
            </w:r>
          </w:p>
        </w:tc>
        <w:tc>
          <w:tcPr>
            <w:tcW w:w="1167" w:type="dxa"/>
          </w:tcPr>
          <w:p w14:paraId="78003F34" w14:textId="6A726088" w:rsidR="001F74BA" w:rsidRPr="00A67B2B" w:rsidRDefault="001F74BA" w:rsidP="001F74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C85A075" w14:textId="40EE395E" w:rsidR="001F74BA" w:rsidRPr="00A67B2B" w:rsidRDefault="001F74BA" w:rsidP="001F74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D697800" w14:textId="0E1B9D93" w:rsidR="001F74BA" w:rsidRPr="00A67B2B" w:rsidRDefault="001F74BA" w:rsidP="001F74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22D8D7E" w14:textId="2C659F8E" w:rsidR="001F74BA" w:rsidRPr="00A67B2B" w:rsidRDefault="001F74BA" w:rsidP="001F74BA">
            <w:pPr>
              <w:rPr>
                <w:rFonts w:ascii="Arial" w:hAnsi="Arial" w:cs="Arial"/>
                <w:sz w:val="20"/>
                <w:szCs w:val="20"/>
              </w:rPr>
            </w:pPr>
            <w:r w:rsidRPr="001F74BA">
              <w:rPr>
                <w:rFonts w:ascii="Arial" w:hAnsi="Arial" w:cs="Arial"/>
                <w:sz w:val="20"/>
                <w:szCs w:val="20"/>
              </w:rPr>
              <w:t>NCUTCD generally agrees with Figure 2A-1, but recommends the figure be modified to include a School Warning sign with LEDs in the border and reordering of items in the figure.</w:t>
            </w:r>
          </w:p>
        </w:tc>
      </w:tr>
      <w:tr w:rsidR="00D82DF2" w14:paraId="41201A18" w14:textId="77777777" w:rsidTr="0040594A">
        <w:trPr>
          <w:cantSplit/>
        </w:trPr>
        <w:tc>
          <w:tcPr>
            <w:tcW w:w="1170" w:type="dxa"/>
          </w:tcPr>
          <w:p w14:paraId="0CC663F4" w14:textId="221997F9" w:rsidR="00D82DF2" w:rsidRPr="00A67B2B" w:rsidRDefault="00D82DF2" w:rsidP="00D82D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2A.12</w:t>
            </w:r>
          </w:p>
        </w:tc>
        <w:tc>
          <w:tcPr>
            <w:tcW w:w="1167" w:type="dxa"/>
          </w:tcPr>
          <w:p w14:paraId="31F53C51" w14:textId="2EED7D7C" w:rsidR="00D82DF2" w:rsidRPr="00A67B2B" w:rsidRDefault="00D82DF2" w:rsidP="00D8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817BD81" w14:textId="67F3C5D3" w:rsidR="00D82DF2" w:rsidRPr="00A67B2B" w:rsidRDefault="00D82DF2" w:rsidP="00D8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1CDBBAE" w14:textId="0DF9304F" w:rsidR="00D82DF2" w:rsidRPr="00A67B2B" w:rsidRDefault="00D82DF2" w:rsidP="00D8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CA5D66E" w14:textId="4B23ED7E" w:rsidR="00D82DF2" w:rsidRPr="00A67B2B" w:rsidRDefault="00D82DF2" w:rsidP="00D82DF2">
            <w:pPr>
              <w:rPr>
                <w:rFonts w:ascii="Arial" w:hAnsi="Arial" w:cs="Arial"/>
                <w:sz w:val="20"/>
                <w:szCs w:val="20"/>
              </w:rPr>
            </w:pPr>
            <w:r w:rsidRPr="00D82DF2">
              <w:rPr>
                <w:rFonts w:ascii="Arial" w:hAnsi="Arial" w:cs="Arial"/>
                <w:sz w:val="20"/>
                <w:szCs w:val="20"/>
              </w:rPr>
              <w:t>NCUTCD generally agrees with 2A.12, except for some editorial changes regarding figure references and reference to the Emergency Stopping Only sign rather than “for passing only.”</w:t>
            </w:r>
          </w:p>
        </w:tc>
      </w:tr>
      <w:tr w:rsidR="002E241D" w14:paraId="2890F698" w14:textId="77777777" w:rsidTr="0040594A">
        <w:trPr>
          <w:cantSplit/>
        </w:trPr>
        <w:tc>
          <w:tcPr>
            <w:tcW w:w="1170" w:type="dxa"/>
          </w:tcPr>
          <w:p w14:paraId="205B9464" w14:textId="68C6916C" w:rsidR="002E241D" w:rsidRPr="00A67B2B" w:rsidRDefault="002E241D" w:rsidP="002E2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2A-2</w:t>
            </w:r>
          </w:p>
        </w:tc>
        <w:tc>
          <w:tcPr>
            <w:tcW w:w="1167" w:type="dxa"/>
          </w:tcPr>
          <w:p w14:paraId="74588D94" w14:textId="4285ED8E" w:rsidR="002E241D" w:rsidRPr="00A67B2B" w:rsidRDefault="002E241D" w:rsidP="002E2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43C4B06" w14:textId="26F730D6" w:rsidR="002E241D" w:rsidRPr="00A67B2B" w:rsidRDefault="002E241D" w:rsidP="002E2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816DA28" w14:textId="741949D2" w:rsidR="002E241D" w:rsidRPr="00A67B2B" w:rsidRDefault="002E241D" w:rsidP="002E24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FBBF41E" w14:textId="22E3BEE7" w:rsidR="002E241D" w:rsidRPr="00A67B2B" w:rsidRDefault="002E241D" w:rsidP="002E241D">
            <w:pPr>
              <w:rPr>
                <w:rFonts w:ascii="Arial" w:hAnsi="Arial" w:cs="Arial"/>
                <w:sz w:val="20"/>
                <w:szCs w:val="20"/>
              </w:rPr>
            </w:pPr>
            <w:r w:rsidRPr="002E241D">
              <w:rPr>
                <w:rFonts w:ascii="Arial" w:hAnsi="Arial" w:cs="Arial"/>
                <w:sz w:val="20"/>
                <w:szCs w:val="20"/>
              </w:rPr>
              <w:t>NCUTCD agrees with Figure 2A-2 as presented in the NPA.</w:t>
            </w:r>
          </w:p>
        </w:tc>
      </w:tr>
      <w:tr w:rsidR="00B1308E" w14:paraId="63C42D39" w14:textId="77777777" w:rsidTr="0040594A">
        <w:trPr>
          <w:cantSplit/>
        </w:trPr>
        <w:tc>
          <w:tcPr>
            <w:tcW w:w="1170" w:type="dxa"/>
          </w:tcPr>
          <w:p w14:paraId="6CE0BA09" w14:textId="6B9EC446" w:rsidR="00B1308E" w:rsidRPr="00A67B2B" w:rsidRDefault="00B1308E" w:rsidP="00B13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2A-3</w:t>
            </w:r>
          </w:p>
        </w:tc>
        <w:tc>
          <w:tcPr>
            <w:tcW w:w="1167" w:type="dxa"/>
          </w:tcPr>
          <w:p w14:paraId="044DD84B" w14:textId="5AD758DE" w:rsidR="00B1308E" w:rsidRPr="00A67B2B" w:rsidRDefault="00B1308E" w:rsidP="00B130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96F73D0" w14:textId="1279137E" w:rsidR="00B1308E" w:rsidRPr="00A67B2B" w:rsidRDefault="00B1308E" w:rsidP="00B130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3BABFBE" w14:textId="49ED9041" w:rsidR="00B1308E" w:rsidRPr="00A67B2B" w:rsidRDefault="00B1308E" w:rsidP="00B130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E5A92F3" w14:textId="5D1C791F" w:rsidR="00B1308E" w:rsidRPr="00A67B2B" w:rsidRDefault="00B1308E" w:rsidP="00B1308E">
            <w:pPr>
              <w:rPr>
                <w:rFonts w:ascii="Arial" w:hAnsi="Arial" w:cs="Arial"/>
                <w:sz w:val="20"/>
                <w:szCs w:val="20"/>
              </w:rPr>
            </w:pPr>
            <w:r w:rsidRPr="002E241D">
              <w:rPr>
                <w:rFonts w:ascii="Arial" w:hAnsi="Arial" w:cs="Arial"/>
                <w:sz w:val="20"/>
                <w:szCs w:val="20"/>
              </w:rPr>
              <w:t>NCUTCD agrees with Figure 2A-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2E241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7A02F0" w14:paraId="6D661100" w14:textId="77777777" w:rsidTr="0040594A">
        <w:trPr>
          <w:cantSplit/>
        </w:trPr>
        <w:tc>
          <w:tcPr>
            <w:tcW w:w="1170" w:type="dxa"/>
          </w:tcPr>
          <w:p w14:paraId="5D1025C6" w14:textId="2A8B7479" w:rsidR="007A02F0" w:rsidRPr="00A67B2B" w:rsidRDefault="007A02F0" w:rsidP="007A02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2A-4</w:t>
            </w:r>
          </w:p>
        </w:tc>
        <w:tc>
          <w:tcPr>
            <w:tcW w:w="1167" w:type="dxa"/>
          </w:tcPr>
          <w:p w14:paraId="4F85FD5D" w14:textId="5B6F9B7A" w:rsidR="007A02F0" w:rsidRPr="00A67B2B" w:rsidRDefault="007A02F0" w:rsidP="007A02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255A9DB" w14:textId="692D872F" w:rsidR="007A02F0" w:rsidRPr="00A67B2B" w:rsidRDefault="007A02F0" w:rsidP="007A02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B6224EE" w14:textId="5565B3B9" w:rsidR="007A02F0" w:rsidRPr="00A67B2B" w:rsidRDefault="007A02F0" w:rsidP="007A02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4120BC4" w14:textId="77777777" w:rsidR="007A02F0" w:rsidRDefault="007A02F0" w:rsidP="007A02F0">
            <w:pPr>
              <w:rPr>
                <w:rFonts w:ascii="Arial" w:hAnsi="Arial" w:cs="Arial"/>
                <w:sz w:val="20"/>
                <w:szCs w:val="20"/>
              </w:rPr>
            </w:pPr>
            <w:r w:rsidRPr="002E241D">
              <w:rPr>
                <w:rFonts w:ascii="Arial" w:hAnsi="Arial" w:cs="Arial"/>
                <w:sz w:val="20"/>
                <w:szCs w:val="20"/>
              </w:rPr>
              <w:t xml:space="preserve">NCUTCD </w:t>
            </w:r>
            <w:r>
              <w:rPr>
                <w:rFonts w:ascii="Arial" w:hAnsi="Arial" w:cs="Arial"/>
                <w:sz w:val="20"/>
                <w:szCs w:val="20"/>
              </w:rPr>
              <w:t xml:space="preserve">generally </w:t>
            </w:r>
            <w:r w:rsidRPr="002E241D">
              <w:rPr>
                <w:rFonts w:ascii="Arial" w:hAnsi="Arial" w:cs="Arial"/>
                <w:sz w:val="20"/>
                <w:szCs w:val="20"/>
              </w:rPr>
              <w:t>agrees with Figure 2A-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E241D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>
              <w:rPr>
                <w:rFonts w:ascii="Arial" w:hAnsi="Arial" w:cs="Arial"/>
                <w:sz w:val="20"/>
                <w:szCs w:val="20"/>
              </w:rPr>
              <w:t>, with the following suggested changes:</w:t>
            </w:r>
          </w:p>
          <w:p w14:paraId="3B87247D" w14:textId="77777777" w:rsidR="007A02F0" w:rsidRDefault="007A02F0" w:rsidP="007A02F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Sheet 2:</w:t>
            </w:r>
          </w:p>
          <w:p w14:paraId="518A244E" w14:textId="468E98B6" w:rsidR="007A02F0" w:rsidRDefault="007A02F0" w:rsidP="007A02F0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the sign schedule, W16-6P should be W16-8P</w:t>
            </w:r>
          </w:p>
          <w:p w14:paraId="53C365BB" w14:textId="77777777" w:rsidR="007A02F0" w:rsidRDefault="007A02F0" w:rsidP="007A02F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Sheet 3:</w:t>
            </w:r>
          </w:p>
          <w:p w14:paraId="21270B10" w14:textId="38AA628A" w:rsidR="007A02F0" w:rsidRDefault="007A02F0" w:rsidP="007A02F0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7A02F0">
              <w:rPr>
                <w:rFonts w:ascii="Arial" w:hAnsi="Arial" w:cs="Arial"/>
                <w:sz w:val="20"/>
                <w:szCs w:val="20"/>
              </w:rPr>
              <w:t>Change the arrows in the Maple St sign in the alternate signing at overhead location detail above to be left turn arrows, not down arrows.</w:t>
            </w:r>
          </w:p>
          <w:p w14:paraId="4F2F874A" w14:textId="00A90DE6" w:rsidR="007A02F0" w:rsidRPr="007A02F0" w:rsidRDefault="007A02F0" w:rsidP="007A02F0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the sign schedule, W16-6P should be W16-8P</w:t>
            </w:r>
          </w:p>
        </w:tc>
      </w:tr>
      <w:tr w:rsidR="007A02F0" w14:paraId="1D4B0D8D" w14:textId="77777777" w:rsidTr="0040594A">
        <w:trPr>
          <w:cantSplit/>
        </w:trPr>
        <w:tc>
          <w:tcPr>
            <w:tcW w:w="1170" w:type="dxa"/>
          </w:tcPr>
          <w:p w14:paraId="0604D7DD" w14:textId="4F39164C" w:rsidR="007A02F0" w:rsidRPr="00A67B2B" w:rsidRDefault="007A02F0" w:rsidP="007A02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2A.13</w:t>
            </w:r>
          </w:p>
        </w:tc>
        <w:tc>
          <w:tcPr>
            <w:tcW w:w="1167" w:type="dxa"/>
          </w:tcPr>
          <w:p w14:paraId="02D9F1B6" w14:textId="072873A2" w:rsidR="007A02F0" w:rsidRPr="00A67B2B" w:rsidRDefault="007A02F0" w:rsidP="007A02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E1A7DF9" w14:textId="35E8B80A" w:rsidR="007A02F0" w:rsidRPr="00A67B2B" w:rsidRDefault="007A02F0" w:rsidP="007A02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95FB5C4" w14:textId="3BE91539" w:rsidR="007A02F0" w:rsidRPr="00A67B2B" w:rsidRDefault="007A02F0" w:rsidP="007A02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7CCF7CB" w14:textId="545BC2B7" w:rsidR="007A02F0" w:rsidRPr="00A67B2B" w:rsidRDefault="007A02F0" w:rsidP="007A02F0">
            <w:pPr>
              <w:rPr>
                <w:rFonts w:ascii="Arial" w:hAnsi="Arial" w:cs="Arial"/>
                <w:sz w:val="20"/>
                <w:szCs w:val="20"/>
              </w:rPr>
            </w:pPr>
            <w:r w:rsidRPr="007A02F0">
              <w:rPr>
                <w:rFonts w:ascii="Arial" w:hAnsi="Arial" w:cs="Arial"/>
                <w:sz w:val="20"/>
                <w:szCs w:val="20"/>
              </w:rPr>
              <w:t>NCUTCD agrees with 2A.13 as presented in the NPA.</w:t>
            </w:r>
          </w:p>
        </w:tc>
      </w:tr>
      <w:tr w:rsidR="00182505" w14:paraId="093227B3" w14:textId="77777777" w:rsidTr="0040594A">
        <w:trPr>
          <w:cantSplit/>
        </w:trPr>
        <w:tc>
          <w:tcPr>
            <w:tcW w:w="1170" w:type="dxa"/>
          </w:tcPr>
          <w:p w14:paraId="7B93D19D" w14:textId="65F05B0A" w:rsidR="00182505" w:rsidRPr="00A67B2B" w:rsidRDefault="00182505" w:rsidP="00182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2A.14</w:t>
            </w:r>
          </w:p>
        </w:tc>
        <w:tc>
          <w:tcPr>
            <w:tcW w:w="1167" w:type="dxa"/>
          </w:tcPr>
          <w:p w14:paraId="70DD5F8E" w14:textId="63D4353E" w:rsidR="00182505" w:rsidRPr="00A67B2B" w:rsidRDefault="00182505" w:rsidP="001825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7A7BD99" w14:textId="5F0B673C" w:rsidR="00182505" w:rsidRPr="00A67B2B" w:rsidRDefault="00182505" w:rsidP="001825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9218FE3" w14:textId="53844F39" w:rsidR="00182505" w:rsidRPr="00A67B2B" w:rsidRDefault="00182505" w:rsidP="001825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799FAAB" w14:textId="151201AC" w:rsidR="00182505" w:rsidRPr="00A67B2B" w:rsidRDefault="00182505" w:rsidP="00182505">
            <w:pPr>
              <w:rPr>
                <w:rFonts w:ascii="Arial" w:hAnsi="Arial" w:cs="Arial"/>
                <w:sz w:val="20"/>
                <w:szCs w:val="20"/>
              </w:rPr>
            </w:pPr>
            <w:r w:rsidRPr="00182505">
              <w:rPr>
                <w:rFonts w:ascii="Arial" w:hAnsi="Arial" w:cs="Arial"/>
                <w:sz w:val="20"/>
                <w:szCs w:val="20"/>
              </w:rPr>
              <w:t>NCUTCD recommends changes in 2A.14 in accordance with NCUTCD recommendation 20B-RW-01 to accommodate large guide signs on cut slopes.</w:t>
            </w:r>
          </w:p>
        </w:tc>
      </w:tr>
      <w:tr w:rsidR="00DB1A9C" w14:paraId="2CC8F259" w14:textId="77777777" w:rsidTr="0040594A">
        <w:trPr>
          <w:cantSplit/>
        </w:trPr>
        <w:tc>
          <w:tcPr>
            <w:tcW w:w="1170" w:type="dxa"/>
          </w:tcPr>
          <w:p w14:paraId="3B070883" w14:textId="7A7A2E75" w:rsidR="00DB1A9C" w:rsidRPr="00A67B2B" w:rsidRDefault="00DB1A9C" w:rsidP="00DB1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2A.15</w:t>
            </w:r>
          </w:p>
        </w:tc>
        <w:tc>
          <w:tcPr>
            <w:tcW w:w="1167" w:type="dxa"/>
          </w:tcPr>
          <w:p w14:paraId="17DE63CE" w14:textId="3A36306F" w:rsidR="00DB1A9C" w:rsidRPr="00A67B2B" w:rsidRDefault="00DB1A9C" w:rsidP="00DB1A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9A7A3FC" w14:textId="4BECE75E" w:rsidR="00DB1A9C" w:rsidRPr="00A67B2B" w:rsidRDefault="00DB1A9C" w:rsidP="00DB1A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F4AE5B2" w14:textId="5A74E135" w:rsidR="00DB1A9C" w:rsidRPr="00A67B2B" w:rsidRDefault="00DB1A9C" w:rsidP="00DB1A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51FD415" w14:textId="77777777" w:rsidR="00DB1A9C" w:rsidRPr="00DB1A9C" w:rsidRDefault="00DB1A9C" w:rsidP="00DB1A9C">
            <w:p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NCUTCD generally agrees with 2A.15 as presented in the NPA, except for the following:</w:t>
            </w:r>
          </w:p>
          <w:p w14:paraId="11182903" w14:textId="245FAEF6" w:rsidR="00DB1A9C" w:rsidRPr="00DB1A9C" w:rsidRDefault="00DB1A9C" w:rsidP="00DB1A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Relocate crashworthiness information to a new Section 1D.13 (see NCUTCD docket comment on Chapter 1D)</w:t>
            </w:r>
          </w:p>
          <w:p w14:paraId="66EA0379" w14:textId="6E367073" w:rsidR="00DB1A9C" w:rsidRPr="00DB1A9C" w:rsidRDefault="00DB1A9C" w:rsidP="00DB1A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Clarify sign support location to account for barrier deflection in accordance with NCUTCD recommendation 20B-RW-01</w:t>
            </w:r>
          </w:p>
          <w:p w14:paraId="3A941951" w14:textId="3984CF22" w:rsidR="00DB1A9C" w:rsidRPr="00DB1A9C" w:rsidRDefault="00DB1A9C" w:rsidP="00DB1A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Address sign angle per Section 2A.05</w:t>
            </w:r>
          </w:p>
          <w:p w14:paraId="5E9C0287" w14:textId="370B1FCC" w:rsidR="00DB1A9C" w:rsidRPr="00DB1A9C" w:rsidRDefault="00DB1A9C" w:rsidP="00DB1A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Include text relocated from Section 2A.05</w:t>
            </w:r>
          </w:p>
          <w:p w14:paraId="375AADC3" w14:textId="40CFA3C9" w:rsidR="00DB1A9C" w:rsidRPr="00DB1A9C" w:rsidRDefault="00DB1A9C" w:rsidP="00DB1A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Address vertical clearance of signs overhanging travel lanes</w:t>
            </w:r>
          </w:p>
        </w:tc>
      </w:tr>
      <w:tr w:rsidR="00DB1A9C" w14:paraId="17B1B5B8" w14:textId="77777777" w:rsidTr="0040594A">
        <w:trPr>
          <w:cantSplit/>
        </w:trPr>
        <w:tc>
          <w:tcPr>
            <w:tcW w:w="1170" w:type="dxa"/>
          </w:tcPr>
          <w:p w14:paraId="2E8C3A10" w14:textId="36A4BF05" w:rsidR="00DB1A9C" w:rsidRPr="00A67B2B" w:rsidRDefault="00DB1A9C" w:rsidP="00DB1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2A.16</w:t>
            </w:r>
          </w:p>
        </w:tc>
        <w:tc>
          <w:tcPr>
            <w:tcW w:w="1167" w:type="dxa"/>
          </w:tcPr>
          <w:p w14:paraId="549C32B5" w14:textId="080804C9" w:rsidR="00DB1A9C" w:rsidRPr="00A67B2B" w:rsidRDefault="00DB1A9C" w:rsidP="00DB1A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7521AC1" w14:textId="36AC53C2" w:rsidR="00DB1A9C" w:rsidRPr="00A67B2B" w:rsidRDefault="00DB1A9C" w:rsidP="00DB1A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3D91F26" w14:textId="0C1610EC" w:rsidR="00DB1A9C" w:rsidRPr="00A67B2B" w:rsidRDefault="00DB1A9C" w:rsidP="00DB1A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B8CE81E" w14:textId="2D7A03CE" w:rsidR="00DB1A9C" w:rsidRPr="00A67B2B" w:rsidRDefault="00DB1A9C" w:rsidP="00DB1A9C">
            <w:pPr>
              <w:rPr>
                <w:rFonts w:ascii="Arial" w:hAnsi="Arial" w:cs="Arial"/>
                <w:sz w:val="20"/>
                <w:szCs w:val="20"/>
              </w:rPr>
            </w:pPr>
            <w:r w:rsidRPr="00DB1A9C">
              <w:rPr>
                <w:rFonts w:ascii="Arial" w:hAnsi="Arial" w:cs="Arial"/>
                <w:sz w:val="20"/>
                <w:szCs w:val="20"/>
              </w:rPr>
              <w:t>NCUTCD agrees with 2A.16 as presented in the NPA.</w:t>
            </w:r>
          </w:p>
        </w:tc>
      </w:tr>
      <w:tr w:rsidR="00787907" w14:paraId="4BFD8F82" w14:textId="77777777" w:rsidTr="0040594A">
        <w:trPr>
          <w:cantSplit/>
        </w:trPr>
        <w:tc>
          <w:tcPr>
            <w:tcW w:w="1170" w:type="dxa"/>
          </w:tcPr>
          <w:p w14:paraId="540EB8DB" w14:textId="3C98F5B4" w:rsidR="00787907" w:rsidRPr="00A67B2B" w:rsidRDefault="00787907" w:rsidP="007879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2A.17</w:t>
            </w:r>
          </w:p>
        </w:tc>
        <w:tc>
          <w:tcPr>
            <w:tcW w:w="1167" w:type="dxa"/>
          </w:tcPr>
          <w:p w14:paraId="53D69288" w14:textId="035A7C9D" w:rsidR="00787907" w:rsidRPr="00A67B2B" w:rsidRDefault="00787907" w:rsidP="00787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9C0579A" w14:textId="416B53D9" w:rsidR="00787907" w:rsidRPr="00A67B2B" w:rsidRDefault="00787907" w:rsidP="00787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2ED93E0" w14:textId="4D7C8A3E" w:rsidR="00787907" w:rsidRPr="00A67B2B" w:rsidRDefault="00787907" w:rsidP="00787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F4EC58D" w14:textId="5316D667" w:rsidR="00787907" w:rsidRPr="00A67B2B" w:rsidRDefault="00787907" w:rsidP="00787907">
            <w:pPr>
              <w:rPr>
                <w:rFonts w:ascii="Arial" w:hAnsi="Arial" w:cs="Arial"/>
                <w:sz w:val="20"/>
                <w:szCs w:val="20"/>
              </w:rPr>
            </w:pPr>
            <w:r w:rsidRPr="00787907">
              <w:rPr>
                <w:rFonts w:ascii="Arial" w:hAnsi="Arial" w:cs="Arial"/>
                <w:sz w:val="20"/>
                <w:szCs w:val="20"/>
              </w:rPr>
              <w:t>NCUTCD generally agrees with 2A.17 as presented in the NPA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7907">
              <w:rPr>
                <w:rFonts w:ascii="Arial" w:hAnsi="Arial" w:cs="Arial"/>
                <w:sz w:val="20"/>
                <w:szCs w:val="20"/>
              </w:rPr>
              <w:t xml:space="preserve"> except the NPA adds a Standard statement relative to mounting of electronic equipment on existing supports that may compromise the crashworthiness of the sign supports. NCUTCD recommends rewording of the content regarding equipment.</w:t>
            </w:r>
          </w:p>
        </w:tc>
      </w:tr>
      <w:tr w:rsidR="00787907" w14:paraId="66B45E41" w14:textId="77777777" w:rsidTr="0040594A">
        <w:trPr>
          <w:cantSplit/>
        </w:trPr>
        <w:tc>
          <w:tcPr>
            <w:tcW w:w="1170" w:type="dxa"/>
          </w:tcPr>
          <w:p w14:paraId="3B6D3CEA" w14:textId="0CBA71D3" w:rsidR="00787907" w:rsidRPr="00A67B2B" w:rsidRDefault="00787907" w:rsidP="007879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2A.18</w:t>
            </w:r>
          </w:p>
        </w:tc>
        <w:tc>
          <w:tcPr>
            <w:tcW w:w="1167" w:type="dxa"/>
          </w:tcPr>
          <w:p w14:paraId="68C6AD2E" w14:textId="17BEBFA6" w:rsidR="00787907" w:rsidRPr="00A67B2B" w:rsidRDefault="00787907" w:rsidP="00787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8EEA530" w14:textId="0BCB0B77" w:rsidR="00787907" w:rsidRPr="00A67B2B" w:rsidRDefault="00787907" w:rsidP="00787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643F65B" w14:textId="078384A3" w:rsidR="00787907" w:rsidRPr="00A67B2B" w:rsidRDefault="00787907" w:rsidP="00787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84EEBAE" w14:textId="0371AC48" w:rsidR="00787907" w:rsidRPr="00A67B2B" w:rsidRDefault="00787907" w:rsidP="00787907">
            <w:pPr>
              <w:rPr>
                <w:rFonts w:ascii="Arial" w:hAnsi="Arial" w:cs="Arial"/>
                <w:sz w:val="20"/>
                <w:szCs w:val="20"/>
              </w:rPr>
            </w:pPr>
            <w:r w:rsidRPr="007A02F0">
              <w:rPr>
                <w:rFonts w:ascii="Arial" w:hAnsi="Arial" w:cs="Arial"/>
                <w:sz w:val="20"/>
                <w:szCs w:val="20"/>
              </w:rPr>
              <w:t>NCUTCD agrees with 2A.1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A02F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7D7D22" w14:paraId="29C8E854" w14:textId="77777777" w:rsidTr="0040594A">
        <w:trPr>
          <w:cantSplit/>
        </w:trPr>
        <w:tc>
          <w:tcPr>
            <w:tcW w:w="1170" w:type="dxa"/>
          </w:tcPr>
          <w:p w14:paraId="64AC6B0C" w14:textId="76BB2F5F" w:rsidR="007D7D22" w:rsidRPr="00A67B2B" w:rsidRDefault="007D7D22" w:rsidP="007D7D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2A.19</w:t>
            </w:r>
          </w:p>
        </w:tc>
        <w:tc>
          <w:tcPr>
            <w:tcW w:w="1167" w:type="dxa"/>
          </w:tcPr>
          <w:p w14:paraId="459391C9" w14:textId="261A9D7B" w:rsidR="007D7D22" w:rsidRPr="00A67B2B" w:rsidRDefault="007D7D22" w:rsidP="007D7D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94CB179" w14:textId="661839C5" w:rsidR="007D7D22" w:rsidRPr="00A67B2B" w:rsidRDefault="007D7D22" w:rsidP="007D7D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E41468D" w14:textId="4A6D335A" w:rsidR="007D7D22" w:rsidRPr="00A67B2B" w:rsidRDefault="007D7D22" w:rsidP="007D7D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93C4FA9" w14:textId="51AA7B07" w:rsidR="007D7D22" w:rsidRPr="00A67B2B" w:rsidRDefault="007D7D22" w:rsidP="007D7D22">
            <w:pPr>
              <w:rPr>
                <w:rFonts w:ascii="Arial" w:hAnsi="Arial" w:cs="Arial"/>
                <w:sz w:val="20"/>
                <w:szCs w:val="20"/>
              </w:rPr>
            </w:pPr>
            <w:r w:rsidRPr="007D7D22">
              <w:rPr>
                <w:rFonts w:ascii="Arial" w:hAnsi="Arial" w:cs="Arial"/>
                <w:sz w:val="20"/>
                <w:szCs w:val="20"/>
              </w:rPr>
              <w:t>NCUTCD recommends revisions with some editorial changes and adding a Support statement relative to “vanity” signs. NCUTCD recommends clarifying the definition of vanity signs to limit their usage.</w:t>
            </w:r>
          </w:p>
        </w:tc>
      </w:tr>
      <w:tr w:rsidR="001D6DE9" w14:paraId="63553E49" w14:textId="77777777" w:rsidTr="0040594A">
        <w:trPr>
          <w:cantSplit/>
        </w:trPr>
        <w:tc>
          <w:tcPr>
            <w:tcW w:w="1170" w:type="dxa"/>
          </w:tcPr>
          <w:p w14:paraId="328EBECA" w14:textId="09349BBA" w:rsidR="001D6DE9" w:rsidRPr="00A67B2B" w:rsidRDefault="001D6DE9" w:rsidP="001D6D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2A.20</w:t>
            </w:r>
          </w:p>
        </w:tc>
        <w:tc>
          <w:tcPr>
            <w:tcW w:w="1167" w:type="dxa"/>
          </w:tcPr>
          <w:p w14:paraId="293A0A06" w14:textId="00082908" w:rsidR="001D6DE9" w:rsidRPr="00A67B2B" w:rsidRDefault="001D6DE9" w:rsidP="001D6D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29F5C53" w14:textId="541AC8E9" w:rsidR="001D6DE9" w:rsidRPr="00A67B2B" w:rsidRDefault="001D6DE9" w:rsidP="001D6D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6A5B552" w14:textId="229A648B" w:rsidR="001D6DE9" w:rsidRPr="00A67B2B" w:rsidRDefault="001D6DE9" w:rsidP="001D6D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E29C41C" w14:textId="01937578" w:rsidR="001D6DE9" w:rsidRPr="00A67B2B" w:rsidRDefault="001D6DE9" w:rsidP="001D6DE9">
            <w:pPr>
              <w:rPr>
                <w:rFonts w:ascii="Arial" w:hAnsi="Arial" w:cs="Arial"/>
                <w:sz w:val="20"/>
                <w:szCs w:val="20"/>
              </w:rPr>
            </w:pPr>
            <w:r w:rsidRPr="001D6DE9">
              <w:rPr>
                <w:rFonts w:ascii="Arial" w:hAnsi="Arial" w:cs="Arial"/>
                <w:sz w:val="20"/>
                <w:szCs w:val="20"/>
              </w:rPr>
              <w:t>The NPA does not include fluorescent yellow-green as a color for school, pedestrian, and bicycle devices - this should be added. NCUTCD recommends increasing the maximum flash rate of LEDs from 60 to 120 times per minute, which is acceptable based on a Canadian research study and is outside the range of potential physiological impacts. NCUTCD recommends revising text in accordance with recommendations, including 14A-RW-07 and 20B-RW-03.</w:t>
            </w:r>
          </w:p>
        </w:tc>
      </w:tr>
      <w:tr w:rsidR="003F78A3" w14:paraId="36BB0E7D" w14:textId="77777777" w:rsidTr="0040594A">
        <w:trPr>
          <w:cantSplit/>
        </w:trPr>
        <w:tc>
          <w:tcPr>
            <w:tcW w:w="1170" w:type="dxa"/>
          </w:tcPr>
          <w:p w14:paraId="39DA74FD" w14:textId="3CB7CE7D" w:rsidR="003F78A3" w:rsidRPr="00A67B2B" w:rsidRDefault="003F78A3" w:rsidP="003F78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2A-1</w:t>
            </w:r>
          </w:p>
        </w:tc>
        <w:tc>
          <w:tcPr>
            <w:tcW w:w="1167" w:type="dxa"/>
          </w:tcPr>
          <w:p w14:paraId="0CC6D16D" w14:textId="6E916AEC" w:rsidR="003F78A3" w:rsidRPr="00A67B2B" w:rsidRDefault="003F78A3" w:rsidP="003F78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25CE8F6" w14:textId="5BBFCC27" w:rsidR="003F78A3" w:rsidRPr="00A67B2B" w:rsidRDefault="003F78A3" w:rsidP="003F78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161FF36" w14:textId="6807EE13" w:rsidR="003F78A3" w:rsidRPr="00A67B2B" w:rsidRDefault="003F78A3" w:rsidP="003F78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78865ED" w14:textId="25CA0939" w:rsidR="003F78A3" w:rsidRPr="00A67B2B" w:rsidRDefault="003F78A3" w:rsidP="003F78A3">
            <w:pPr>
              <w:rPr>
                <w:rFonts w:ascii="Arial" w:hAnsi="Arial" w:cs="Arial"/>
                <w:sz w:val="20"/>
                <w:szCs w:val="20"/>
              </w:rPr>
            </w:pPr>
            <w:r w:rsidRPr="003F78A3">
              <w:rPr>
                <w:rFonts w:ascii="Arial" w:hAnsi="Arial" w:cs="Arial"/>
                <w:sz w:val="20"/>
                <w:szCs w:val="20"/>
              </w:rPr>
              <w:t>NCUTCD recommends revising Table 2A-1 to consolidate LEDs with other visual treatments and to appropriately expand the applicability of these treatments to improve illumination.</w:t>
            </w:r>
          </w:p>
        </w:tc>
      </w:tr>
      <w:tr w:rsidR="005D5149" w14:paraId="1EBB5C58" w14:textId="77777777" w:rsidTr="0040594A">
        <w:trPr>
          <w:cantSplit/>
        </w:trPr>
        <w:tc>
          <w:tcPr>
            <w:tcW w:w="1170" w:type="dxa"/>
          </w:tcPr>
          <w:p w14:paraId="066EAF37" w14:textId="03BE5F26" w:rsidR="005D5149" w:rsidRPr="00A67B2B" w:rsidRDefault="005D5149" w:rsidP="005D51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2A-2</w:t>
            </w:r>
          </w:p>
        </w:tc>
        <w:tc>
          <w:tcPr>
            <w:tcW w:w="1167" w:type="dxa"/>
          </w:tcPr>
          <w:p w14:paraId="5F447FCF" w14:textId="229DAAFE" w:rsidR="005D5149" w:rsidRPr="00A67B2B" w:rsidRDefault="005D5149" w:rsidP="005D51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1E81631" w14:textId="15B58454" w:rsidR="005D5149" w:rsidRPr="00A67B2B" w:rsidRDefault="005D5149" w:rsidP="005D51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FA84885" w14:textId="6FA24AE0" w:rsidR="005D5149" w:rsidRPr="00A67B2B" w:rsidRDefault="005D5149" w:rsidP="005D51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F2CD51" w14:textId="43BA957A" w:rsidR="005D5149" w:rsidRPr="00A67B2B" w:rsidRDefault="005D5149" w:rsidP="005D5149">
            <w:pPr>
              <w:rPr>
                <w:rFonts w:ascii="Arial" w:hAnsi="Arial" w:cs="Arial"/>
                <w:sz w:val="20"/>
                <w:szCs w:val="20"/>
              </w:rPr>
            </w:pPr>
            <w:r w:rsidRPr="005D5149">
              <w:rPr>
                <w:rFonts w:ascii="Arial" w:hAnsi="Arial" w:cs="Arial"/>
                <w:sz w:val="20"/>
                <w:szCs w:val="20"/>
              </w:rPr>
              <w:t>NCUTCD agrees with Table 2A-2 as presented in the NPA.</w:t>
            </w:r>
          </w:p>
        </w:tc>
      </w:tr>
      <w:tr w:rsidR="005C725A" w14:paraId="72C74F7A" w14:textId="77777777" w:rsidTr="0040594A">
        <w:trPr>
          <w:cantSplit/>
        </w:trPr>
        <w:tc>
          <w:tcPr>
            <w:tcW w:w="1170" w:type="dxa"/>
          </w:tcPr>
          <w:p w14:paraId="43811F72" w14:textId="5353EB15" w:rsidR="005C725A" w:rsidRPr="00A67B2B" w:rsidRDefault="005C725A" w:rsidP="005C7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2A.21</w:t>
            </w:r>
          </w:p>
        </w:tc>
        <w:tc>
          <w:tcPr>
            <w:tcW w:w="1167" w:type="dxa"/>
          </w:tcPr>
          <w:p w14:paraId="4BA02597" w14:textId="57B08610" w:rsidR="005C725A" w:rsidRPr="00A67B2B" w:rsidRDefault="005C725A" w:rsidP="005C7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9CEEF24" w14:textId="2A13EC74" w:rsidR="005C725A" w:rsidRPr="00A67B2B" w:rsidRDefault="005C725A" w:rsidP="005C7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2B91762" w14:textId="5962F368" w:rsidR="005C725A" w:rsidRPr="00A67B2B" w:rsidRDefault="005C725A" w:rsidP="005C7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C30C9A" w14:textId="556E6656" w:rsidR="005C725A" w:rsidRPr="00A67B2B" w:rsidRDefault="005C725A" w:rsidP="005C725A">
            <w:pPr>
              <w:rPr>
                <w:rFonts w:ascii="Arial" w:hAnsi="Arial" w:cs="Arial"/>
                <w:sz w:val="20"/>
                <w:szCs w:val="20"/>
              </w:rPr>
            </w:pPr>
            <w:r w:rsidRPr="005C725A">
              <w:rPr>
                <w:rFonts w:ascii="Arial" w:hAnsi="Arial" w:cs="Arial"/>
                <w:sz w:val="20"/>
                <w:szCs w:val="20"/>
              </w:rPr>
              <w:t>NCUTCD generally agrees with 2A.21 as presented in the NPA with some minor editorial comments and references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008F" w14:paraId="247E357E" w14:textId="77777777" w:rsidTr="0040594A">
        <w:trPr>
          <w:cantSplit/>
        </w:trPr>
        <w:tc>
          <w:tcPr>
            <w:tcW w:w="1170" w:type="dxa"/>
          </w:tcPr>
          <w:p w14:paraId="66172738" w14:textId="53D5D20A" w:rsidR="0081008F" w:rsidRPr="00A67B2B" w:rsidRDefault="0081008F" w:rsidP="008100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2A-3</w:t>
            </w:r>
          </w:p>
        </w:tc>
        <w:tc>
          <w:tcPr>
            <w:tcW w:w="1167" w:type="dxa"/>
          </w:tcPr>
          <w:p w14:paraId="214887C1" w14:textId="3A13A8AA" w:rsidR="0081008F" w:rsidRPr="00A67B2B" w:rsidRDefault="0081008F" w:rsidP="008100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68CCCFA" w14:textId="1F3A5CF3" w:rsidR="0081008F" w:rsidRPr="00A67B2B" w:rsidRDefault="0081008F" w:rsidP="008100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2A0992B" w14:textId="1D0C8BEE" w:rsidR="0081008F" w:rsidRPr="00A67B2B" w:rsidRDefault="0081008F" w:rsidP="008100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620D453" w14:textId="5D180289" w:rsidR="0081008F" w:rsidRPr="00A67B2B" w:rsidRDefault="0081008F" w:rsidP="0081008F">
            <w:pPr>
              <w:rPr>
                <w:rFonts w:ascii="Arial" w:hAnsi="Arial" w:cs="Arial"/>
                <w:sz w:val="20"/>
                <w:szCs w:val="20"/>
              </w:rPr>
            </w:pPr>
            <w:r w:rsidRPr="0081008F">
              <w:rPr>
                <w:rFonts w:ascii="Arial" w:hAnsi="Arial" w:cs="Arial"/>
                <w:sz w:val="20"/>
                <w:szCs w:val="20"/>
              </w:rPr>
              <w:t>NCUTCD agrees with Table 2A-3 as presented in the NPA.</w:t>
            </w:r>
          </w:p>
        </w:tc>
      </w:tr>
      <w:tr w:rsidR="00CE3573" w14:paraId="1D7F230E" w14:textId="77777777" w:rsidTr="0040594A">
        <w:trPr>
          <w:cantSplit/>
        </w:trPr>
        <w:tc>
          <w:tcPr>
            <w:tcW w:w="1170" w:type="dxa"/>
          </w:tcPr>
          <w:p w14:paraId="10FB938C" w14:textId="1BC8B109" w:rsidR="00CE3573" w:rsidRPr="00A67B2B" w:rsidRDefault="00CE3573" w:rsidP="00CE35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2A.22</w:t>
            </w:r>
          </w:p>
        </w:tc>
        <w:tc>
          <w:tcPr>
            <w:tcW w:w="1167" w:type="dxa"/>
          </w:tcPr>
          <w:p w14:paraId="1E58138A" w14:textId="7968A529" w:rsidR="00CE3573" w:rsidRPr="00A67B2B" w:rsidRDefault="00CE3573" w:rsidP="00CE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3F25905" w14:textId="3E9517BF" w:rsidR="00CE3573" w:rsidRPr="00A67B2B" w:rsidRDefault="00CE3573" w:rsidP="00CE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34DDE05" w14:textId="78BCCBFB" w:rsidR="00CE3573" w:rsidRPr="00A67B2B" w:rsidRDefault="00CE3573" w:rsidP="00CE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D4B516B" w14:textId="1439D778" w:rsidR="00CE3573" w:rsidRPr="00A67B2B" w:rsidRDefault="00CE3573" w:rsidP="00CE3573">
            <w:pPr>
              <w:rPr>
                <w:rFonts w:ascii="Arial" w:hAnsi="Arial" w:cs="Arial"/>
                <w:sz w:val="20"/>
                <w:szCs w:val="20"/>
              </w:rPr>
            </w:pPr>
            <w:r w:rsidRPr="007A02F0">
              <w:rPr>
                <w:rFonts w:ascii="Arial" w:hAnsi="Arial" w:cs="Arial"/>
                <w:sz w:val="20"/>
                <w:szCs w:val="20"/>
              </w:rPr>
              <w:t>NCUTCD agrees with 2A.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A02F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CE3573" w14:paraId="71D9F098" w14:textId="77777777" w:rsidTr="0040594A">
        <w:trPr>
          <w:cantSplit/>
        </w:trPr>
        <w:tc>
          <w:tcPr>
            <w:tcW w:w="1170" w:type="dxa"/>
          </w:tcPr>
          <w:p w14:paraId="634734D5" w14:textId="73ACF012" w:rsidR="00CE3573" w:rsidRPr="00A67B2B" w:rsidRDefault="00CE3573" w:rsidP="00CE35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2A-5</w:t>
            </w:r>
          </w:p>
        </w:tc>
        <w:tc>
          <w:tcPr>
            <w:tcW w:w="1167" w:type="dxa"/>
          </w:tcPr>
          <w:p w14:paraId="3DC2B50F" w14:textId="7454BA3C" w:rsidR="00CE3573" w:rsidRPr="00A67B2B" w:rsidRDefault="00CE3573" w:rsidP="00CE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1A8D4F7" w14:textId="71798428" w:rsidR="00CE3573" w:rsidRPr="00A67B2B" w:rsidRDefault="00CE3573" w:rsidP="00CE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4FF03BC" w14:textId="5DCFF62E" w:rsidR="00CE3573" w:rsidRPr="00A67B2B" w:rsidRDefault="00CE3573" w:rsidP="00CE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63F34CF" w14:textId="675728A7" w:rsidR="00CE3573" w:rsidRPr="00A67B2B" w:rsidRDefault="00CE3573" w:rsidP="00CE3573">
            <w:pPr>
              <w:rPr>
                <w:rFonts w:ascii="Arial" w:hAnsi="Arial" w:cs="Arial"/>
                <w:sz w:val="20"/>
                <w:szCs w:val="20"/>
              </w:rPr>
            </w:pPr>
            <w:r w:rsidRPr="0081008F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Pr="0081008F">
              <w:rPr>
                <w:rFonts w:ascii="Arial" w:hAnsi="Arial" w:cs="Arial"/>
                <w:sz w:val="20"/>
                <w:szCs w:val="20"/>
              </w:rPr>
              <w:t xml:space="preserve"> 2A-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008F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5887013D" w14:textId="77777777" w:rsidR="00CE3573" w:rsidRDefault="00CE3573" w:rsidP="00A67B2B">
      <w:pPr>
        <w:spacing w:before="360" w:after="120" w:line="240" w:lineRule="auto"/>
        <w:ind w:left="-450"/>
        <w:rPr>
          <w:rFonts w:ascii="Arial" w:hAnsi="Arial" w:cs="Arial"/>
          <w:b/>
          <w:bCs/>
          <w:sz w:val="20"/>
          <w:szCs w:val="20"/>
        </w:rPr>
      </w:pPr>
      <w:bookmarkStart w:id="0" w:name="_Hlk57623597"/>
    </w:p>
    <w:p w14:paraId="3FA3B104" w14:textId="1F5D475A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2320F" w14:textId="77777777" w:rsidR="00535EC7" w:rsidRDefault="00535EC7" w:rsidP="00CA28CD">
      <w:pPr>
        <w:spacing w:after="0" w:line="240" w:lineRule="auto"/>
      </w:pPr>
      <w:r>
        <w:separator/>
      </w:r>
    </w:p>
  </w:endnote>
  <w:endnote w:type="continuationSeparator" w:id="0">
    <w:p w14:paraId="782682CD" w14:textId="77777777" w:rsidR="00535EC7" w:rsidRDefault="00535EC7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29D6A645" w:rsidR="00520AAA" w:rsidRPr="00A67B2B" w:rsidRDefault="003774EE" w:rsidP="005010D8">
    <w:pPr>
      <w:pStyle w:val="Footer"/>
      <w:tabs>
        <w:tab w:val="clear" w:pos="4680"/>
        <w:tab w:val="clear" w:pos="9360"/>
        <w:tab w:val="right" w:pos="990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5010D8">
      <w:rPr>
        <w:rFonts w:ascii="Arial" w:hAnsi="Arial" w:cs="Arial"/>
        <w:sz w:val="21"/>
        <w:szCs w:val="21"/>
      </w:rPr>
      <w:tab/>
      <w:t>National Committee on Uniform Traffic Control Devices (NCUTCD) - Chapter 2A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2F4FC" w14:textId="77777777" w:rsidR="00535EC7" w:rsidRDefault="00535EC7" w:rsidP="00CA28CD">
      <w:pPr>
        <w:spacing w:after="0" w:line="240" w:lineRule="auto"/>
      </w:pPr>
      <w:r>
        <w:separator/>
      </w:r>
    </w:p>
  </w:footnote>
  <w:footnote w:type="continuationSeparator" w:id="0">
    <w:p w14:paraId="62BFB5A2" w14:textId="77777777" w:rsidR="00535EC7" w:rsidRDefault="00535EC7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146C"/>
    <w:multiLevelType w:val="hybridMultilevel"/>
    <w:tmpl w:val="41F23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75D87"/>
    <w:multiLevelType w:val="hybridMultilevel"/>
    <w:tmpl w:val="B57E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D0742"/>
    <w:multiLevelType w:val="hybridMultilevel"/>
    <w:tmpl w:val="4B068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453B3"/>
    <w:multiLevelType w:val="hybridMultilevel"/>
    <w:tmpl w:val="7212B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66457"/>
    <w:rsid w:val="00097C81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2505"/>
    <w:rsid w:val="00185458"/>
    <w:rsid w:val="00187D5A"/>
    <w:rsid w:val="00192171"/>
    <w:rsid w:val="001B1B30"/>
    <w:rsid w:val="001B5156"/>
    <w:rsid w:val="001C7E04"/>
    <w:rsid w:val="001D6DE9"/>
    <w:rsid w:val="001E1EBD"/>
    <w:rsid w:val="001F74BA"/>
    <w:rsid w:val="002063CD"/>
    <w:rsid w:val="00225108"/>
    <w:rsid w:val="002428B9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41D"/>
    <w:rsid w:val="002E2E5A"/>
    <w:rsid w:val="002E7E0E"/>
    <w:rsid w:val="003167BD"/>
    <w:rsid w:val="00354FE9"/>
    <w:rsid w:val="00371935"/>
    <w:rsid w:val="003774EE"/>
    <w:rsid w:val="00393E82"/>
    <w:rsid w:val="00396819"/>
    <w:rsid w:val="003A68AB"/>
    <w:rsid w:val="003C1008"/>
    <w:rsid w:val="003C400F"/>
    <w:rsid w:val="003C79CF"/>
    <w:rsid w:val="003D605E"/>
    <w:rsid w:val="003F578E"/>
    <w:rsid w:val="003F78A3"/>
    <w:rsid w:val="0040594A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010D8"/>
    <w:rsid w:val="00520AAA"/>
    <w:rsid w:val="00525497"/>
    <w:rsid w:val="00525FE6"/>
    <w:rsid w:val="00535EC7"/>
    <w:rsid w:val="00552921"/>
    <w:rsid w:val="005B2D2B"/>
    <w:rsid w:val="005B694A"/>
    <w:rsid w:val="005C725A"/>
    <w:rsid w:val="005D5149"/>
    <w:rsid w:val="005F11B8"/>
    <w:rsid w:val="00634404"/>
    <w:rsid w:val="00675E0A"/>
    <w:rsid w:val="00692B40"/>
    <w:rsid w:val="00692BC8"/>
    <w:rsid w:val="006944BC"/>
    <w:rsid w:val="006957FF"/>
    <w:rsid w:val="006A2A89"/>
    <w:rsid w:val="006B07AA"/>
    <w:rsid w:val="006B1AA5"/>
    <w:rsid w:val="006E6A82"/>
    <w:rsid w:val="007068F7"/>
    <w:rsid w:val="00765D73"/>
    <w:rsid w:val="007746E2"/>
    <w:rsid w:val="00782C18"/>
    <w:rsid w:val="00787907"/>
    <w:rsid w:val="007A02F0"/>
    <w:rsid w:val="007A2B2D"/>
    <w:rsid w:val="007D2681"/>
    <w:rsid w:val="007D7D22"/>
    <w:rsid w:val="007E6FEB"/>
    <w:rsid w:val="007F64EB"/>
    <w:rsid w:val="00801DC8"/>
    <w:rsid w:val="0081008F"/>
    <w:rsid w:val="0083322F"/>
    <w:rsid w:val="00836E4A"/>
    <w:rsid w:val="00845000"/>
    <w:rsid w:val="00866520"/>
    <w:rsid w:val="00873CFD"/>
    <w:rsid w:val="008827E3"/>
    <w:rsid w:val="00885A12"/>
    <w:rsid w:val="00885E70"/>
    <w:rsid w:val="00886FE4"/>
    <w:rsid w:val="008B1530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48D"/>
    <w:rsid w:val="00997A49"/>
    <w:rsid w:val="009A121F"/>
    <w:rsid w:val="009B20E9"/>
    <w:rsid w:val="009E0658"/>
    <w:rsid w:val="009E57F1"/>
    <w:rsid w:val="00A17A86"/>
    <w:rsid w:val="00A200D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B6180"/>
    <w:rsid w:val="00AC2635"/>
    <w:rsid w:val="00AC2CBE"/>
    <w:rsid w:val="00AC4B74"/>
    <w:rsid w:val="00AF0E95"/>
    <w:rsid w:val="00B014CB"/>
    <w:rsid w:val="00B06C0A"/>
    <w:rsid w:val="00B1308E"/>
    <w:rsid w:val="00B570CF"/>
    <w:rsid w:val="00B64366"/>
    <w:rsid w:val="00B80D10"/>
    <w:rsid w:val="00B824F8"/>
    <w:rsid w:val="00B8673B"/>
    <w:rsid w:val="00BB104C"/>
    <w:rsid w:val="00BC3B64"/>
    <w:rsid w:val="00BD1F05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544F"/>
    <w:rsid w:val="00CA28CD"/>
    <w:rsid w:val="00CB1EA5"/>
    <w:rsid w:val="00CC0DA7"/>
    <w:rsid w:val="00CC5670"/>
    <w:rsid w:val="00CD0FD3"/>
    <w:rsid w:val="00CE0F95"/>
    <w:rsid w:val="00CE3573"/>
    <w:rsid w:val="00D015E1"/>
    <w:rsid w:val="00D22B25"/>
    <w:rsid w:val="00D40A56"/>
    <w:rsid w:val="00D543C1"/>
    <w:rsid w:val="00D66D26"/>
    <w:rsid w:val="00D67AB1"/>
    <w:rsid w:val="00D72EC6"/>
    <w:rsid w:val="00D82DF2"/>
    <w:rsid w:val="00D85085"/>
    <w:rsid w:val="00D86280"/>
    <w:rsid w:val="00D91F2E"/>
    <w:rsid w:val="00DA6D06"/>
    <w:rsid w:val="00DA7226"/>
    <w:rsid w:val="00DB0FBC"/>
    <w:rsid w:val="00DB1A9C"/>
    <w:rsid w:val="00DB37DB"/>
    <w:rsid w:val="00DF130A"/>
    <w:rsid w:val="00E05E1B"/>
    <w:rsid w:val="00E07BC7"/>
    <w:rsid w:val="00E14F60"/>
    <w:rsid w:val="00E75A26"/>
    <w:rsid w:val="00E805D1"/>
    <w:rsid w:val="00E972AB"/>
    <w:rsid w:val="00EA2B2F"/>
    <w:rsid w:val="00EA5DC6"/>
    <w:rsid w:val="00ED78AA"/>
    <w:rsid w:val="00EE246A"/>
    <w:rsid w:val="00EF7249"/>
    <w:rsid w:val="00F061E8"/>
    <w:rsid w:val="00F06647"/>
    <w:rsid w:val="00F127BF"/>
    <w:rsid w:val="00F1362C"/>
    <w:rsid w:val="00F17C8E"/>
    <w:rsid w:val="00F43942"/>
    <w:rsid w:val="00F80644"/>
    <w:rsid w:val="00F92192"/>
    <w:rsid w:val="00F926DD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35</cp:revision>
  <dcterms:created xsi:type="dcterms:W3CDTF">2020-12-10T16:51:00Z</dcterms:created>
  <dcterms:modified xsi:type="dcterms:W3CDTF">2021-04-26T22:21:00Z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