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6D1026">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6D1026" w14:paraId="728D6732" w14:textId="0756E885" w:rsidTr="006D1026">
        <w:tc>
          <w:tcPr>
            <w:tcW w:w="1170" w:type="dxa"/>
          </w:tcPr>
          <w:p w14:paraId="6AFCDF00" w14:textId="489E9274" w:rsidR="006D1026" w:rsidRPr="00A67B2B" w:rsidRDefault="006D1026" w:rsidP="006D1026">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6D1026" w:rsidRPr="00A67B2B" w:rsidRDefault="006D1026" w:rsidP="006D1026">
            <w:pPr>
              <w:spacing w:line="259" w:lineRule="auto"/>
              <w:jc w:val="center"/>
              <w:rPr>
                <w:rFonts w:ascii="Arial" w:hAnsi="Arial" w:cs="Arial"/>
                <w:sz w:val="20"/>
                <w:szCs w:val="20"/>
              </w:rPr>
            </w:pPr>
          </w:p>
        </w:tc>
        <w:tc>
          <w:tcPr>
            <w:tcW w:w="1183" w:type="dxa"/>
          </w:tcPr>
          <w:p w14:paraId="6EB6B6BD" w14:textId="0CDAFBD7" w:rsidR="006D1026" w:rsidRPr="00A67B2B" w:rsidRDefault="006D1026" w:rsidP="006D1026">
            <w:pPr>
              <w:spacing w:line="259" w:lineRule="auto"/>
              <w:jc w:val="center"/>
              <w:rPr>
                <w:rFonts w:ascii="Arial" w:hAnsi="Arial" w:cs="Arial"/>
                <w:sz w:val="20"/>
                <w:szCs w:val="20"/>
              </w:rPr>
            </w:pPr>
          </w:p>
        </w:tc>
        <w:tc>
          <w:tcPr>
            <w:tcW w:w="1017" w:type="dxa"/>
          </w:tcPr>
          <w:p w14:paraId="50A51550" w14:textId="19C099DA" w:rsidR="006D1026" w:rsidRPr="00A67B2B" w:rsidRDefault="006D1026" w:rsidP="006D1026">
            <w:pPr>
              <w:spacing w:line="259" w:lineRule="auto"/>
              <w:jc w:val="center"/>
              <w:rPr>
                <w:rFonts w:ascii="Arial" w:hAnsi="Arial" w:cs="Arial"/>
                <w:sz w:val="20"/>
                <w:szCs w:val="20"/>
              </w:rPr>
            </w:pPr>
          </w:p>
        </w:tc>
        <w:tc>
          <w:tcPr>
            <w:tcW w:w="6263" w:type="dxa"/>
          </w:tcPr>
          <w:p w14:paraId="2C22E9F2" w14:textId="06653533" w:rsidR="006D1026" w:rsidRPr="00A67B2B" w:rsidRDefault="006D1026" w:rsidP="006D1026">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782C18" w14:paraId="291930E3" w14:textId="74252152" w:rsidTr="006D1026">
        <w:tc>
          <w:tcPr>
            <w:tcW w:w="1170" w:type="dxa"/>
          </w:tcPr>
          <w:p w14:paraId="5C239D48" w14:textId="7306099E" w:rsidR="00F06647" w:rsidRPr="00A67B2B" w:rsidRDefault="00DD1701" w:rsidP="00A67B2B">
            <w:pPr>
              <w:spacing w:line="259" w:lineRule="auto"/>
              <w:rPr>
                <w:rFonts w:ascii="Arial" w:hAnsi="Arial" w:cs="Arial"/>
                <w:sz w:val="20"/>
                <w:szCs w:val="20"/>
              </w:rPr>
            </w:pPr>
            <w:r>
              <w:rPr>
                <w:rFonts w:ascii="Arial" w:hAnsi="Arial" w:cs="Arial"/>
                <w:sz w:val="20"/>
                <w:szCs w:val="20"/>
              </w:rPr>
              <w:t>4</w:t>
            </w:r>
            <w:r w:rsidR="0092696D">
              <w:rPr>
                <w:rFonts w:ascii="Arial" w:hAnsi="Arial" w:cs="Arial"/>
                <w:sz w:val="20"/>
                <w:szCs w:val="20"/>
              </w:rPr>
              <w:t>K</w:t>
            </w:r>
            <w:r>
              <w:rPr>
                <w:rFonts w:ascii="Arial" w:hAnsi="Arial" w:cs="Arial"/>
                <w:sz w:val="20"/>
                <w:szCs w:val="20"/>
              </w:rPr>
              <w:t>.01</w:t>
            </w:r>
          </w:p>
        </w:tc>
        <w:tc>
          <w:tcPr>
            <w:tcW w:w="1167" w:type="dxa"/>
          </w:tcPr>
          <w:p w14:paraId="5D55ADD1" w14:textId="1A6F33B6" w:rsidR="00F06647" w:rsidRPr="00A67B2B" w:rsidRDefault="00202945"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4882973B" w:rsidR="00F06647" w:rsidRPr="00A67B2B" w:rsidRDefault="0092696D"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12E9A4F1" w:rsidR="00F06647" w:rsidRPr="00A67B2B" w:rsidRDefault="00DD1701"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65EBC4B1" w:rsidR="00F06647" w:rsidRPr="00A67B2B" w:rsidRDefault="00B61533" w:rsidP="0092696D">
            <w:pPr>
              <w:rPr>
                <w:rFonts w:ascii="Arial" w:hAnsi="Arial" w:cs="Arial"/>
                <w:sz w:val="20"/>
                <w:szCs w:val="20"/>
              </w:rPr>
            </w:pPr>
            <w:r w:rsidRPr="00B61533">
              <w:rPr>
                <w:rFonts w:ascii="Arial" w:hAnsi="Arial" w:cs="Arial"/>
                <w:sz w:val="20"/>
                <w:szCs w:val="20"/>
              </w:rPr>
              <w:t>NCUTCD recommends revising the final Standard statement to accommodate passive pedestrian detection.</w:t>
            </w:r>
          </w:p>
        </w:tc>
      </w:tr>
      <w:tr w:rsidR="0092696D" w14:paraId="1CF3A083" w14:textId="77777777" w:rsidTr="006D1026">
        <w:tc>
          <w:tcPr>
            <w:tcW w:w="1170" w:type="dxa"/>
          </w:tcPr>
          <w:p w14:paraId="451DFB5D" w14:textId="585B19DF" w:rsidR="0092696D" w:rsidRPr="00A67B2B" w:rsidRDefault="0092696D" w:rsidP="0092696D">
            <w:pPr>
              <w:rPr>
                <w:rFonts w:ascii="Arial" w:hAnsi="Arial" w:cs="Arial"/>
                <w:sz w:val="20"/>
                <w:szCs w:val="20"/>
              </w:rPr>
            </w:pPr>
            <w:r>
              <w:rPr>
                <w:rFonts w:ascii="Arial" w:hAnsi="Arial" w:cs="Arial"/>
                <w:sz w:val="20"/>
                <w:szCs w:val="20"/>
              </w:rPr>
              <w:t>4K.02</w:t>
            </w:r>
          </w:p>
        </w:tc>
        <w:tc>
          <w:tcPr>
            <w:tcW w:w="1167" w:type="dxa"/>
          </w:tcPr>
          <w:p w14:paraId="2A40E897" w14:textId="05B10ECE" w:rsidR="0092696D" w:rsidRPr="00A67B2B" w:rsidRDefault="00202945" w:rsidP="0092696D">
            <w:pPr>
              <w:jc w:val="center"/>
              <w:rPr>
                <w:rFonts w:ascii="Arial" w:hAnsi="Arial" w:cs="Arial"/>
                <w:sz w:val="20"/>
                <w:szCs w:val="20"/>
              </w:rPr>
            </w:pPr>
            <w:r>
              <w:rPr>
                <w:rFonts w:ascii="Arial" w:hAnsi="Arial" w:cs="Arial"/>
                <w:sz w:val="20"/>
                <w:szCs w:val="20"/>
              </w:rPr>
              <w:t>NO</w:t>
            </w:r>
          </w:p>
        </w:tc>
        <w:tc>
          <w:tcPr>
            <w:tcW w:w="1183" w:type="dxa"/>
          </w:tcPr>
          <w:p w14:paraId="1727BF7A" w14:textId="2ACBC6D2" w:rsidR="0092696D" w:rsidRPr="00A67B2B" w:rsidRDefault="0092696D" w:rsidP="0092696D">
            <w:pPr>
              <w:jc w:val="center"/>
              <w:rPr>
                <w:rFonts w:ascii="Arial" w:hAnsi="Arial" w:cs="Arial"/>
                <w:sz w:val="20"/>
                <w:szCs w:val="20"/>
              </w:rPr>
            </w:pPr>
            <w:r>
              <w:rPr>
                <w:rFonts w:ascii="Arial" w:hAnsi="Arial" w:cs="Arial"/>
                <w:sz w:val="20"/>
                <w:szCs w:val="20"/>
              </w:rPr>
              <w:t>YES</w:t>
            </w:r>
          </w:p>
        </w:tc>
        <w:tc>
          <w:tcPr>
            <w:tcW w:w="1017" w:type="dxa"/>
          </w:tcPr>
          <w:p w14:paraId="6AE95DE5" w14:textId="52928E86" w:rsidR="0092696D" w:rsidRPr="00A67B2B" w:rsidRDefault="0092696D" w:rsidP="0092696D">
            <w:pPr>
              <w:jc w:val="center"/>
              <w:rPr>
                <w:rFonts w:ascii="Arial" w:hAnsi="Arial" w:cs="Arial"/>
                <w:sz w:val="20"/>
                <w:szCs w:val="20"/>
              </w:rPr>
            </w:pPr>
            <w:r>
              <w:rPr>
                <w:rFonts w:ascii="Arial" w:hAnsi="Arial" w:cs="Arial"/>
                <w:sz w:val="20"/>
                <w:szCs w:val="20"/>
              </w:rPr>
              <w:t>N/A</w:t>
            </w:r>
          </w:p>
        </w:tc>
        <w:tc>
          <w:tcPr>
            <w:tcW w:w="6263" w:type="dxa"/>
          </w:tcPr>
          <w:p w14:paraId="15C40B56" w14:textId="6B06184A" w:rsidR="0092696D" w:rsidRPr="00A67B2B" w:rsidRDefault="00B61533" w:rsidP="0092696D">
            <w:pPr>
              <w:rPr>
                <w:rFonts w:ascii="Arial" w:hAnsi="Arial" w:cs="Arial"/>
                <w:sz w:val="20"/>
                <w:szCs w:val="20"/>
              </w:rPr>
            </w:pPr>
            <w:r w:rsidRPr="00B61533">
              <w:rPr>
                <w:rFonts w:ascii="Arial" w:hAnsi="Arial" w:cs="Arial"/>
                <w:sz w:val="20"/>
                <w:szCs w:val="20"/>
              </w:rPr>
              <w:t>NCUTCD recommends restoring two features in the Standard list (and modifying one) that were in the 2009 MUTCD but deleted in the NPA.</w:t>
            </w:r>
          </w:p>
        </w:tc>
      </w:tr>
      <w:tr w:rsidR="0092696D" w14:paraId="1E48C686" w14:textId="77777777" w:rsidTr="006D1026">
        <w:tc>
          <w:tcPr>
            <w:tcW w:w="1170" w:type="dxa"/>
          </w:tcPr>
          <w:p w14:paraId="0D863D76" w14:textId="168798F5" w:rsidR="0092696D" w:rsidRPr="00A67B2B" w:rsidRDefault="0092696D" w:rsidP="0092696D">
            <w:pPr>
              <w:rPr>
                <w:rFonts w:ascii="Arial" w:hAnsi="Arial" w:cs="Arial"/>
                <w:sz w:val="20"/>
                <w:szCs w:val="20"/>
              </w:rPr>
            </w:pPr>
            <w:r>
              <w:rPr>
                <w:rFonts w:ascii="Arial" w:hAnsi="Arial" w:cs="Arial"/>
                <w:sz w:val="20"/>
                <w:szCs w:val="20"/>
              </w:rPr>
              <w:t>4K.03</w:t>
            </w:r>
          </w:p>
        </w:tc>
        <w:tc>
          <w:tcPr>
            <w:tcW w:w="1167" w:type="dxa"/>
          </w:tcPr>
          <w:p w14:paraId="71F0826C" w14:textId="67987B88" w:rsidR="0092696D" w:rsidRPr="00A67B2B" w:rsidRDefault="00202945" w:rsidP="0092696D">
            <w:pPr>
              <w:jc w:val="center"/>
              <w:rPr>
                <w:rFonts w:ascii="Arial" w:hAnsi="Arial" w:cs="Arial"/>
                <w:sz w:val="20"/>
                <w:szCs w:val="20"/>
              </w:rPr>
            </w:pPr>
            <w:r>
              <w:rPr>
                <w:rFonts w:ascii="Arial" w:hAnsi="Arial" w:cs="Arial"/>
                <w:sz w:val="20"/>
                <w:szCs w:val="20"/>
              </w:rPr>
              <w:t>NO</w:t>
            </w:r>
          </w:p>
        </w:tc>
        <w:tc>
          <w:tcPr>
            <w:tcW w:w="1183" w:type="dxa"/>
          </w:tcPr>
          <w:p w14:paraId="32C87008" w14:textId="74D56E94" w:rsidR="0092696D" w:rsidRPr="00A67B2B" w:rsidRDefault="0092696D" w:rsidP="0092696D">
            <w:pPr>
              <w:jc w:val="center"/>
              <w:rPr>
                <w:rFonts w:ascii="Arial" w:hAnsi="Arial" w:cs="Arial"/>
                <w:sz w:val="20"/>
                <w:szCs w:val="20"/>
              </w:rPr>
            </w:pPr>
            <w:r>
              <w:rPr>
                <w:rFonts w:ascii="Arial" w:hAnsi="Arial" w:cs="Arial"/>
                <w:sz w:val="20"/>
                <w:szCs w:val="20"/>
              </w:rPr>
              <w:t>YES</w:t>
            </w:r>
          </w:p>
        </w:tc>
        <w:tc>
          <w:tcPr>
            <w:tcW w:w="1017" w:type="dxa"/>
          </w:tcPr>
          <w:p w14:paraId="4E7EB40E" w14:textId="0EF23889" w:rsidR="0092696D" w:rsidRPr="00A67B2B" w:rsidRDefault="0092696D" w:rsidP="0092696D">
            <w:pPr>
              <w:jc w:val="center"/>
              <w:rPr>
                <w:rFonts w:ascii="Arial" w:hAnsi="Arial" w:cs="Arial"/>
                <w:sz w:val="20"/>
                <w:szCs w:val="20"/>
              </w:rPr>
            </w:pPr>
            <w:r>
              <w:rPr>
                <w:rFonts w:ascii="Arial" w:hAnsi="Arial" w:cs="Arial"/>
                <w:sz w:val="20"/>
                <w:szCs w:val="20"/>
              </w:rPr>
              <w:t>N/A</w:t>
            </w:r>
          </w:p>
        </w:tc>
        <w:tc>
          <w:tcPr>
            <w:tcW w:w="6263" w:type="dxa"/>
          </w:tcPr>
          <w:p w14:paraId="6DCE4C0F" w14:textId="79E8930E" w:rsidR="0092696D" w:rsidRPr="00A67B2B" w:rsidRDefault="00D922F7" w:rsidP="0092696D">
            <w:pPr>
              <w:rPr>
                <w:rFonts w:ascii="Arial" w:hAnsi="Arial" w:cs="Arial"/>
                <w:sz w:val="20"/>
                <w:szCs w:val="20"/>
              </w:rPr>
            </w:pPr>
            <w:r w:rsidRPr="00D922F7">
              <w:rPr>
                <w:rFonts w:ascii="Arial" w:hAnsi="Arial" w:cs="Arial"/>
                <w:sz w:val="20"/>
                <w:szCs w:val="20"/>
              </w:rPr>
              <w:t>NCUTCD recommends deleting the proposed NPA Standard statement permitting the vibrotactile arrow to be located on the speaker box, because allowing the vibrotactile arrow on the speaker box will make it less likely for blind pedestrians to find the arrow, as documented in NCHRP 03-62. NCUTCD agrees with changing the Guidance statement on speech walk messages to Standard, as it strengthens and highlights the need for clear communications with blind pedestrians.</w:t>
            </w:r>
          </w:p>
        </w:tc>
      </w:tr>
      <w:tr w:rsidR="0092696D" w14:paraId="59D7ACE5" w14:textId="77777777" w:rsidTr="006D1026">
        <w:tc>
          <w:tcPr>
            <w:tcW w:w="1170" w:type="dxa"/>
          </w:tcPr>
          <w:p w14:paraId="38B5C2E8" w14:textId="33CC57E3" w:rsidR="0092696D" w:rsidRPr="00A67B2B" w:rsidRDefault="0092696D" w:rsidP="0092696D">
            <w:pPr>
              <w:rPr>
                <w:rFonts w:ascii="Arial" w:hAnsi="Arial" w:cs="Arial"/>
                <w:sz w:val="20"/>
                <w:szCs w:val="20"/>
              </w:rPr>
            </w:pPr>
            <w:r>
              <w:rPr>
                <w:rFonts w:ascii="Arial" w:hAnsi="Arial" w:cs="Arial"/>
                <w:sz w:val="20"/>
                <w:szCs w:val="20"/>
              </w:rPr>
              <w:t>4K.04</w:t>
            </w:r>
          </w:p>
        </w:tc>
        <w:tc>
          <w:tcPr>
            <w:tcW w:w="1167" w:type="dxa"/>
          </w:tcPr>
          <w:p w14:paraId="3002FEF2" w14:textId="355D7583" w:rsidR="0092696D" w:rsidRPr="00A67B2B" w:rsidRDefault="00202945" w:rsidP="0092696D">
            <w:pPr>
              <w:jc w:val="center"/>
              <w:rPr>
                <w:rFonts w:ascii="Arial" w:hAnsi="Arial" w:cs="Arial"/>
                <w:sz w:val="20"/>
                <w:szCs w:val="20"/>
              </w:rPr>
            </w:pPr>
            <w:r>
              <w:rPr>
                <w:rFonts w:ascii="Arial" w:hAnsi="Arial" w:cs="Arial"/>
                <w:sz w:val="20"/>
                <w:szCs w:val="20"/>
              </w:rPr>
              <w:t>NO</w:t>
            </w:r>
          </w:p>
        </w:tc>
        <w:tc>
          <w:tcPr>
            <w:tcW w:w="1183" w:type="dxa"/>
          </w:tcPr>
          <w:p w14:paraId="7DFB5A62" w14:textId="281A389D" w:rsidR="0092696D" w:rsidRPr="00A67B2B" w:rsidRDefault="0092696D" w:rsidP="0092696D">
            <w:pPr>
              <w:jc w:val="center"/>
              <w:rPr>
                <w:rFonts w:ascii="Arial" w:hAnsi="Arial" w:cs="Arial"/>
                <w:sz w:val="20"/>
                <w:szCs w:val="20"/>
              </w:rPr>
            </w:pPr>
            <w:r>
              <w:rPr>
                <w:rFonts w:ascii="Arial" w:hAnsi="Arial" w:cs="Arial"/>
                <w:sz w:val="20"/>
                <w:szCs w:val="20"/>
              </w:rPr>
              <w:t>YES</w:t>
            </w:r>
          </w:p>
        </w:tc>
        <w:tc>
          <w:tcPr>
            <w:tcW w:w="1017" w:type="dxa"/>
          </w:tcPr>
          <w:p w14:paraId="2EC764F4" w14:textId="7CE6C2CE" w:rsidR="0092696D" w:rsidRPr="00A67B2B" w:rsidRDefault="0092696D" w:rsidP="0092696D">
            <w:pPr>
              <w:jc w:val="center"/>
              <w:rPr>
                <w:rFonts w:ascii="Arial" w:hAnsi="Arial" w:cs="Arial"/>
                <w:sz w:val="20"/>
                <w:szCs w:val="20"/>
              </w:rPr>
            </w:pPr>
            <w:r>
              <w:rPr>
                <w:rFonts w:ascii="Arial" w:hAnsi="Arial" w:cs="Arial"/>
                <w:sz w:val="20"/>
                <w:szCs w:val="20"/>
              </w:rPr>
              <w:t>N/A</w:t>
            </w:r>
          </w:p>
        </w:tc>
        <w:tc>
          <w:tcPr>
            <w:tcW w:w="6263" w:type="dxa"/>
          </w:tcPr>
          <w:p w14:paraId="3278A827" w14:textId="072A071F" w:rsidR="0092696D" w:rsidRPr="00A67B2B" w:rsidRDefault="00DA3E51" w:rsidP="0092696D">
            <w:pPr>
              <w:rPr>
                <w:rFonts w:ascii="Arial" w:hAnsi="Arial" w:cs="Arial"/>
                <w:sz w:val="20"/>
                <w:szCs w:val="20"/>
              </w:rPr>
            </w:pPr>
            <w:r w:rsidRPr="00DA3E51">
              <w:rPr>
                <w:rFonts w:ascii="Arial" w:hAnsi="Arial" w:cs="Arial"/>
                <w:sz w:val="20"/>
                <w:szCs w:val="20"/>
              </w:rPr>
              <w:t>NCUTCD recommends revision to the first Standard statement to require the vibrotactile arrow be located on the pushbutton, and delete the text concerning non-provision of pushbuttons, because pushbuttons are always provided with accessible pedestrian signals.</w:t>
            </w:r>
          </w:p>
        </w:tc>
      </w:tr>
      <w:tr w:rsidR="0092696D" w14:paraId="28C4651F" w14:textId="77777777" w:rsidTr="006D1026">
        <w:tc>
          <w:tcPr>
            <w:tcW w:w="1170" w:type="dxa"/>
          </w:tcPr>
          <w:p w14:paraId="50E07769" w14:textId="2B2A1E50" w:rsidR="0092696D" w:rsidRPr="00A67B2B" w:rsidRDefault="0092696D" w:rsidP="0092696D">
            <w:pPr>
              <w:rPr>
                <w:rFonts w:ascii="Arial" w:hAnsi="Arial" w:cs="Arial"/>
                <w:sz w:val="20"/>
                <w:szCs w:val="20"/>
              </w:rPr>
            </w:pPr>
            <w:r>
              <w:rPr>
                <w:rFonts w:ascii="Arial" w:hAnsi="Arial" w:cs="Arial"/>
                <w:sz w:val="20"/>
                <w:szCs w:val="20"/>
              </w:rPr>
              <w:t>4K.05</w:t>
            </w:r>
          </w:p>
        </w:tc>
        <w:tc>
          <w:tcPr>
            <w:tcW w:w="1167" w:type="dxa"/>
          </w:tcPr>
          <w:p w14:paraId="4E51D807" w14:textId="75433B0D" w:rsidR="0092696D" w:rsidRPr="00A67B2B" w:rsidRDefault="00202945" w:rsidP="0092696D">
            <w:pPr>
              <w:jc w:val="center"/>
              <w:rPr>
                <w:rFonts w:ascii="Arial" w:hAnsi="Arial" w:cs="Arial"/>
                <w:sz w:val="20"/>
                <w:szCs w:val="20"/>
              </w:rPr>
            </w:pPr>
            <w:r>
              <w:rPr>
                <w:rFonts w:ascii="Arial" w:hAnsi="Arial" w:cs="Arial"/>
                <w:sz w:val="20"/>
                <w:szCs w:val="20"/>
              </w:rPr>
              <w:t>NO</w:t>
            </w:r>
          </w:p>
        </w:tc>
        <w:tc>
          <w:tcPr>
            <w:tcW w:w="1183" w:type="dxa"/>
          </w:tcPr>
          <w:p w14:paraId="34D95910" w14:textId="0A4C98DB" w:rsidR="0092696D" w:rsidRPr="00A67B2B" w:rsidRDefault="0092696D" w:rsidP="0092696D">
            <w:pPr>
              <w:jc w:val="center"/>
              <w:rPr>
                <w:rFonts w:ascii="Arial" w:hAnsi="Arial" w:cs="Arial"/>
                <w:sz w:val="20"/>
                <w:szCs w:val="20"/>
              </w:rPr>
            </w:pPr>
            <w:r>
              <w:rPr>
                <w:rFonts w:ascii="Arial" w:hAnsi="Arial" w:cs="Arial"/>
                <w:sz w:val="20"/>
                <w:szCs w:val="20"/>
              </w:rPr>
              <w:t>YES</w:t>
            </w:r>
          </w:p>
        </w:tc>
        <w:tc>
          <w:tcPr>
            <w:tcW w:w="1017" w:type="dxa"/>
          </w:tcPr>
          <w:p w14:paraId="113A9075" w14:textId="4540E47F" w:rsidR="0092696D" w:rsidRPr="00A67B2B" w:rsidRDefault="0092696D" w:rsidP="0092696D">
            <w:pPr>
              <w:jc w:val="center"/>
              <w:rPr>
                <w:rFonts w:ascii="Arial" w:hAnsi="Arial" w:cs="Arial"/>
                <w:sz w:val="20"/>
                <w:szCs w:val="20"/>
              </w:rPr>
            </w:pPr>
            <w:r>
              <w:rPr>
                <w:rFonts w:ascii="Arial" w:hAnsi="Arial" w:cs="Arial"/>
                <w:sz w:val="20"/>
                <w:szCs w:val="20"/>
              </w:rPr>
              <w:t>N/A</w:t>
            </w:r>
          </w:p>
        </w:tc>
        <w:tc>
          <w:tcPr>
            <w:tcW w:w="6263" w:type="dxa"/>
          </w:tcPr>
          <w:p w14:paraId="0EC4A396" w14:textId="78FEC43E" w:rsidR="0092696D" w:rsidRPr="00A67B2B" w:rsidRDefault="003F4F8A" w:rsidP="0092696D">
            <w:pPr>
              <w:rPr>
                <w:rFonts w:ascii="Arial" w:hAnsi="Arial" w:cs="Arial"/>
                <w:sz w:val="20"/>
                <w:szCs w:val="20"/>
              </w:rPr>
            </w:pPr>
            <w:r w:rsidRPr="003F4F8A">
              <w:rPr>
                <w:rFonts w:ascii="Arial" w:hAnsi="Arial" w:cs="Arial"/>
                <w:sz w:val="20"/>
                <w:szCs w:val="20"/>
              </w:rPr>
              <w:t>NCUTCD recommends retaining the requirement for the PUSH BUTTON FOR 2 SECONDS FOR EXTRA CROSSING TIME (R10-32P) plaque as included in the 2009 MUTCD. This Section addresses extended button press features and is a logical location for a practitioner to look for this information</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lastRenderedPageBreak/>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4498E" w14:textId="77777777" w:rsidR="00552A3E" w:rsidRDefault="00552A3E" w:rsidP="00CA28CD">
      <w:pPr>
        <w:spacing w:after="0" w:line="240" w:lineRule="auto"/>
      </w:pPr>
      <w:r>
        <w:separator/>
      </w:r>
    </w:p>
  </w:endnote>
  <w:endnote w:type="continuationSeparator" w:id="0">
    <w:p w14:paraId="0D2FB9BA" w14:textId="77777777" w:rsidR="00552A3E" w:rsidRDefault="00552A3E"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4C14EA42"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DD1701">
      <w:rPr>
        <w:rFonts w:ascii="Arial" w:hAnsi="Arial" w:cs="Arial"/>
        <w:sz w:val="21"/>
        <w:szCs w:val="21"/>
      </w:rPr>
      <w:t>4</w:t>
    </w:r>
    <w:r w:rsidR="0092696D">
      <w:rPr>
        <w:rFonts w:ascii="Arial" w:hAnsi="Arial" w:cs="Arial"/>
        <w:sz w:val="21"/>
        <w:szCs w:val="21"/>
      </w:rPr>
      <w:t>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8E308" w14:textId="77777777" w:rsidR="00552A3E" w:rsidRDefault="00552A3E" w:rsidP="00CA28CD">
      <w:pPr>
        <w:spacing w:after="0" w:line="240" w:lineRule="auto"/>
      </w:pPr>
      <w:r>
        <w:separator/>
      </w:r>
    </w:p>
  </w:footnote>
  <w:footnote w:type="continuationSeparator" w:id="0">
    <w:p w14:paraId="4267F035" w14:textId="77777777" w:rsidR="00552A3E" w:rsidRDefault="00552A3E"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B28D3"/>
    <w:rsid w:val="000C12B2"/>
    <w:rsid w:val="000D7F45"/>
    <w:rsid w:val="000E5FF2"/>
    <w:rsid w:val="000F6CA9"/>
    <w:rsid w:val="001177E6"/>
    <w:rsid w:val="00142413"/>
    <w:rsid w:val="001467C2"/>
    <w:rsid w:val="00160C94"/>
    <w:rsid w:val="00167C41"/>
    <w:rsid w:val="00185458"/>
    <w:rsid w:val="00187D5A"/>
    <w:rsid w:val="00192171"/>
    <w:rsid w:val="00197C1E"/>
    <w:rsid w:val="001B1B30"/>
    <w:rsid w:val="001B5156"/>
    <w:rsid w:val="001C7E04"/>
    <w:rsid w:val="001E1EBD"/>
    <w:rsid w:val="00202945"/>
    <w:rsid w:val="002063CD"/>
    <w:rsid w:val="00225108"/>
    <w:rsid w:val="00242B8E"/>
    <w:rsid w:val="00260856"/>
    <w:rsid w:val="002715A2"/>
    <w:rsid w:val="002715A7"/>
    <w:rsid w:val="00277785"/>
    <w:rsid w:val="00284097"/>
    <w:rsid w:val="00286AE2"/>
    <w:rsid w:val="00295CAE"/>
    <w:rsid w:val="002A11FF"/>
    <w:rsid w:val="002A1D98"/>
    <w:rsid w:val="002A50E5"/>
    <w:rsid w:val="002C4CE5"/>
    <w:rsid w:val="002E2E5A"/>
    <w:rsid w:val="00354FE9"/>
    <w:rsid w:val="00371935"/>
    <w:rsid w:val="003774EE"/>
    <w:rsid w:val="00393E82"/>
    <w:rsid w:val="00394743"/>
    <w:rsid w:val="00396819"/>
    <w:rsid w:val="003A68AB"/>
    <w:rsid w:val="003C400F"/>
    <w:rsid w:val="003C79CF"/>
    <w:rsid w:val="003D605E"/>
    <w:rsid w:val="003F4F8A"/>
    <w:rsid w:val="003F578E"/>
    <w:rsid w:val="004110FD"/>
    <w:rsid w:val="00412ED2"/>
    <w:rsid w:val="00417593"/>
    <w:rsid w:val="0043299E"/>
    <w:rsid w:val="00433326"/>
    <w:rsid w:val="004430D7"/>
    <w:rsid w:val="00445649"/>
    <w:rsid w:val="00460EB9"/>
    <w:rsid w:val="004A03C4"/>
    <w:rsid w:val="004F0FF0"/>
    <w:rsid w:val="00520AAA"/>
    <w:rsid w:val="00525497"/>
    <w:rsid w:val="00525FE6"/>
    <w:rsid w:val="00552921"/>
    <w:rsid w:val="00552A3E"/>
    <w:rsid w:val="005B694A"/>
    <w:rsid w:val="005F11B8"/>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696D"/>
    <w:rsid w:val="009272C9"/>
    <w:rsid w:val="00927EB7"/>
    <w:rsid w:val="009816AB"/>
    <w:rsid w:val="00986E47"/>
    <w:rsid w:val="009937CF"/>
    <w:rsid w:val="00997A49"/>
    <w:rsid w:val="009A121F"/>
    <w:rsid w:val="009B20E9"/>
    <w:rsid w:val="009D4A6F"/>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1533"/>
    <w:rsid w:val="00B64366"/>
    <w:rsid w:val="00B80D10"/>
    <w:rsid w:val="00B824F8"/>
    <w:rsid w:val="00B8673B"/>
    <w:rsid w:val="00BB104C"/>
    <w:rsid w:val="00BC3B64"/>
    <w:rsid w:val="00BD7682"/>
    <w:rsid w:val="00BE5119"/>
    <w:rsid w:val="00BE6E30"/>
    <w:rsid w:val="00C1721D"/>
    <w:rsid w:val="00C25EA4"/>
    <w:rsid w:val="00C27DB3"/>
    <w:rsid w:val="00C4768F"/>
    <w:rsid w:val="00C52EA2"/>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66D26"/>
    <w:rsid w:val="00D67AB1"/>
    <w:rsid w:val="00D72EC6"/>
    <w:rsid w:val="00D74FE4"/>
    <w:rsid w:val="00D85085"/>
    <w:rsid w:val="00D86280"/>
    <w:rsid w:val="00D922F7"/>
    <w:rsid w:val="00DA3E51"/>
    <w:rsid w:val="00DA6D06"/>
    <w:rsid w:val="00DA7226"/>
    <w:rsid w:val="00DB0FBC"/>
    <w:rsid w:val="00DB37DB"/>
    <w:rsid w:val="00DD1701"/>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96A74"/>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81a52b0-d0f4-44f0-98bb-0d102f5fd161"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8</cp:revision>
  <dcterms:created xsi:type="dcterms:W3CDTF">2021-04-27T19:16:00Z</dcterms:created>
  <dcterms:modified xsi:type="dcterms:W3CDTF">2021-05-01T06:13:00Z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