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40594A">
        <w:trPr>
          <w:cantSplit/>
        </w:trPr>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C9544F" w:rsidRPr="00C6499A" w14:paraId="419081C3" w14:textId="77777777" w:rsidTr="0040594A">
        <w:trPr>
          <w:cantSplit/>
        </w:trPr>
        <w:tc>
          <w:tcPr>
            <w:tcW w:w="1170" w:type="dxa"/>
          </w:tcPr>
          <w:p w14:paraId="2BC42DC5" w14:textId="5111488A" w:rsidR="00C9544F" w:rsidRPr="00C6499A" w:rsidRDefault="007950E2" w:rsidP="00A67B2B">
            <w:pPr>
              <w:rPr>
                <w:rFonts w:ascii="Arial" w:hAnsi="Arial" w:cs="Arial"/>
                <w:sz w:val="20"/>
                <w:szCs w:val="20"/>
              </w:rPr>
            </w:pPr>
            <w:r w:rsidRPr="00C6499A">
              <w:rPr>
                <w:rFonts w:ascii="Arial" w:hAnsi="Arial" w:cs="Arial"/>
                <w:sz w:val="20"/>
                <w:szCs w:val="20"/>
              </w:rPr>
              <w:t>2L.01</w:t>
            </w:r>
          </w:p>
        </w:tc>
        <w:tc>
          <w:tcPr>
            <w:tcW w:w="1167" w:type="dxa"/>
          </w:tcPr>
          <w:p w14:paraId="201CA3BA" w14:textId="3569E972" w:rsidR="00C9544F" w:rsidRPr="00C6499A" w:rsidRDefault="007950E2" w:rsidP="00A67B2B">
            <w:pPr>
              <w:jc w:val="center"/>
              <w:rPr>
                <w:rFonts w:ascii="Arial" w:hAnsi="Arial" w:cs="Arial"/>
                <w:sz w:val="20"/>
                <w:szCs w:val="20"/>
              </w:rPr>
            </w:pPr>
            <w:r w:rsidRPr="00C6499A">
              <w:rPr>
                <w:rFonts w:ascii="Arial" w:hAnsi="Arial" w:cs="Arial"/>
                <w:sz w:val="20"/>
                <w:szCs w:val="20"/>
              </w:rPr>
              <w:t>NO</w:t>
            </w:r>
          </w:p>
        </w:tc>
        <w:tc>
          <w:tcPr>
            <w:tcW w:w="1183" w:type="dxa"/>
          </w:tcPr>
          <w:p w14:paraId="05C1E327" w14:textId="29E64BCE" w:rsidR="00C9544F" w:rsidRPr="00C6499A" w:rsidRDefault="007950E2" w:rsidP="00A67B2B">
            <w:pPr>
              <w:jc w:val="center"/>
              <w:rPr>
                <w:rFonts w:ascii="Arial" w:hAnsi="Arial" w:cs="Arial"/>
                <w:sz w:val="20"/>
                <w:szCs w:val="20"/>
              </w:rPr>
            </w:pPr>
            <w:r w:rsidRPr="00C6499A">
              <w:rPr>
                <w:rFonts w:ascii="Arial" w:hAnsi="Arial" w:cs="Arial"/>
                <w:sz w:val="20"/>
                <w:szCs w:val="20"/>
              </w:rPr>
              <w:t>YES</w:t>
            </w:r>
          </w:p>
        </w:tc>
        <w:tc>
          <w:tcPr>
            <w:tcW w:w="1017" w:type="dxa"/>
          </w:tcPr>
          <w:p w14:paraId="7A33F4B4" w14:textId="51F86771" w:rsidR="00C9544F" w:rsidRPr="00C6499A" w:rsidRDefault="00C9544F" w:rsidP="00A67B2B">
            <w:pPr>
              <w:jc w:val="center"/>
              <w:rPr>
                <w:rFonts w:ascii="Arial" w:hAnsi="Arial" w:cs="Arial"/>
                <w:sz w:val="20"/>
                <w:szCs w:val="20"/>
              </w:rPr>
            </w:pPr>
            <w:r w:rsidRPr="00C6499A">
              <w:rPr>
                <w:rFonts w:ascii="Arial" w:hAnsi="Arial" w:cs="Arial"/>
                <w:sz w:val="20"/>
                <w:szCs w:val="20"/>
              </w:rPr>
              <w:t>N/A</w:t>
            </w:r>
          </w:p>
        </w:tc>
        <w:tc>
          <w:tcPr>
            <w:tcW w:w="6263" w:type="dxa"/>
          </w:tcPr>
          <w:p w14:paraId="05FD0935" w14:textId="29D7276E" w:rsidR="00C6499A" w:rsidRPr="00C6499A" w:rsidRDefault="00C6499A" w:rsidP="00C6499A">
            <w:pPr>
              <w:autoSpaceDE w:val="0"/>
              <w:autoSpaceDN w:val="0"/>
              <w:adjustRightInd w:val="0"/>
              <w:rPr>
                <w:rFonts w:ascii="Arial" w:hAnsi="Arial" w:cs="Arial"/>
                <w:bCs/>
                <w:sz w:val="20"/>
                <w:szCs w:val="20"/>
              </w:rPr>
            </w:pPr>
            <w:r w:rsidRPr="00C6499A">
              <w:rPr>
                <w:rFonts w:ascii="Arial" w:hAnsi="Arial" w:cs="Arial"/>
                <w:bCs/>
                <w:sz w:val="20"/>
                <w:szCs w:val="20"/>
              </w:rPr>
              <w:t>NCUTCD recommends revising 2L.01 as follows:</w:t>
            </w:r>
          </w:p>
          <w:p w14:paraId="5756F0EC" w14:textId="77777777" w:rsidR="00C6499A" w:rsidRPr="00C6499A" w:rsidRDefault="00C6499A" w:rsidP="00C6499A">
            <w:pPr>
              <w:pStyle w:val="ListParagraph"/>
              <w:widowControl w:val="0"/>
              <w:numPr>
                <w:ilvl w:val="0"/>
                <w:numId w:val="6"/>
              </w:numPr>
              <w:tabs>
                <w:tab w:val="left" w:pos="1064"/>
                <w:tab w:val="left" w:pos="1440"/>
                <w:tab w:val="center" w:pos="4680"/>
                <w:tab w:val="right" w:pos="9360"/>
              </w:tabs>
              <w:spacing w:before="27" w:line="260" w:lineRule="exact"/>
              <w:ind w:hanging="270"/>
              <w:rPr>
                <w:rFonts w:ascii="Arial" w:hAnsi="Arial" w:cs="Arial"/>
                <w:sz w:val="20"/>
                <w:szCs w:val="20"/>
              </w:rPr>
            </w:pPr>
            <w:r w:rsidRPr="00C6499A">
              <w:rPr>
                <w:rFonts w:ascii="Arial" w:hAnsi="Arial" w:cs="Arial"/>
                <w:sz w:val="20"/>
                <w:szCs w:val="20"/>
              </w:rPr>
              <w:t>NCUTCD recommends rearranging some text for clarity.</w:t>
            </w:r>
          </w:p>
          <w:p w14:paraId="3D657031" w14:textId="77777777" w:rsidR="00C6499A" w:rsidRPr="00C6499A" w:rsidRDefault="00C6499A" w:rsidP="00C6499A">
            <w:pPr>
              <w:pStyle w:val="ListParagraph"/>
              <w:widowControl w:val="0"/>
              <w:numPr>
                <w:ilvl w:val="0"/>
                <w:numId w:val="6"/>
              </w:numPr>
              <w:tabs>
                <w:tab w:val="left" w:pos="1064"/>
                <w:tab w:val="left" w:pos="1440"/>
                <w:tab w:val="center" w:pos="4680"/>
                <w:tab w:val="right" w:pos="9360"/>
              </w:tabs>
              <w:spacing w:before="27" w:line="260" w:lineRule="exact"/>
              <w:ind w:hanging="270"/>
              <w:rPr>
                <w:rFonts w:ascii="Arial" w:hAnsi="Arial" w:cs="Arial"/>
                <w:sz w:val="20"/>
                <w:szCs w:val="20"/>
              </w:rPr>
            </w:pPr>
            <w:r w:rsidRPr="00C6499A">
              <w:rPr>
                <w:rFonts w:ascii="Arial" w:hAnsi="Arial" w:cs="Arial"/>
                <w:sz w:val="20"/>
                <w:szCs w:val="20"/>
              </w:rPr>
              <w:t xml:space="preserve">NCUTCD does not agree with the Support statement defining a changeable message sign to be a traffic control device at all times. There are situations where CMSs, especially portable CMSs, may be used for informative messages not strictly involving traffic control. </w:t>
            </w:r>
          </w:p>
          <w:p w14:paraId="4BD5F11A" w14:textId="77777777" w:rsidR="003D0B00" w:rsidRDefault="00C6499A" w:rsidP="003D0B00">
            <w:pPr>
              <w:pStyle w:val="ListParagraph"/>
              <w:widowControl w:val="0"/>
              <w:numPr>
                <w:ilvl w:val="0"/>
                <w:numId w:val="6"/>
              </w:numPr>
              <w:tabs>
                <w:tab w:val="left" w:pos="1064"/>
                <w:tab w:val="left" w:pos="1440"/>
                <w:tab w:val="center" w:pos="4680"/>
                <w:tab w:val="right" w:pos="9360"/>
              </w:tabs>
              <w:spacing w:before="27" w:line="260" w:lineRule="exact"/>
              <w:ind w:hanging="270"/>
              <w:rPr>
                <w:rFonts w:ascii="Arial" w:hAnsi="Arial" w:cs="Arial"/>
                <w:sz w:val="20"/>
                <w:szCs w:val="20"/>
              </w:rPr>
            </w:pPr>
            <w:r w:rsidRPr="00C6499A">
              <w:rPr>
                <w:rFonts w:ascii="Arial" w:hAnsi="Arial" w:cs="Arial"/>
                <w:sz w:val="20"/>
                <w:szCs w:val="20"/>
              </w:rPr>
              <w:t>Revise the Standard statement on the display of names or logos of manufacturers, brands, or model numbers to only prohibit display of this type of information on the front of a CMS, and allow the display of names or logos of manufacturers, brands, or model numbers on the back side (away from traffic) of CMSs.  Some roadway agencies own a number of portable CMSs and it may be helpful to have the manufacturer’s name and/or model number visible to roadway agency personnel as they manage their CMS fleet.</w:t>
            </w:r>
          </w:p>
          <w:p w14:paraId="363F9DAB" w14:textId="787C18F2" w:rsidR="00C9544F" w:rsidRPr="003D0B00" w:rsidRDefault="00C6499A" w:rsidP="003D0B00">
            <w:pPr>
              <w:pStyle w:val="ListParagraph"/>
              <w:widowControl w:val="0"/>
              <w:numPr>
                <w:ilvl w:val="0"/>
                <w:numId w:val="6"/>
              </w:numPr>
              <w:tabs>
                <w:tab w:val="left" w:pos="1064"/>
                <w:tab w:val="left" w:pos="1440"/>
                <w:tab w:val="center" w:pos="4680"/>
                <w:tab w:val="right" w:pos="9360"/>
              </w:tabs>
              <w:spacing w:before="27" w:line="260" w:lineRule="exact"/>
              <w:ind w:hanging="270"/>
              <w:rPr>
                <w:rFonts w:ascii="Arial" w:hAnsi="Arial" w:cs="Arial"/>
                <w:sz w:val="20"/>
                <w:szCs w:val="20"/>
              </w:rPr>
            </w:pPr>
            <w:r w:rsidRPr="003D0B00">
              <w:rPr>
                <w:rFonts w:ascii="Arial" w:hAnsi="Arial" w:cs="Arial"/>
                <w:sz w:val="20"/>
                <w:szCs w:val="20"/>
              </w:rPr>
              <w:t>Other edits in accordance with NCUTCD recommendations 14B-GMI-09 and 20B-RW-03.</w:t>
            </w:r>
          </w:p>
        </w:tc>
      </w:tr>
      <w:tr w:rsidR="00782C18" w:rsidRPr="00C6499A" w14:paraId="728D6732" w14:textId="0756E885" w:rsidTr="0040594A">
        <w:trPr>
          <w:cantSplit/>
        </w:trPr>
        <w:tc>
          <w:tcPr>
            <w:tcW w:w="1170" w:type="dxa"/>
          </w:tcPr>
          <w:p w14:paraId="6AFCDF00" w14:textId="77A98C4D" w:rsidR="00F06647" w:rsidRPr="00C6499A" w:rsidRDefault="0099748D" w:rsidP="00A67B2B">
            <w:pPr>
              <w:spacing w:line="259" w:lineRule="auto"/>
              <w:rPr>
                <w:rFonts w:ascii="Arial" w:hAnsi="Arial" w:cs="Arial"/>
                <w:sz w:val="20"/>
                <w:szCs w:val="20"/>
              </w:rPr>
            </w:pPr>
            <w:r w:rsidRPr="00C6499A">
              <w:rPr>
                <w:rFonts w:ascii="Arial" w:hAnsi="Arial" w:cs="Arial"/>
                <w:sz w:val="20"/>
                <w:szCs w:val="20"/>
              </w:rPr>
              <w:lastRenderedPageBreak/>
              <w:t>2</w:t>
            </w:r>
            <w:r w:rsidR="007950E2" w:rsidRPr="00C6499A">
              <w:rPr>
                <w:rFonts w:ascii="Arial" w:hAnsi="Arial" w:cs="Arial"/>
                <w:sz w:val="20"/>
                <w:szCs w:val="20"/>
              </w:rPr>
              <w:t>L.02</w:t>
            </w:r>
          </w:p>
        </w:tc>
        <w:tc>
          <w:tcPr>
            <w:tcW w:w="1167" w:type="dxa"/>
          </w:tcPr>
          <w:p w14:paraId="02040168" w14:textId="24C1D929" w:rsidR="00F06647" w:rsidRPr="00C6499A" w:rsidRDefault="0099748D" w:rsidP="00A67B2B">
            <w:pPr>
              <w:spacing w:line="259" w:lineRule="auto"/>
              <w:jc w:val="center"/>
              <w:rPr>
                <w:rFonts w:ascii="Arial" w:hAnsi="Arial" w:cs="Arial"/>
                <w:sz w:val="20"/>
                <w:szCs w:val="20"/>
              </w:rPr>
            </w:pPr>
            <w:r w:rsidRPr="00C6499A">
              <w:rPr>
                <w:rFonts w:ascii="Arial" w:hAnsi="Arial" w:cs="Arial"/>
                <w:sz w:val="20"/>
                <w:szCs w:val="20"/>
              </w:rPr>
              <w:t>NO</w:t>
            </w:r>
          </w:p>
        </w:tc>
        <w:tc>
          <w:tcPr>
            <w:tcW w:w="1183" w:type="dxa"/>
          </w:tcPr>
          <w:p w14:paraId="6EB6B6BD" w14:textId="4185E460" w:rsidR="00F06647" w:rsidRPr="00C6499A" w:rsidRDefault="0099748D" w:rsidP="00A67B2B">
            <w:pPr>
              <w:spacing w:line="259" w:lineRule="auto"/>
              <w:jc w:val="center"/>
              <w:rPr>
                <w:rFonts w:ascii="Arial" w:hAnsi="Arial" w:cs="Arial"/>
                <w:sz w:val="20"/>
                <w:szCs w:val="20"/>
              </w:rPr>
            </w:pPr>
            <w:r w:rsidRPr="00C6499A">
              <w:rPr>
                <w:rFonts w:ascii="Arial" w:hAnsi="Arial" w:cs="Arial"/>
                <w:sz w:val="20"/>
                <w:szCs w:val="20"/>
              </w:rPr>
              <w:t>YES</w:t>
            </w:r>
          </w:p>
        </w:tc>
        <w:tc>
          <w:tcPr>
            <w:tcW w:w="1017" w:type="dxa"/>
          </w:tcPr>
          <w:p w14:paraId="50A51550" w14:textId="4FA44B0B" w:rsidR="00F06647" w:rsidRPr="00C6499A" w:rsidRDefault="0099748D" w:rsidP="00A67B2B">
            <w:pPr>
              <w:spacing w:line="259" w:lineRule="auto"/>
              <w:jc w:val="center"/>
              <w:rPr>
                <w:rFonts w:ascii="Arial" w:hAnsi="Arial" w:cs="Arial"/>
                <w:sz w:val="20"/>
                <w:szCs w:val="20"/>
              </w:rPr>
            </w:pPr>
            <w:r w:rsidRPr="00C6499A">
              <w:rPr>
                <w:rFonts w:ascii="Arial" w:hAnsi="Arial" w:cs="Arial"/>
                <w:sz w:val="20"/>
                <w:szCs w:val="20"/>
              </w:rPr>
              <w:t>N/A</w:t>
            </w:r>
          </w:p>
        </w:tc>
        <w:tc>
          <w:tcPr>
            <w:tcW w:w="6263" w:type="dxa"/>
          </w:tcPr>
          <w:p w14:paraId="7B2682BC" w14:textId="77777777" w:rsidR="00C6499A" w:rsidRPr="00C6499A" w:rsidRDefault="00C6499A" w:rsidP="00C6499A">
            <w:pPr>
              <w:autoSpaceDE w:val="0"/>
              <w:autoSpaceDN w:val="0"/>
              <w:adjustRightInd w:val="0"/>
              <w:rPr>
                <w:rFonts w:ascii="Arial" w:hAnsi="Arial" w:cs="Arial"/>
                <w:bCs/>
                <w:sz w:val="20"/>
                <w:szCs w:val="20"/>
              </w:rPr>
            </w:pPr>
            <w:r w:rsidRPr="00C6499A">
              <w:rPr>
                <w:rFonts w:ascii="Arial" w:hAnsi="Arial" w:cs="Arial"/>
                <w:bCs/>
                <w:sz w:val="20"/>
                <w:szCs w:val="20"/>
              </w:rPr>
              <w:t>NCUTCD generally agrees with 2L.02, but recommends the following changes:</w:t>
            </w:r>
          </w:p>
          <w:p w14:paraId="0F7250C6" w14:textId="77777777" w:rsidR="00C6499A" w:rsidRPr="00C6499A" w:rsidRDefault="00C6499A" w:rsidP="00C6499A">
            <w:pPr>
              <w:pStyle w:val="ListParagraph"/>
              <w:widowControl w:val="0"/>
              <w:numPr>
                <w:ilvl w:val="0"/>
                <w:numId w:val="10"/>
              </w:numPr>
              <w:tabs>
                <w:tab w:val="left" w:pos="1064"/>
                <w:tab w:val="left" w:pos="1440"/>
                <w:tab w:val="center" w:pos="4680"/>
                <w:tab w:val="right" w:pos="9360"/>
              </w:tabs>
              <w:spacing w:before="27" w:line="260" w:lineRule="exact"/>
              <w:rPr>
                <w:rFonts w:ascii="Arial" w:hAnsi="Arial" w:cs="Arial"/>
                <w:sz w:val="20"/>
                <w:szCs w:val="20"/>
              </w:rPr>
            </w:pPr>
            <w:r w:rsidRPr="00C6499A">
              <w:rPr>
                <w:rFonts w:ascii="Arial" w:hAnsi="Arial" w:cs="Arial"/>
                <w:sz w:val="20"/>
                <w:szCs w:val="20"/>
              </w:rPr>
              <w:t>Allow exceptions for other types of alerts (Silver and Blue Alerts) required by state statute or executive order.</w:t>
            </w:r>
          </w:p>
          <w:p w14:paraId="2F9173C1" w14:textId="77777777" w:rsidR="00C6499A" w:rsidRPr="00C6499A" w:rsidRDefault="00C6499A" w:rsidP="00C6499A">
            <w:pPr>
              <w:pStyle w:val="ListParagraph"/>
              <w:widowControl w:val="0"/>
              <w:numPr>
                <w:ilvl w:val="0"/>
                <w:numId w:val="10"/>
              </w:numPr>
              <w:tabs>
                <w:tab w:val="left" w:pos="1064"/>
                <w:tab w:val="left" w:pos="1440"/>
                <w:tab w:val="center" w:pos="4680"/>
                <w:tab w:val="right" w:pos="9360"/>
              </w:tabs>
              <w:spacing w:before="27" w:line="260" w:lineRule="exact"/>
              <w:rPr>
                <w:rFonts w:ascii="Arial" w:hAnsi="Arial" w:cs="Arial"/>
                <w:sz w:val="20"/>
                <w:szCs w:val="20"/>
              </w:rPr>
            </w:pPr>
            <w:r w:rsidRPr="00C6499A">
              <w:rPr>
                <w:rFonts w:ascii="Arial" w:hAnsi="Arial" w:cs="Arial"/>
                <w:sz w:val="20"/>
                <w:szCs w:val="20"/>
              </w:rPr>
              <w:t>Add more examples of CMS messages in accordance with NCUTCD recommendation 20B-RW-03.</w:t>
            </w:r>
          </w:p>
          <w:p w14:paraId="7A1272F3" w14:textId="77777777" w:rsidR="00C6499A" w:rsidRPr="00C6499A" w:rsidRDefault="00C6499A" w:rsidP="00C6499A">
            <w:pPr>
              <w:pStyle w:val="ListParagraph"/>
              <w:widowControl w:val="0"/>
              <w:numPr>
                <w:ilvl w:val="0"/>
                <w:numId w:val="10"/>
              </w:numPr>
              <w:tabs>
                <w:tab w:val="left" w:pos="1064"/>
                <w:tab w:val="left" w:pos="1440"/>
                <w:tab w:val="center" w:pos="4680"/>
                <w:tab w:val="right" w:pos="9360"/>
              </w:tabs>
              <w:spacing w:before="27" w:line="260" w:lineRule="exact"/>
              <w:rPr>
                <w:rFonts w:ascii="Arial" w:hAnsi="Arial" w:cs="Arial"/>
                <w:sz w:val="20"/>
                <w:szCs w:val="20"/>
              </w:rPr>
            </w:pPr>
            <w:r w:rsidRPr="00C6499A">
              <w:rPr>
                <w:rFonts w:ascii="Arial" w:hAnsi="Arial" w:cs="Arial"/>
                <w:sz w:val="20"/>
                <w:szCs w:val="20"/>
              </w:rPr>
              <w:t>Allow vehicle and license plate information to be displayed as part of AMBER or other alerts. These alerts are less effective or do not make sense if vehicle and license plate information are not displayed.</w:t>
            </w:r>
          </w:p>
          <w:p w14:paraId="30D0CB31" w14:textId="77777777" w:rsidR="00C6499A" w:rsidRPr="00C6499A" w:rsidRDefault="00C6499A" w:rsidP="00C6499A">
            <w:pPr>
              <w:pStyle w:val="ListParagraph"/>
              <w:widowControl w:val="0"/>
              <w:numPr>
                <w:ilvl w:val="0"/>
                <w:numId w:val="10"/>
              </w:numPr>
              <w:tabs>
                <w:tab w:val="left" w:pos="1064"/>
                <w:tab w:val="left" w:pos="1440"/>
                <w:tab w:val="center" w:pos="4680"/>
                <w:tab w:val="right" w:pos="9360"/>
              </w:tabs>
              <w:spacing w:before="27" w:line="260" w:lineRule="exact"/>
              <w:rPr>
                <w:rFonts w:ascii="Arial" w:hAnsi="Arial" w:cs="Arial"/>
                <w:sz w:val="20"/>
                <w:szCs w:val="20"/>
              </w:rPr>
            </w:pPr>
            <w:r w:rsidRPr="00C6499A">
              <w:rPr>
                <w:rFonts w:ascii="Arial" w:hAnsi="Arial" w:cs="Arial"/>
                <w:sz w:val="20"/>
                <w:szCs w:val="20"/>
              </w:rPr>
              <w:t xml:space="preserve">Delete the text in the Guidance statement regarding unconventional or obscure messages and focus on the types of messages that are expected. </w:t>
            </w:r>
          </w:p>
          <w:p w14:paraId="550FD477" w14:textId="77777777" w:rsidR="00C6499A" w:rsidRPr="00C6499A" w:rsidRDefault="00C6499A" w:rsidP="00C6499A">
            <w:pPr>
              <w:pStyle w:val="ListParagraph"/>
              <w:widowControl w:val="0"/>
              <w:numPr>
                <w:ilvl w:val="0"/>
                <w:numId w:val="10"/>
              </w:numPr>
              <w:tabs>
                <w:tab w:val="left" w:pos="1064"/>
                <w:tab w:val="left" w:pos="1440"/>
                <w:tab w:val="center" w:pos="4680"/>
                <w:tab w:val="right" w:pos="9360"/>
              </w:tabs>
              <w:spacing w:before="27" w:line="260" w:lineRule="exact"/>
              <w:rPr>
                <w:rFonts w:ascii="Arial" w:hAnsi="Arial" w:cs="Arial"/>
                <w:sz w:val="20"/>
                <w:szCs w:val="20"/>
              </w:rPr>
            </w:pPr>
            <w:r w:rsidRPr="00C6499A">
              <w:rPr>
                <w:rFonts w:ascii="Arial" w:hAnsi="Arial" w:cs="Arial"/>
                <w:sz w:val="20"/>
                <w:szCs w:val="20"/>
              </w:rPr>
              <w:t>Other editorial changes.</w:t>
            </w:r>
          </w:p>
          <w:p w14:paraId="2C22E9F2" w14:textId="066D6DDA" w:rsidR="00F06647" w:rsidRPr="00C6499A" w:rsidRDefault="00C6499A" w:rsidP="00C6499A">
            <w:pPr>
              <w:widowControl w:val="0"/>
              <w:tabs>
                <w:tab w:val="left" w:pos="1064"/>
              </w:tabs>
              <w:spacing w:before="27" w:line="260" w:lineRule="exact"/>
              <w:rPr>
                <w:rFonts w:ascii="Arial" w:hAnsi="Arial" w:cs="Arial"/>
                <w:sz w:val="20"/>
                <w:szCs w:val="20"/>
              </w:rPr>
            </w:pPr>
            <w:r w:rsidRPr="00C6499A">
              <w:rPr>
                <w:rFonts w:ascii="Arial" w:hAnsi="Arial" w:cs="Arial"/>
                <w:sz w:val="20"/>
                <w:szCs w:val="20"/>
              </w:rPr>
              <w:t>NCUTCD recommends FHWA research the use of a “+” symbol to determine if an alternative legend should be used.</w:t>
            </w:r>
          </w:p>
        </w:tc>
      </w:tr>
      <w:tr w:rsidR="00782C18" w:rsidRPr="00C6499A" w14:paraId="291930E3" w14:textId="74252152" w:rsidTr="0040594A">
        <w:trPr>
          <w:cantSplit/>
        </w:trPr>
        <w:tc>
          <w:tcPr>
            <w:tcW w:w="1170" w:type="dxa"/>
          </w:tcPr>
          <w:p w14:paraId="5C239D48" w14:textId="151A39C0" w:rsidR="00F06647" w:rsidRPr="00C6499A" w:rsidRDefault="002428B9" w:rsidP="00A67B2B">
            <w:pPr>
              <w:spacing w:line="259" w:lineRule="auto"/>
              <w:rPr>
                <w:rFonts w:ascii="Arial" w:hAnsi="Arial" w:cs="Arial"/>
                <w:sz w:val="20"/>
                <w:szCs w:val="20"/>
              </w:rPr>
            </w:pPr>
            <w:r w:rsidRPr="00C6499A">
              <w:rPr>
                <w:rFonts w:ascii="Arial" w:hAnsi="Arial" w:cs="Arial"/>
                <w:sz w:val="20"/>
                <w:szCs w:val="20"/>
              </w:rPr>
              <w:t>2</w:t>
            </w:r>
            <w:r w:rsidR="007950E2" w:rsidRPr="00C6499A">
              <w:rPr>
                <w:rFonts w:ascii="Arial" w:hAnsi="Arial" w:cs="Arial"/>
                <w:sz w:val="20"/>
                <w:szCs w:val="20"/>
              </w:rPr>
              <w:t>L.03</w:t>
            </w:r>
          </w:p>
        </w:tc>
        <w:tc>
          <w:tcPr>
            <w:tcW w:w="1167" w:type="dxa"/>
          </w:tcPr>
          <w:p w14:paraId="5D55ADD1" w14:textId="466CA39A" w:rsidR="00F06647" w:rsidRPr="00C6499A" w:rsidRDefault="007950E2" w:rsidP="00A67B2B">
            <w:pPr>
              <w:spacing w:line="259" w:lineRule="auto"/>
              <w:jc w:val="center"/>
              <w:rPr>
                <w:rFonts w:ascii="Arial" w:hAnsi="Arial" w:cs="Arial"/>
                <w:sz w:val="20"/>
                <w:szCs w:val="20"/>
              </w:rPr>
            </w:pPr>
            <w:r w:rsidRPr="00C6499A">
              <w:rPr>
                <w:rFonts w:ascii="Arial" w:hAnsi="Arial" w:cs="Arial"/>
                <w:sz w:val="20"/>
                <w:szCs w:val="20"/>
              </w:rPr>
              <w:t>YES</w:t>
            </w:r>
          </w:p>
        </w:tc>
        <w:tc>
          <w:tcPr>
            <w:tcW w:w="1183" w:type="dxa"/>
          </w:tcPr>
          <w:p w14:paraId="3AFA22E3" w14:textId="30D3C421" w:rsidR="00F06647" w:rsidRPr="00C6499A" w:rsidRDefault="007950E2" w:rsidP="00A67B2B">
            <w:pPr>
              <w:spacing w:line="259" w:lineRule="auto"/>
              <w:jc w:val="center"/>
              <w:rPr>
                <w:rFonts w:ascii="Arial" w:hAnsi="Arial" w:cs="Arial"/>
                <w:sz w:val="20"/>
                <w:szCs w:val="20"/>
              </w:rPr>
            </w:pPr>
            <w:r w:rsidRPr="00C6499A">
              <w:rPr>
                <w:rFonts w:ascii="Arial" w:hAnsi="Arial" w:cs="Arial"/>
                <w:sz w:val="20"/>
                <w:szCs w:val="20"/>
              </w:rPr>
              <w:t>NO</w:t>
            </w:r>
          </w:p>
        </w:tc>
        <w:tc>
          <w:tcPr>
            <w:tcW w:w="1017" w:type="dxa"/>
          </w:tcPr>
          <w:p w14:paraId="636BEA9F" w14:textId="673DECA7" w:rsidR="00F06647" w:rsidRPr="00C6499A" w:rsidRDefault="002428B9" w:rsidP="00A67B2B">
            <w:pPr>
              <w:spacing w:line="259" w:lineRule="auto"/>
              <w:jc w:val="center"/>
              <w:rPr>
                <w:rFonts w:ascii="Arial" w:hAnsi="Arial" w:cs="Arial"/>
                <w:sz w:val="20"/>
                <w:szCs w:val="20"/>
              </w:rPr>
            </w:pPr>
            <w:r w:rsidRPr="00C6499A">
              <w:rPr>
                <w:rFonts w:ascii="Arial" w:hAnsi="Arial" w:cs="Arial"/>
                <w:sz w:val="20"/>
                <w:szCs w:val="20"/>
              </w:rPr>
              <w:t>N/A</w:t>
            </w:r>
          </w:p>
        </w:tc>
        <w:tc>
          <w:tcPr>
            <w:tcW w:w="6263" w:type="dxa"/>
          </w:tcPr>
          <w:p w14:paraId="4F7C4F3C" w14:textId="7BA18F6C" w:rsidR="00F06647" w:rsidRPr="00C6499A" w:rsidRDefault="00C6499A" w:rsidP="00C6499A">
            <w:pPr>
              <w:autoSpaceDE w:val="0"/>
              <w:autoSpaceDN w:val="0"/>
              <w:adjustRightInd w:val="0"/>
              <w:rPr>
                <w:rFonts w:ascii="Arial" w:hAnsi="Arial" w:cs="Arial"/>
                <w:sz w:val="20"/>
                <w:szCs w:val="20"/>
              </w:rPr>
            </w:pPr>
            <w:r w:rsidRPr="00C6499A">
              <w:rPr>
                <w:rFonts w:ascii="Arial" w:hAnsi="Arial" w:cs="Arial"/>
                <w:bCs/>
                <w:sz w:val="20"/>
                <w:szCs w:val="20"/>
              </w:rPr>
              <w:t>NCUTCD agrees with 2L.03 as presented in the NPA.</w:t>
            </w:r>
          </w:p>
        </w:tc>
      </w:tr>
      <w:tr w:rsidR="00E805D1" w:rsidRPr="00C6499A" w14:paraId="441F5ED9" w14:textId="3F7BEEC2" w:rsidTr="0040594A">
        <w:trPr>
          <w:cantSplit/>
        </w:trPr>
        <w:tc>
          <w:tcPr>
            <w:tcW w:w="1170" w:type="dxa"/>
          </w:tcPr>
          <w:p w14:paraId="467546D0" w14:textId="71AE6F99" w:rsidR="00E805D1" w:rsidRPr="00C6499A" w:rsidRDefault="00E805D1" w:rsidP="00E805D1">
            <w:pPr>
              <w:spacing w:line="259" w:lineRule="auto"/>
              <w:rPr>
                <w:rFonts w:ascii="Arial" w:hAnsi="Arial" w:cs="Arial"/>
                <w:sz w:val="20"/>
                <w:szCs w:val="20"/>
              </w:rPr>
            </w:pPr>
            <w:r w:rsidRPr="00C6499A">
              <w:rPr>
                <w:rFonts w:ascii="Arial" w:hAnsi="Arial" w:cs="Arial"/>
                <w:sz w:val="20"/>
                <w:szCs w:val="20"/>
              </w:rPr>
              <w:t>2</w:t>
            </w:r>
            <w:r w:rsidR="007950E2" w:rsidRPr="00C6499A">
              <w:rPr>
                <w:rFonts w:ascii="Arial" w:hAnsi="Arial" w:cs="Arial"/>
                <w:sz w:val="20"/>
                <w:szCs w:val="20"/>
              </w:rPr>
              <w:t>L.04</w:t>
            </w:r>
          </w:p>
        </w:tc>
        <w:tc>
          <w:tcPr>
            <w:tcW w:w="1167" w:type="dxa"/>
          </w:tcPr>
          <w:p w14:paraId="1C2A64F1" w14:textId="4DF0A679" w:rsidR="00E805D1" w:rsidRPr="00C6499A" w:rsidRDefault="00E805D1" w:rsidP="00E805D1">
            <w:pPr>
              <w:spacing w:line="259" w:lineRule="auto"/>
              <w:jc w:val="center"/>
              <w:rPr>
                <w:rFonts w:ascii="Arial" w:hAnsi="Arial" w:cs="Arial"/>
                <w:sz w:val="20"/>
                <w:szCs w:val="20"/>
              </w:rPr>
            </w:pPr>
            <w:r w:rsidRPr="00C6499A">
              <w:rPr>
                <w:rFonts w:ascii="Arial" w:hAnsi="Arial" w:cs="Arial"/>
                <w:sz w:val="20"/>
                <w:szCs w:val="20"/>
              </w:rPr>
              <w:t>NO</w:t>
            </w:r>
          </w:p>
        </w:tc>
        <w:tc>
          <w:tcPr>
            <w:tcW w:w="1183" w:type="dxa"/>
          </w:tcPr>
          <w:p w14:paraId="216F410D" w14:textId="242F5244" w:rsidR="00E805D1" w:rsidRPr="00C6499A" w:rsidRDefault="00E805D1" w:rsidP="00E805D1">
            <w:pPr>
              <w:spacing w:line="259" w:lineRule="auto"/>
              <w:jc w:val="center"/>
              <w:rPr>
                <w:rFonts w:ascii="Arial" w:hAnsi="Arial" w:cs="Arial"/>
                <w:sz w:val="20"/>
                <w:szCs w:val="20"/>
              </w:rPr>
            </w:pPr>
            <w:r w:rsidRPr="00C6499A">
              <w:rPr>
                <w:rFonts w:ascii="Arial" w:hAnsi="Arial" w:cs="Arial"/>
                <w:sz w:val="20"/>
                <w:szCs w:val="20"/>
              </w:rPr>
              <w:t>YES</w:t>
            </w:r>
          </w:p>
        </w:tc>
        <w:tc>
          <w:tcPr>
            <w:tcW w:w="1017" w:type="dxa"/>
          </w:tcPr>
          <w:p w14:paraId="49427328" w14:textId="4673BA2B" w:rsidR="00E805D1" w:rsidRPr="00C6499A" w:rsidRDefault="00E805D1" w:rsidP="00E805D1">
            <w:pPr>
              <w:spacing w:line="259" w:lineRule="auto"/>
              <w:jc w:val="center"/>
              <w:rPr>
                <w:rFonts w:ascii="Arial" w:hAnsi="Arial" w:cs="Arial"/>
                <w:sz w:val="20"/>
                <w:szCs w:val="20"/>
              </w:rPr>
            </w:pPr>
            <w:r w:rsidRPr="00C6499A">
              <w:rPr>
                <w:rFonts w:ascii="Arial" w:hAnsi="Arial" w:cs="Arial"/>
                <w:sz w:val="20"/>
                <w:szCs w:val="20"/>
              </w:rPr>
              <w:t>N/A</w:t>
            </w:r>
          </w:p>
        </w:tc>
        <w:tc>
          <w:tcPr>
            <w:tcW w:w="6263" w:type="dxa"/>
          </w:tcPr>
          <w:p w14:paraId="0BDD0D18" w14:textId="334101C9" w:rsidR="007E3C99" w:rsidRPr="00895C53" w:rsidRDefault="007E3C99" w:rsidP="007E3C99">
            <w:pPr>
              <w:autoSpaceDE w:val="0"/>
              <w:autoSpaceDN w:val="0"/>
              <w:adjustRightInd w:val="0"/>
              <w:rPr>
                <w:rFonts w:ascii="Arial" w:hAnsi="Arial" w:cs="Arial"/>
                <w:bCs/>
                <w:sz w:val="20"/>
                <w:szCs w:val="20"/>
              </w:rPr>
            </w:pPr>
            <w:r w:rsidRPr="00895C53">
              <w:rPr>
                <w:rFonts w:ascii="Arial" w:hAnsi="Arial" w:cs="Arial"/>
                <w:bCs/>
                <w:sz w:val="20"/>
                <w:szCs w:val="20"/>
              </w:rPr>
              <w:t>NCUTCD recommends revising 2L.04 as follows, including some revisions in accordance with NCUTCD recommendation 20B-RW-03:</w:t>
            </w:r>
          </w:p>
          <w:p w14:paraId="5FEE49CB" w14:textId="07083B61" w:rsidR="002D562A" w:rsidRPr="00895C53" w:rsidRDefault="002D562A" w:rsidP="002D562A">
            <w:pPr>
              <w:pStyle w:val="ListParagraph"/>
              <w:numPr>
                <w:ilvl w:val="0"/>
                <w:numId w:val="11"/>
              </w:numPr>
              <w:autoSpaceDE w:val="0"/>
              <w:autoSpaceDN w:val="0"/>
              <w:adjustRightInd w:val="0"/>
              <w:ind w:left="390"/>
              <w:rPr>
                <w:rFonts w:ascii="Arial" w:hAnsi="Arial" w:cs="Arial"/>
                <w:bCs/>
                <w:sz w:val="20"/>
                <w:szCs w:val="20"/>
              </w:rPr>
            </w:pPr>
            <w:r w:rsidRPr="00895C53">
              <w:rPr>
                <w:rFonts w:ascii="Arial" w:hAnsi="Arial" w:cs="Arial"/>
                <w:bCs/>
                <w:sz w:val="20"/>
                <w:szCs w:val="20"/>
              </w:rPr>
              <w:t xml:space="preserve">The specifications proposed in the NPA would produce the required character height (Table 2L-1) only for signs with a particular pixel size and density.  NCUTCD recommends removing the content referencing width to height ratio and stroke width to height ratio.  NCUTCD instead recommends a reference to NEMA standards that describe letter shape so users can choose the appropriate font to reach the character size requirements in Table 2L-1 for their particular sign. </w:t>
            </w:r>
          </w:p>
          <w:p w14:paraId="1050ADC6" w14:textId="77777777" w:rsidR="007E3C99" w:rsidRPr="00895C53" w:rsidRDefault="007E3C99" w:rsidP="007E3C99">
            <w:pPr>
              <w:pStyle w:val="ListParagraph"/>
              <w:widowControl w:val="0"/>
              <w:numPr>
                <w:ilvl w:val="0"/>
                <w:numId w:val="7"/>
              </w:numPr>
              <w:tabs>
                <w:tab w:val="left" w:pos="1064"/>
                <w:tab w:val="left" w:pos="1440"/>
                <w:tab w:val="center" w:pos="4680"/>
                <w:tab w:val="right" w:pos="9360"/>
              </w:tabs>
              <w:spacing w:before="27" w:line="260" w:lineRule="exact"/>
              <w:ind w:left="360"/>
              <w:rPr>
                <w:rFonts w:ascii="Arial" w:hAnsi="Arial" w:cs="Arial"/>
                <w:sz w:val="20"/>
                <w:szCs w:val="20"/>
              </w:rPr>
            </w:pPr>
            <w:r w:rsidRPr="00895C53">
              <w:rPr>
                <w:rFonts w:ascii="Arial" w:eastAsia="Calibri" w:hAnsi="Arial" w:cs="Arial"/>
                <w:sz w:val="20"/>
                <w:szCs w:val="20"/>
              </w:rPr>
              <w:t>Delete references to luminance, as this is not measurable from a maintenance and operational standpoint. If this is for the manufactured condition at time of installation, that should be stated, or otherwise delete.</w:t>
            </w:r>
          </w:p>
          <w:p w14:paraId="02272E12" w14:textId="77777777" w:rsidR="007E3C99" w:rsidRPr="00895C53" w:rsidRDefault="007E3C99" w:rsidP="007E3C99">
            <w:pPr>
              <w:pStyle w:val="ListParagraph"/>
              <w:widowControl w:val="0"/>
              <w:numPr>
                <w:ilvl w:val="0"/>
                <w:numId w:val="7"/>
              </w:numPr>
              <w:tabs>
                <w:tab w:val="left" w:pos="1064"/>
                <w:tab w:val="left" w:pos="1440"/>
                <w:tab w:val="center" w:pos="4680"/>
                <w:tab w:val="right" w:pos="9360"/>
              </w:tabs>
              <w:spacing w:before="27" w:line="260" w:lineRule="exact"/>
              <w:ind w:left="360"/>
              <w:rPr>
                <w:rFonts w:ascii="Arial" w:hAnsi="Arial" w:cs="Arial"/>
                <w:sz w:val="20"/>
                <w:szCs w:val="20"/>
              </w:rPr>
            </w:pPr>
            <w:r w:rsidRPr="00895C53">
              <w:rPr>
                <w:rFonts w:ascii="Arial" w:hAnsi="Arial" w:cs="Arial"/>
                <w:bCs/>
                <w:sz w:val="20"/>
                <w:szCs w:val="20"/>
              </w:rPr>
              <w:t>Correct errors in color references.</w:t>
            </w:r>
          </w:p>
          <w:p w14:paraId="341F114D" w14:textId="77777777" w:rsidR="007E3C99" w:rsidRPr="00895C53" w:rsidRDefault="007E3C99" w:rsidP="007E3C99">
            <w:pPr>
              <w:pStyle w:val="ListParagraph"/>
              <w:widowControl w:val="0"/>
              <w:numPr>
                <w:ilvl w:val="0"/>
                <w:numId w:val="7"/>
              </w:numPr>
              <w:tabs>
                <w:tab w:val="left" w:pos="1064"/>
                <w:tab w:val="left" w:pos="1440"/>
                <w:tab w:val="center" w:pos="4680"/>
                <w:tab w:val="right" w:pos="9360"/>
              </w:tabs>
              <w:spacing w:before="27" w:line="260" w:lineRule="exact"/>
              <w:ind w:left="360"/>
              <w:rPr>
                <w:rFonts w:ascii="Arial" w:hAnsi="Arial" w:cs="Arial"/>
                <w:sz w:val="20"/>
                <w:szCs w:val="20"/>
              </w:rPr>
            </w:pPr>
            <w:r w:rsidRPr="00895C53">
              <w:rPr>
                <w:rFonts w:ascii="Arial" w:hAnsi="Arial" w:cs="Arial"/>
                <w:sz w:val="20"/>
                <w:szCs w:val="20"/>
              </w:rPr>
              <w:t>Supplement the Standard statement to specify that no fixed border other than LED pixels shall be used to make up the border.</w:t>
            </w:r>
          </w:p>
          <w:p w14:paraId="26E7899F" w14:textId="61DA9A2E" w:rsidR="007E3C99" w:rsidRPr="00895C53" w:rsidRDefault="007E3C99" w:rsidP="007E3C99">
            <w:pPr>
              <w:pStyle w:val="ListParagraph"/>
              <w:widowControl w:val="0"/>
              <w:numPr>
                <w:ilvl w:val="0"/>
                <w:numId w:val="7"/>
              </w:numPr>
              <w:tabs>
                <w:tab w:val="left" w:pos="1064"/>
                <w:tab w:val="left" w:pos="1440"/>
                <w:tab w:val="center" w:pos="4680"/>
                <w:tab w:val="right" w:pos="9360"/>
              </w:tabs>
              <w:spacing w:before="27" w:line="260" w:lineRule="exact"/>
              <w:ind w:left="360"/>
              <w:rPr>
                <w:rFonts w:ascii="Arial" w:hAnsi="Arial" w:cs="Arial"/>
                <w:sz w:val="20"/>
                <w:szCs w:val="20"/>
              </w:rPr>
            </w:pPr>
            <w:r w:rsidRPr="00895C53">
              <w:rPr>
                <w:rFonts w:ascii="Arial" w:hAnsi="Arial" w:cs="Arial"/>
                <w:sz w:val="20"/>
                <w:szCs w:val="20"/>
              </w:rPr>
              <w:t>Various editorial changes.</w:t>
            </w:r>
          </w:p>
          <w:p w14:paraId="108350DC" w14:textId="7141C93F" w:rsidR="00E805D1" w:rsidRPr="007E3C99" w:rsidRDefault="002D562A" w:rsidP="002D562A">
            <w:pPr>
              <w:pStyle w:val="ListParagraph"/>
              <w:widowControl w:val="0"/>
              <w:numPr>
                <w:ilvl w:val="0"/>
                <w:numId w:val="7"/>
              </w:numPr>
              <w:tabs>
                <w:tab w:val="left" w:pos="1064"/>
                <w:tab w:val="left" w:pos="1440"/>
                <w:tab w:val="center" w:pos="4680"/>
                <w:tab w:val="right" w:pos="9360"/>
              </w:tabs>
              <w:spacing w:before="27" w:line="260" w:lineRule="exact"/>
              <w:ind w:left="360"/>
              <w:rPr>
                <w:rFonts w:ascii="Arial" w:hAnsi="Arial" w:cs="Arial"/>
                <w:sz w:val="20"/>
                <w:szCs w:val="20"/>
              </w:rPr>
            </w:pPr>
            <w:r w:rsidRPr="00895C53">
              <w:rPr>
                <w:rFonts w:ascii="Arial" w:hAnsi="Arial" w:cs="Arial"/>
                <w:sz w:val="20"/>
                <w:szCs w:val="20"/>
              </w:rPr>
              <w:t>FHWA should consider adding a 20 mm (0.79”) pixel pitch font library for alphabet and symbols in the Standard Highway Signs publication.</w:t>
            </w:r>
            <w:r>
              <w:rPr>
                <w:rFonts w:cs="Times New Roman"/>
                <w:szCs w:val="24"/>
              </w:rPr>
              <w:t xml:space="preserve"> </w:t>
            </w:r>
          </w:p>
        </w:tc>
      </w:tr>
      <w:tr w:rsidR="007950E2" w:rsidRPr="00C6499A" w14:paraId="4E2FCF5E" w14:textId="77777777" w:rsidTr="0040594A">
        <w:trPr>
          <w:cantSplit/>
        </w:trPr>
        <w:tc>
          <w:tcPr>
            <w:tcW w:w="1170" w:type="dxa"/>
          </w:tcPr>
          <w:p w14:paraId="50531FAD" w14:textId="01893DFE" w:rsidR="007950E2" w:rsidRPr="00C6499A" w:rsidRDefault="007950E2" w:rsidP="00EF7249">
            <w:pPr>
              <w:rPr>
                <w:rFonts w:ascii="Arial" w:hAnsi="Arial" w:cs="Arial"/>
                <w:sz w:val="20"/>
                <w:szCs w:val="20"/>
              </w:rPr>
            </w:pPr>
            <w:r w:rsidRPr="00C6499A">
              <w:rPr>
                <w:rFonts w:ascii="Arial" w:hAnsi="Arial" w:cs="Arial"/>
                <w:sz w:val="20"/>
                <w:szCs w:val="20"/>
              </w:rPr>
              <w:t>Table 2L-1</w:t>
            </w:r>
          </w:p>
        </w:tc>
        <w:tc>
          <w:tcPr>
            <w:tcW w:w="1167" w:type="dxa"/>
          </w:tcPr>
          <w:p w14:paraId="1FF318E6" w14:textId="0C1D03C7" w:rsidR="007950E2" w:rsidRPr="00C6499A" w:rsidRDefault="007950E2" w:rsidP="00EF7249">
            <w:pPr>
              <w:jc w:val="center"/>
              <w:rPr>
                <w:rFonts w:ascii="Arial" w:hAnsi="Arial" w:cs="Arial"/>
                <w:sz w:val="20"/>
                <w:szCs w:val="20"/>
              </w:rPr>
            </w:pPr>
            <w:r w:rsidRPr="00C6499A">
              <w:rPr>
                <w:rFonts w:ascii="Arial" w:hAnsi="Arial" w:cs="Arial"/>
                <w:sz w:val="20"/>
                <w:szCs w:val="20"/>
              </w:rPr>
              <w:t>YES</w:t>
            </w:r>
          </w:p>
        </w:tc>
        <w:tc>
          <w:tcPr>
            <w:tcW w:w="1183" w:type="dxa"/>
          </w:tcPr>
          <w:p w14:paraId="4C0EFC5B" w14:textId="2E842595" w:rsidR="007950E2" w:rsidRPr="00C6499A" w:rsidRDefault="007950E2" w:rsidP="00EF7249">
            <w:pPr>
              <w:jc w:val="center"/>
              <w:rPr>
                <w:rFonts w:ascii="Arial" w:hAnsi="Arial" w:cs="Arial"/>
                <w:sz w:val="20"/>
                <w:szCs w:val="20"/>
              </w:rPr>
            </w:pPr>
            <w:r w:rsidRPr="00C6499A">
              <w:rPr>
                <w:rFonts w:ascii="Arial" w:hAnsi="Arial" w:cs="Arial"/>
                <w:sz w:val="20"/>
                <w:szCs w:val="20"/>
              </w:rPr>
              <w:t>NO</w:t>
            </w:r>
          </w:p>
        </w:tc>
        <w:tc>
          <w:tcPr>
            <w:tcW w:w="1017" w:type="dxa"/>
          </w:tcPr>
          <w:p w14:paraId="75F40FDD" w14:textId="123A304F" w:rsidR="007950E2" w:rsidRPr="00C6499A" w:rsidRDefault="007950E2" w:rsidP="00EF7249">
            <w:pPr>
              <w:jc w:val="center"/>
              <w:rPr>
                <w:rFonts w:ascii="Arial" w:hAnsi="Arial" w:cs="Arial"/>
                <w:sz w:val="20"/>
                <w:szCs w:val="20"/>
              </w:rPr>
            </w:pPr>
            <w:r w:rsidRPr="00C6499A">
              <w:rPr>
                <w:rFonts w:ascii="Arial" w:hAnsi="Arial" w:cs="Arial"/>
                <w:sz w:val="20"/>
                <w:szCs w:val="20"/>
              </w:rPr>
              <w:t>N/A</w:t>
            </w:r>
          </w:p>
        </w:tc>
        <w:tc>
          <w:tcPr>
            <w:tcW w:w="6263" w:type="dxa"/>
          </w:tcPr>
          <w:p w14:paraId="2F118533" w14:textId="7E80D45B" w:rsidR="007950E2" w:rsidRPr="00C6499A" w:rsidRDefault="00C6499A" w:rsidP="00C6499A">
            <w:pPr>
              <w:tabs>
                <w:tab w:val="left" w:pos="360"/>
              </w:tabs>
              <w:spacing w:before="33"/>
              <w:rPr>
                <w:rFonts w:ascii="Arial" w:hAnsi="Arial" w:cs="Arial"/>
                <w:sz w:val="20"/>
                <w:szCs w:val="20"/>
              </w:rPr>
            </w:pPr>
            <w:r w:rsidRPr="00C6499A">
              <w:rPr>
                <w:rFonts w:ascii="Arial" w:hAnsi="Arial" w:cs="Arial"/>
                <w:sz w:val="20"/>
                <w:szCs w:val="20"/>
              </w:rPr>
              <w:t>NCUTCD agrees with Table 2L-1 as presented in the NPA.</w:t>
            </w:r>
          </w:p>
        </w:tc>
      </w:tr>
      <w:tr w:rsidR="007950E2" w:rsidRPr="00C6499A" w14:paraId="7F2DE5EF" w14:textId="77777777" w:rsidTr="0040594A">
        <w:trPr>
          <w:cantSplit/>
        </w:trPr>
        <w:tc>
          <w:tcPr>
            <w:tcW w:w="1170" w:type="dxa"/>
          </w:tcPr>
          <w:p w14:paraId="4AD0A86D" w14:textId="3DCA9476" w:rsidR="007950E2" w:rsidRPr="00C6499A" w:rsidRDefault="007950E2" w:rsidP="00D91F2E">
            <w:pPr>
              <w:rPr>
                <w:rFonts w:ascii="Arial" w:hAnsi="Arial" w:cs="Arial"/>
                <w:sz w:val="20"/>
                <w:szCs w:val="20"/>
              </w:rPr>
            </w:pPr>
            <w:r w:rsidRPr="00C6499A">
              <w:rPr>
                <w:rFonts w:ascii="Arial" w:hAnsi="Arial" w:cs="Arial"/>
                <w:sz w:val="20"/>
                <w:szCs w:val="20"/>
              </w:rPr>
              <w:t>Figure 2L-1</w:t>
            </w:r>
          </w:p>
        </w:tc>
        <w:tc>
          <w:tcPr>
            <w:tcW w:w="1167" w:type="dxa"/>
          </w:tcPr>
          <w:p w14:paraId="41DA321E" w14:textId="291F1AD2" w:rsidR="007950E2" w:rsidRPr="00C6499A" w:rsidRDefault="00C6499A" w:rsidP="00D91F2E">
            <w:pPr>
              <w:jc w:val="center"/>
              <w:rPr>
                <w:rFonts w:ascii="Arial" w:hAnsi="Arial" w:cs="Arial"/>
                <w:sz w:val="20"/>
                <w:szCs w:val="20"/>
              </w:rPr>
            </w:pPr>
            <w:r w:rsidRPr="00C6499A">
              <w:rPr>
                <w:rFonts w:ascii="Arial" w:hAnsi="Arial" w:cs="Arial"/>
                <w:sz w:val="20"/>
                <w:szCs w:val="20"/>
              </w:rPr>
              <w:t>NO</w:t>
            </w:r>
          </w:p>
        </w:tc>
        <w:tc>
          <w:tcPr>
            <w:tcW w:w="1183" w:type="dxa"/>
          </w:tcPr>
          <w:p w14:paraId="6AC17E8A" w14:textId="5F854DF3" w:rsidR="007950E2" w:rsidRPr="00C6499A" w:rsidRDefault="00C6499A" w:rsidP="00D91F2E">
            <w:pPr>
              <w:jc w:val="center"/>
              <w:rPr>
                <w:rFonts w:ascii="Arial" w:hAnsi="Arial" w:cs="Arial"/>
                <w:sz w:val="20"/>
                <w:szCs w:val="20"/>
              </w:rPr>
            </w:pPr>
            <w:r w:rsidRPr="00C6499A">
              <w:rPr>
                <w:rFonts w:ascii="Arial" w:hAnsi="Arial" w:cs="Arial"/>
                <w:sz w:val="20"/>
                <w:szCs w:val="20"/>
              </w:rPr>
              <w:t>YES</w:t>
            </w:r>
          </w:p>
        </w:tc>
        <w:tc>
          <w:tcPr>
            <w:tcW w:w="1017" w:type="dxa"/>
          </w:tcPr>
          <w:p w14:paraId="1C206594" w14:textId="1DDDA29A" w:rsidR="007950E2" w:rsidRPr="00C6499A" w:rsidRDefault="007950E2" w:rsidP="00D91F2E">
            <w:pPr>
              <w:jc w:val="center"/>
              <w:rPr>
                <w:rFonts w:ascii="Arial" w:hAnsi="Arial" w:cs="Arial"/>
                <w:sz w:val="20"/>
                <w:szCs w:val="20"/>
              </w:rPr>
            </w:pPr>
            <w:r w:rsidRPr="00C6499A">
              <w:rPr>
                <w:rFonts w:ascii="Arial" w:hAnsi="Arial" w:cs="Arial"/>
                <w:sz w:val="20"/>
                <w:szCs w:val="20"/>
              </w:rPr>
              <w:t>N/A</w:t>
            </w:r>
          </w:p>
        </w:tc>
        <w:tc>
          <w:tcPr>
            <w:tcW w:w="6263" w:type="dxa"/>
          </w:tcPr>
          <w:p w14:paraId="21E59265" w14:textId="0F633817" w:rsidR="007950E2" w:rsidRPr="00C6499A" w:rsidRDefault="00C6499A" w:rsidP="00C6499A">
            <w:pPr>
              <w:widowControl w:val="0"/>
              <w:tabs>
                <w:tab w:val="left" w:pos="1064"/>
              </w:tabs>
              <w:spacing w:before="27" w:line="260" w:lineRule="exact"/>
              <w:rPr>
                <w:rFonts w:ascii="Arial" w:hAnsi="Arial" w:cs="Arial"/>
                <w:sz w:val="20"/>
                <w:szCs w:val="20"/>
              </w:rPr>
            </w:pPr>
            <w:r w:rsidRPr="00C6499A">
              <w:rPr>
                <w:rFonts w:ascii="Arial" w:hAnsi="Arial" w:cs="Arial"/>
                <w:sz w:val="20"/>
                <w:szCs w:val="20"/>
              </w:rPr>
              <w:t>Figure 2L-1, while satisfactorily portraying the differences between full-matrix color and monochrome CMS displays with different pixel densities, should be examined for the appropriateness of the color schemes chosen for the example sign message(s) (“CLOSED, USE ALT ROUTE” See 6I.01 and 6I.03).</w:t>
            </w:r>
          </w:p>
        </w:tc>
      </w:tr>
      <w:tr w:rsidR="007950E2" w:rsidRPr="00C6499A" w14:paraId="409E3F9B" w14:textId="77777777" w:rsidTr="0040594A">
        <w:trPr>
          <w:cantSplit/>
        </w:trPr>
        <w:tc>
          <w:tcPr>
            <w:tcW w:w="1170" w:type="dxa"/>
          </w:tcPr>
          <w:p w14:paraId="23A95FA8" w14:textId="23F52149" w:rsidR="007950E2" w:rsidRPr="00C6499A" w:rsidRDefault="007950E2" w:rsidP="00D91F2E">
            <w:pPr>
              <w:rPr>
                <w:rFonts w:ascii="Arial" w:hAnsi="Arial" w:cs="Arial"/>
                <w:sz w:val="20"/>
                <w:szCs w:val="20"/>
              </w:rPr>
            </w:pPr>
            <w:r w:rsidRPr="00C6499A">
              <w:rPr>
                <w:rFonts w:ascii="Arial" w:hAnsi="Arial" w:cs="Arial"/>
                <w:sz w:val="20"/>
                <w:szCs w:val="20"/>
              </w:rPr>
              <w:t>2L.05</w:t>
            </w:r>
          </w:p>
        </w:tc>
        <w:tc>
          <w:tcPr>
            <w:tcW w:w="1167" w:type="dxa"/>
          </w:tcPr>
          <w:p w14:paraId="33C765AE" w14:textId="3C3E7D31" w:rsidR="007950E2" w:rsidRPr="00C6499A" w:rsidRDefault="003D7CE5" w:rsidP="00D91F2E">
            <w:pPr>
              <w:jc w:val="center"/>
              <w:rPr>
                <w:rFonts w:ascii="Arial" w:hAnsi="Arial" w:cs="Arial"/>
                <w:sz w:val="20"/>
                <w:szCs w:val="20"/>
              </w:rPr>
            </w:pPr>
            <w:r w:rsidRPr="00C6499A">
              <w:rPr>
                <w:rFonts w:ascii="Arial" w:hAnsi="Arial" w:cs="Arial"/>
                <w:sz w:val="20"/>
                <w:szCs w:val="20"/>
              </w:rPr>
              <w:t>NO</w:t>
            </w:r>
          </w:p>
        </w:tc>
        <w:tc>
          <w:tcPr>
            <w:tcW w:w="1183" w:type="dxa"/>
          </w:tcPr>
          <w:p w14:paraId="0394A027" w14:textId="3D4A07FF" w:rsidR="007950E2" w:rsidRPr="00C6499A" w:rsidRDefault="003D7CE5" w:rsidP="00D91F2E">
            <w:pPr>
              <w:jc w:val="center"/>
              <w:rPr>
                <w:rFonts w:ascii="Arial" w:hAnsi="Arial" w:cs="Arial"/>
                <w:sz w:val="20"/>
                <w:szCs w:val="20"/>
              </w:rPr>
            </w:pPr>
            <w:r w:rsidRPr="00C6499A">
              <w:rPr>
                <w:rFonts w:ascii="Arial" w:hAnsi="Arial" w:cs="Arial"/>
                <w:sz w:val="20"/>
                <w:szCs w:val="20"/>
              </w:rPr>
              <w:t>YES</w:t>
            </w:r>
          </w:p>
        </w:tc>
        <w:tc>
          <w:tcPr>
            <w:tcW w:w="1017" w:type="dxa"/>
          </w:tcPr>
          <w:p w14:paraId="77D0A6C5" w14:textId="4EE70CE5" w:rsidR="007950E2" w:rsidRPr="00C6499A" w:rsidRDefault="007950E2" w:rsidP="00D91F2E">
            <w:pPr>
              <w:jc w:val="center"/>
              <w:rPr>
                <w:rFonts w:ascii="Arial" w:hAnsi="Arial" w:cs="Arial"/>
                <w:sz w:val="20"/>
                <w:szCs w:val="20"/>
              </w:rPr>
            </w:pPr>
            <w:r w:rsidRPr="00C6499A">
              <w:rPr>
                <w:rFonts w:ascii="Arial" w:hAnsi="Arial" w:cs="Arial"/>
                <w:sz w:val="20"/>
                <w:szCs w:val="20"/>
              </w:rPr>
              <w:t>N/A</w:t>
            </w:r>
          </w:p>
        </w:tc>
        <w:tc>
          <w:tcPr>
            <w:tcW w:w="6263" w:type="dxa"/>
          </w:tcPr>
          <w:p w14:paraId="1A9AD306" w14:textId="0CB2A143" w:rsidR="007950E2" w:rsidRPr="00C6499A" w:rsidRDefault="00C6499A" w:rsidP="00C6499A">
            <w:pPr>
              <w:widowControl w:val="0"/>
              <w:tabs>
                <w:tab w:val="left" w:pos="1064"/>
                <w:tab w:val="left" w:pos="1440"/>
                <w:tab w:val="center" w:pos="4680"/>
                <w:tab w:val="right" w:pos="9360"/>
              </w:tabs>
              <w:spacing w:before="27" w:line="260" w:lineRule="exact"/>
              <w:ind w:left="360" w:hanging="360"/>
              <w:rPr>
                <w:rFonts w:ascii="Arial" w:hAnsi="Arial" w:cs="Arial"/>
                <w:sz w:val="20"/>
                <w:szCs w:val="20"/>
              </w:rPr>
            </w:pPr>
            <w:r w:rsidRPr="00C6499A">
              <w:rPr>
                <w:rFonts w:ascii="Arial" w:hAnsi="Arial" w:cs="Arial"/>
                <w:sz w:val="20"/>
                <w:szCs w:val="20"/>
              </w:rPr>
              <w:t>NCUTCD agrees with 2L.05 with minor editorial changes</w:t>
            </w:r>
          </w:p>
        </w:tc>
      </w:tr>
      <w:tr w:rsidR="007950E2" w:rsidRPr="00C6499A" w14:paraId="7A60B982" w14:textId="77777777" w:rsidTr="0040594A">
        <w:trPr>
          <w:cantSplit/>
        </w:trPr>
        <w:tc>
          <w:tcPr>
            <w:tcW w:w="1170" w:type="dxa"/>
          </w:tcPr>
          <w:p w14:paraId="502B4E2F" w14:textId="6ABCEEA3" w:rsidR="007950E2" w:rsidRPr="00C6499A" w:rsidRDefault="003D7CE5" w:rsidP="006B1AA5">
            <w:pPr>
              <w:rPr>
                <w:rFonts w:ascii="Arial" w:hAnsi="Arial" w:cs="Arial"/>
                <w:sz w:val="20"/>
                <w:szCs w:val="20"/>
              </w:rPr>
            </w:pPr>
            <w:r w:rsidRPr="00C6499A">
              <w:rPr>
                <w:rFonts w:ascii="Arial" w:hAnsi="Arial" w:cs="Arial"/>
                <w:sz w:val="20"/>
                <w:szCs w:val="20"/>
              </w:rPr>
              <w:t>Table 2L-2</w:t>
            </w:r>
          </w:p>
        </w:tc>
        <w:tc>
          <w:tcPr>
            <w:tcW w:w="1167" w:type="dxa"/>
          </w:tcPr>
          <w:p w14:paraId="2863343F" w14:textId="7C79D429" w:rsidR="007950E2" w:rsidRPr="00C6499A" w:rsidRDefault="003D7CE5" w:rsidP="006B1AA5">
            <w:pPr>
              <w:jc w:val="center"/>
              <w:rPr>
                <w:rFonts w:ascii="Arial" w:hAnsi="Arial" w:cs="Arial"/>
                <w:sz w:val="20"/>
                <w:szCs w:val="20"/>
              </w:rPr>
            </w:pPr>
            <w:r w:rsidRPr="00C6499A">
              <w:rPr>
                <w:rFonts w:ascii="Arial" w:hAnsi="Arial" w:cs="Arial"/>
                <w:sz w:val="20"/>
                <w:szCs w:val="20"/>
              </w:rPr>
              <w:t>YES</w:t>
            </w:r>
          </w:p>
        </w:tc>
        <w:tc>
          <w:tcPr>
            <w:tcW w:w="1183" w:type="dxa"/>
          </w:tcPr>
          <w:p w14:paraId="00D82032" w14:textId="1B9F7356" w:rsidR="007950E2" w:rsidRPr="00C6499A" w:rsidRDefault="003D7CE5" w:rsidP="006B1AA5">
            <w:pPr>
              <w:jc w:val="center"/>
              <w:rPr>
                <w:rFonts w:ascii="Arial" w:hAnsi="Arial" w:cs="Arial"/>
                <w:sz w:val="20"/>
                <w:szCs w:val="20"/>
              </w:rPr>
            </w:pPr>
            <w:r w:rsidRPr="00C6499A">
              <w:rPr>
                <w:rFonts w:ascii="Arial" w:hAnsi="Arial" w:cs="Arial"/>
                <w:sz w:val="20"/>
                <w:szCs w:val="20"/>
              </w:rPr>
              <w:t>NO</w:t>
            </w:r>
          </w:p>
        </w:tc>
        <w:tc>
          <w:tcPr>
            <w:tcW w:w="1017" w:type="dxa"/>
          </w:tcPr>
          <w:p w14:paraId="7E57C054" w14:textId="64856A1C" w:rsidR="007950E2" w:rsidRPr="00C6499A" w:rsidRDefault="007950E2" w:rsidP="006B1AA5">
            <w:pPr>
              <w:jc w:val="center"/>
              <w:rPr>
                <w:rFonts w:ascii="Arial" w:hAnsi="Arial" w:cs="Arial"/>
                <w:sz w:val="20"/>
                <w:szCs w:val="20"/>
              </w:rPr>
            </w:pPr>
            <w:r w:rsidRPr="00C6499A">
              <w:rPr>
                <w:rFonts w:ascii="Arial" w:hAnsi="Arial" w:cs="Arial"/>
                <w:sz w:val="20"/>
                <w:szCs w:val="20"/>
              </w:rPr>
              <w:t>N/A</w:t>
            </w:r>
          </w:p>
        </w:tc>
        <w:tc>
          <w:tcPr>
            <w:tcW w:w="6263" w:type="dxa"/>
          </w:tcPr>
          <w:p w14:paraId="077A5021" w14:textId="180EFEC7" w:rsidR="007950E2" w:rsidRPr="00C6499A" w:rsidRDefault="00C6499A" w:rsidP="00C6499A">
            <w:pPr>
              <w:widowControl w:val="0"/>
              <w:tabs>
                <w:tab w:val="left" w:pos="704"/>
              </w:tabs>
              <w:spacing w:before="31"/>
              <w:rPr>
                <w:rFonts w:ascii="Arial" w:hAnsi="Arial" w:cs="Arial"/>
                <w:sz w:val="20"/>
                <w:szCs w:val="20"/>
              </w:rPr>
            </w:pPr>
            <w:r w:rsidRPr="00C6499A">
              <w:rPr>
                <w:rFonts w:ascii="Arial" w:eastAsia="Times New Roman" w:hAnsi="Arial" w:cs="Arial"/>
                <w:sz w:val="20"/>
                <w:szCs w:val="20"/>
              </w:rPr>
              <w:t>NCUTCD agrees with Table 2L-2 as presented in the NPA.</w:t>
            </w:r>
          </w:p>
        </w:tc>
      </w:tr>
      <w:tr w:rsidR="007950E2" w:rsidRPr="00C6499A" w14:paraId="01CE3132" w14:textId="77777777" w:rsidTr="0040594A">
        <w:trPr>
          <w:cantSplit/>
        </w:trPr>
        <w:tc>
          <w:tcPr>
            <w:tcW w:w="1170" w:type="dxa"/>
          </w:tcPr>
          <w:p w14:paraId="4BF5567D" w14:textId="4F6AC27F" w:rsidR="007950E2" w:rsidRPr="00C6499A" w:rsidRDefault="003D7CE5" w:rsidP="006B1AA5">
            <w:pPr>
              <w:rPr>
                <w:rFonts w:ascii="Arial" w:hAnsi="Arial" w:cs="Arial"/>
                <w:sz w:val="20"/>
                <w:szCs w:val="20"/>
              </w:rPr>
            </w:pPr>
            <w:r w:rsidRPr="00C6499A">
              <w:rPr>
                <w:rFonts w:ascii="Arial" w:hAnsi="Arial" w:cs="Arial"/>
                <w:sz w:val="20"/>
                <w:szCs w:val="20"/>
              </w:rPr>
              <w:t>Table 2L-3</w:t>
            </w:r>
          </w:p>
        </w:tc>
        <w:tc>
          <w:tcPr>
            <w:tcW w:w="1167" w:type="dxa"/>
          </w:tcPr>
          <w:p w14:paraId="1E03DE44" w14:textId="030AF6B7" w:rsidR="007950E2" w:rsidRPr="00C6499A" w:rsidRDefault="007950E2" w:rsidP="006B1AA5">
            <w:pPr>
              <w:jc w:val="center"/>
              <w:rPr>
                <w:rFonts w:ascii="Arial" w:hAnsi="Arial" w:cs="Arial"/>
                <w:sz w:val="20"/>
                <w:szCs w:val="20"/>
              </w:rPr>
            </w:pPr>
            <w:r w:rsidRPr="00C6499A">
              <w:rPr>
                <w:rFonts w:ascii="Arial" w:hAnsi="Arial" w:cs="Arial"/>
                <w:sz w:val="20"/>
                <w:szCs w:val="20"/>
              </w:rPr>
              <w:t>NO</w:t>
            </w:r>
          </w:p>
        </w:tc>
        <w:tc>
          <w:tcPr>
            <w:tcW w:w="1183" w:type="dxa"/>
          </w:tcPr>
          <w:p w14:paraId="15729CEA" w14:textId="56A7721E" w:rsidR="007950E2" w:rsidRPr="00C6499A" w:rsidRDefault="007950E2" w:rsidP="006B1AA5">
            <w:pPr>
              <w:jc w:val="center"/>
              <w:rPr>
                <w:rFonts w:ascii="Arial" w:hAnsi="Arial" w:cs="Arial"/>
                <w:sz w:val="20"/>
                <w:szCs w:val="20"/>
              </w:rPr>
            </w:pPr>
            <w:r w:rsidRPr="00C6499A">
              <w:rPr>
                <w:rFonts w:ascii="Arial" w:hAnsi="Arial" w:cs="Arial"/>
                <w:sz w:val="20"/>
                <w:szCs w:val="20"/>
              </w:rPr>
              <w:t>YES</w:t>
            </w:r>
          </w:p>
        </w:tc>
        <w:tc>
          <w:tcPr>
            <w:tcW w:w="1017" w:type="dxa"/>
          </w:tcPr>
          <w:p w14:paraId="68FA780D" w14:textId="70D1C61C" w:rsidR="007950E2" w:rsidRPr="00C6499A" w:rsidRDefault="007950E2" w:rsidP="006B1AA5">
            <w:pPr>
              <w:jc w:val="center"/>
              <w:rPr>
                <w:rFonts w:ascii="Arial" w:hAnsi="Arial" w:cs="Arial"/>
                <w:sz w:val="20"/>
                <w:szCs w:val="20"/>
              </w:rPr>
            </w:pPr>
            <w:r w:rsidRPr="00C6499A">
              <w:rPr>
                <w:rFonts w:ascii="Arial" w:hAnsi="Arial" w:cs="Arial"/>
                <w:sz w:val="20"/>
                <w:szCs w:val="20"/>
              </w:rPr>
              <w:t>N/A</w:t>
            </w:r>
          </w:p>
        </w:tc>
        <w:tc>
          <w:tcPr>
            <w:tcW w:w="6263" w:type="dxa"/>
          </w:tcPr>
          <w:p w14:paraId="6BDC69A8" w14:textId="0D9F7713" w:rsidR="007950E2" w:rsidRPr="00C6499A" w:rsidRDefault="00C6499A" w:rsidP="00C6499A">
            <w:pPr>
              <w:widowControl w:val="0"/>
              <w:tabs>
                <w:tab w:val="left" w:pos="360"/>
              </w:tabs>
              <w:spacing w:before="27"/>
              <w:rPr>
                <w:rFonts w:ascii="Arial" w:hAnsi="Arial" w:cs="Arial"/>
                <w:sz w:val="20"/>
                <w:szCs w:val="20"/>
              </w:rPr>
            </w:pPr>
            <w:r w:rsidRPr="00C6499A">
              <w:rPr>
                <w:rFonts w:ascii="Arial" w:eastAsia="Times New Roman" w:hAnsi="Arial" w:cs="Arial"/>
                <w:sz w:val="20"/>
                <w:szCs w:val="20"/>
              </w:rPr>
              <w:t xml:space="preserve">NCUTCD agrees with Table 2L-3 as presented in the NPA, except that </w:t>
            </w:r>
            <w:r w:rsidRPr="00C6499A">
              <w:rPr>
                <w:rFonts w:ascii="Arial" w:hAnsi="Arial" w:cs="Arial"/>
                <w:sz w:val="20"/>
                <w:szCs w:val="20"/>
              </w:rPr>
              <w:t>typographic errors should be corrected</w:t>
            </w:r>
          </w:p>
        </w:tc>
      </w:tr>
      <w:tr w:rsidR="007950E2" w:rsidRPr="00C6499A" w14:paraId="51424239" w14:textId="77777777" w:rsidTr="0040594A">
        <w:trPr>
          <w:cantSplit/>
        </w:trPr>
        <w:tc>
          <w:tcPr>
            <w:tcW w:w="1170" w:type="dxa"/>
          </w:tcPr>
          <w:p w14:paraId="0387800E" w14:textId="6C3C98AD" w:rsidR="007950E2" w:rsidRPr="00C6499A" w:rsidRDefault="003D7CE5" w:rsidP="006B1AA5">
            <w:pPr>
              <w:rPr>
                <w:rFonts w:ascii="Arial" w:hAnsi="Arial" w:cs="Arial"/>
                <w:sz w:val="20"/>
                <w:szCs w:val="20"/>
              </w:rPr>
            </w:pPr>
            <w:r w:rsidRPr="00C6499A">
              <w:rPr>
                <w:rFonts w:ascii="Arial" w:hAnsi="Arial" w:cs="Arial"/>
                <w:sz w:val="20"/>
                <w:szCs w:val="20"/>
              </w:rPr>
              <w:lastRenderedPageBreak/>
              <w:t>Table 2L-4</w:t>
            </w:r>
          </w:p>
        </w:tc>
        <w:tc>
          <w:tcPr>
            <w:tcW w:w="1167" w:type="dxa"/>
          </w:tcPr>
          <w:p w14:paraId="004853D5" w14:textId="52967A2A" w:rsidR="007950E2" w:rsidRPr="00C6499A" w:rsidRDefault="003D7CE5" w:rsidP="006B1AA5">
            <w:pPr>
              <w:jc w:val="center"/>
              <w:rPr>
                <w:rFonts w:ascii="Arial" w:hAnsi="Arial" w:cs="Arial"/>
                <w:sz w:val="20"/>
                <w:szCs w:val="20"/>
              </w:rPr>
            </w:pPr>
            <w:r w:rsidRPr="00C6499A">
              <w:rPr>
                <w:rFonts w:ascii="Arial" w:hAnsi="Arial" w:cs="Arial"/>
                <w:sz w:val="20"/>
                <w:szCs w:val="20"/>
              </w:rPr>
              <w:t>NO</w:t>
            </w:r>
          </w:p>
        </w:tc>
        <w:tc>
          <w:tcPr>
            <w:tcW w:w="1183" w:type="dxa"/>
          </w:tcPr>
          <w:p w14:paraId="71C4D570" w14:textId="75E1FC35" w:rsidR="007950E2" w:rsidRPr="00C6499A" w:rsidRDefault="003D7CE5" w:rsidP="006B1AA5">
            <w:pPr>
              <w:jc w:val="center"/>
              <w:rPr>
                <w:rFonts w:ascii="Arial" w:hAnsi="Arial" w:cs="Arial"/>
                <w:sz w:val="20"/>
                <w:szCs w:val="20"/>
              </w:rPr>
            </w:pPr>
            <w:r w:rsidRPr="00C6499A">
              <w:rPr>
                <w:rFonts w:ascii="Arial" w:hAnsi="Arial" w:cs="Arial"/>
                <w:sz w:val="20"/>
                <w:szCs w:val="20"/>
              </w:rPr>
              <w:t>YES</w:t>
            </w:r>
          </w:p>
        </w:tc>
        <w:tc>
          <w:tcPr>
            <w:tcW w:w="1017" w:type="dxa"/>
          </w:tcPr>
          <w:p w14:paraId="273D1955" w14:textId="424EC826" w:rsidR="007950E2" w:rsidRPr="00C6499A" w:rsidRDefault="007950E2" w:rsidP="006B1AA5">
            <w:pPr>
              <w:jc w:val="center"/>
              <w:rPr>
                <w:rFonts w:ascii="Arial" w:hAnsi="Arial" w:cs="Arial"/>
                <w:sz w:val="20"/>
                <w:szCs w:val="20"/>
              </w:rPr>
            </w:pPr>
            <w:r w:rsidRPr="00C6499A">
              <w:rPr>
                <w:rFonts w:ascii="Arial" w:hAnsi="Arial" w:cs="Arial"/>
                <w:sz w:val="20"/>
                <w:szCs w:val="20"/>
              </w:rPr>
              <w:t>N/A</w:t>
            </w:r>
          </w:p>
        </w:tc>
        <w:tc>
          <w:tcPr>
            <w:tcW w:w="6263" w:type="dxa"/>
          </w:tcPr>
          <w:p w14:paraId="16371032" w14:textId="77777777" w:rsidR="00C6499A" w:rsidRPr="00C6499A" w:rsidRDefault="00C6499A" w:rsidP="00895C53">
            <w:pPr>
              <w:widowControl w:val="0"/>
              <w:tabs>
                <w:tab w:val="left" w:pos="720"/>
              </w:tabs>
              <w:rPr>
                <w:rFonts w:ascii="Arial" w:eastAsia="Arial" w:hAnsi="Arial" w:cs="Arial"/>
                <w:spacing w:val="-1"/>
                <w:sz w:val="20"/>
                <w:szCs w:val="20"/>
              </w:rPr>
            </w:pPr>
            <w:r w:rsidRPr="00C6499A">
              <w:rPr>
                <w:rFonts w:ascii="Arial" w:eastAsia="Arial" w:hAnsi="Arial" w:cs="Arial"/>
                <w:spacing w:val="-1"/>
                <w:sz w:val="20"/>
                <w:szCs w:val="20"/>
              </w:rPr>
              <w:t>NCUTCD agrees with Table 2L-4 as presented in the NPA except as follows:</w:t>
            </w:r>
          </w:p>
          <w:p w14:paraId="5974FB92" w14:textId="77777777" w:rsidR="00C6499A" w:rsidRPr="00C6499A" w:rsidRDefault="00C6499A" w:rsidP="00895C53">
            <w:pPr>
              <w:pStyle w:val="ListParagraph"/>
              <w:widowControl w:val="0"/>
              <w:numPr>
                <w:ilvl w:val="0"/>
                <w:numId w:val="8"/>
              </w:numPr>
              <w:tabs>
                <w:tab w:val="left" w:pos="1064"/>
                <w:tab w:val="left" w:pos="1440"/>
                <w:tab w:val="center" w:pos="4680"/>
                <w:tab w:val="right" w:pos="9360"/>
              </w:tabs>
              <w:ind w:left="360"/>
              <w:rPr>
                <w:rFonts w:ascii="Arial" w:hAnsi="Arial" w:cs="Arial"/>
                <w:sz w:val="20"/>
                <w:szCs w:val="20"/>
              </w:rPr>
            </w:pPr>
            <w:r w:rsidRPr="00C6499A">
              <w:rPr>
                <w:rFonts w:ascii="Arial" w:hAnsi="Arial" w:cs="Arial"/>
                <w:sz w:val="20"/>
                <w:szCs w:val="20"/>
              </w:rPr>
              <w:t xml:space="preserve">Line 6: </w:t>
            </w:r>
            <w:proofErr w:type="gramStart"/>
            <w:r w:rsidRPr="00C6499A">
              <w:rPr>
                <w:rFonts w:ascii="Arial" w:hAnsi="Arial" w:cs="Arial"/>
                <w:sz w:val="20"/>
                <w:szCs w:val="20"/>
              </w:rPr>
              <w:t>the</w:t>
            </w:r>
            <w:proofErr w:type="gramEnd"/>
            <w:r w:rsidRPr="00C6499A">
              <w:rPr>
                <w:rFonts w:ascii="Arial" w:hAnsi="Arial" w:cs="Arial"/>
                <w:sz w:val="20"/>
                <w:szCs w:val="20"/>
              </w:rPr>
              <w:t xml:space="preserve"> Improved Message appears to need some formatting work. For example, “Roadwork” should be shown on one line.  Also, it appears the balance of the message is missing after the word “Next”.  Otherwise, the Potential Message appears to be the better option.</w:t>
            </w:r>
          </w:p>
          <w:p w14:paraId="6E01AC77" w14:textId="75029E5B" w:rsidR="007950E2" w:rsidRPr="00C6499A" w:rsidRDefault="00C6499A" w:rsidP="00895C53">
            <w:pPr>
              <w:pStyle w:val="ListParagraph"/>
              <w:widowControl w:val="0"/>
              <w:numPr>
                <w:ilvl w:val="0"/>
                <w:numId w:val="8"/>
              </w:numPr>
              <w:tabs>
                <w:tab w:val="left" w:pos="1064"/>
                <w:tab w:val="left" w:pos="1440"/>
                <w:tab w:val="center" w:pos="4680"/>
                <w:tab w:val="right" w:pos="9360"/>
              </w:tabs>
              <w:ind w:left="360"/>
              <w:rPr>
                <w:rFonts w:ascii="Arial" w:hAnsi="Arial" w:cs="Arial"/>
                <w:sz w:val="20"/>
                <w:szCs w:val="20"/>
              </w:rPr>
            </w:pPr>
            <w:r w:rsidRPr="00C6499A">
              <w:rPr>
                <w:rFonts w:ascii="Arial" w:hAnsi="Arial" w:cs="Arial"/>
                <w:sz w:val="20"/>
                <w:szCs w:val="20"/>
              </w:rPr>
              <w:t>Correct the typographic error in the bottom callout.</w:t>
            </w:r>
          </w:p>
        </w:tc>
      </w:tr>
      <w:tr w:rsidR="007950E2" w:rsidRPr="00C6499A" w14:paraId="6163F5E4" w14:textId="77777777" w:rsidTr="0040594A">
        <w:trPr>
          <w:cantSplit/>
        </w:trPr>
        <w:tc>
          <w:tcPr>
            <w:tcW w:w="1170" w:type="dxa"/>
          </w:tcPr>
          <w:p w14:paraId="2D4C2CE1" w14:textId="0593C06F" w:rsidR="007950E2" w:rsidRPr="00C6499A" w:rsidRDefault="003D7CE5" w:rsidP="008B1530">
            <w:pPr>
              <w:rPr>
                <w:rFonts w:ascii="Arial" w:hAnsi="Arial" w:cs="Arial"/>
                <w:sz w:val="20"/>
                <w:szCs w:val="20"/>
              </w:rPr>
            </w:pPr>
            <w:r w:rsidRPr="00C6499A">
              <w:rPr>
                <w:rFonts w:ascii="Arial" w:hAnsi="Arial" w:cs="Arial"/>
                <w:sz w:val="20"/>
                <w:szCs w:val="20"/>
              </w:rPr>
              <w:t>2L.06</w:t>
            </w:r>
          </w:p>
        </w:tc>
        <w:tc>
          <w:tcPr>
            <w:tcW w:w="1167" w:type="dxa"/>
          </w:tcPr>
          <w:p w14:paraId="5E627FA4" w14:textId="03E5BA26" w:rsidR="007950E2" w:rsidRPr="00C6499A" w:rsidRDefault="003D7CE5" w:rsidP="008B1530">
            <w:pPr>
              <w:jc w:val="center"/>
              <w:rPr>
                <w:rFonts w:ascii="Arial" w:hAnsi="Arial" w:cs="Arial"/>
                <w:sz w:val="20"/>
                <w:szCs w:val="20"/>
              </w:rPr>
            </w:pPr>
            <w:r w:rsidRPr="00C6499A">
              <w:rPr>
                <w:rFonts w:ascii="Arial" w:hAnsi="Arial" w:cs="Arial"/>
                <w:sz w:val="20"/>
                <w:szCs w:val="20"/>
              </w:rPr>
              <w:t>NO</w:t>
            </w:r>
          </w:p>
        </w:tc>
        <w:tc>
          <w:tcPr>
            <w:tcW w:w="1183" w:type="dxa"/>
          </w:tcPr>
          <w:p w14:paraId="03C7907F" w14:textId="2CE5D5B0" w:rsidR="007950E2" w:rsidRPr="00C6499A" w:rsidRDefault="00895C53" w:rsidP="008B1530">
            <w:pPr>
              <w:jc w:val="center"/>
              <w:rPr>
                <w:rFonts w:ascii="Arial" w:hAnsi="Arial" w:cs="Arial"/>
                <w:sz w:val="20"/>
                <w:szCs w:val="20"/>
              </w:rPr>
            </w:pPr>
            <w:r>
              <w:rPr>
                <w:rFonts w:ascii="Arial" w:hAnsi="Arial" w:cs="Arial"/>
                <w:sz w:val="20"/>
                <w:szCs w:val="20"/>
              </w:rPr>
              <w:t>NO</w:t>
            </w:r>
          </w:p>
        </w:tc>
        <w:tc>
          <w:tcPr>
            <w:tcW w:w="1017" w:type="dxa"/>
          </w:tcPr>
          <w:p w14:paraId="19FF0A6B" w14:textId="2E21AA06" w:rsidR="007950E2" w:rsidRPr="00C6499A" w:rsidRDefault="00895C53" w:rsidP="008B1530">
            <w:pPr>
              <w:jc w:val="center"/>
              <w:rPr>
                <w:rFonts w:ascii="Arial" w:hAnsi="Arial" w:cs="Arial"/>
                <w:sz w:val="20"/>
                <w:szCs w:val="20"/>
              </w:rPr>
            </w:pPr>
            <w:r>
              <w:rPr>
                <w:rFonts w:ascii="Arial" w:hAnsi="Arial" w:cs="Arial"/>
                <w:sz w:val="20"/>
                <w:szCs w:val="20"/>
              </w:rPr>
              <w:t>YES</w:t>
            </w:r>
          </w:p>
        </w:tc>
        <w:tc>
          <w:tcPr>
            <w:tcW w:w="6263" w:type="dxa"/>
          </w:tcPr>
          <w:p w14:paraId="683F59C6" w14:textId="44689DED" w:rsidR="007950E2" w:rsidRPr="00C6499A" w:rsidRDefault="00C6499A" w:rsidP="00C6499A">
            <w:pPr>
              <w:autoSpaceDE w:val="0"/>
              <w:autoSpaceDN w:val="0"/>
              <w:adjustRightInd w:val="0"/>
              <w:rPr>
                <w:rFonts w:ascii="Arial" w:hAnsi="Arial" w:cs="Arial"/>
                <w:sz w:val="20"/>
                <w:szCs w:val="20"/>
              </w:rPr>
            </w:pPr>
            <w:r w:rsidRPr="00C6499A">
              <w:rPr>
                <w:rFonts w:ascii="Arial" w:hAnsi="Arial" w:cs="Arial"/>
                <w:sz w:val="20"/>
                <w:szCs w:val="20"/>
              </w:rPr>
              <w:t>NCUTCD recommends deletion of 2L.06 as presented in the NPA, because it is too vague to provide any useful information.</w:t>
            </w:r>
          </w:p>
        </w:tc>
      </w:tr>
      <w:tr w:rsidR="007950E2" w:rsidRPr="00C6499A" w14:paraId="0BE745EF" w14:textId="77777777" w:rsidTr="0040594A">
        <w:trPr>
          <w:cantSplit/>
        </w:trPr>
        <w:tc>
          <w:tcPr>
            <w:tcW w:w="1170" w:type="dxa"/>
          </w:tcPr>
          <w:p w14:paraId="00070D46" w14:textId="2A52B86C" w:rsidR="007950E2" w:rsidRPr="00C6499A" w:rsidRDefault="007950E2" w:rsidP="005B2D2B">
            <w:pPr>
              <w:rPr>
                <w:rFonts w:ascii="Arial" w:hAnsi="Arial" w:cs="Arial"/>
                <w:sz w:val="20"/>
                <w:szCs w:val="20"/>
              </w:rPr>
            </w:pPr>
            <w:r w:rsidRPr="00C6499A">
              <w:rPr>
                <w:rFonts w:ascii="Arial" w:hAnsi="Arial" w:cs="Arial"/>
                <w:sz w:val="20"/>
                <w:szCs w:val="20"/>
              </w:rPr>
              <w:t>2</w:t>
            </w:r>
            <w:r w:rsidR="003D7CE5" w:rsidRPr="00C6499A">
              <w:rPr>
                <w:rFonts w:ascii="Arial" w:hAnsi="Arial" w:cs="Arial"/>
                <w:sz w:val="20"/>
                <w:szCs w:val="20"/>
              </w:rPr>
              <w:t>L.07</w:t>
            </w:r>
          </w:p>
        </w:tc>
        <w:tc>
          <w:tcPr>
            <w:tcW w:w="1167" w:type="dxa"/>
          </w:tcPr>
          <w:p w14:paraId="2994DA9F" w14:textId="409D9C0E" w:rsidR="007950E2" w:rsidRPr="00C6499A" w:rsidRDefault="003D7CE5" w:rsidP="005B2D2B">
            <w:pPr>
              <w:jc w:val="center"/>
              <w:rPr>
                <w:rFonts w:ascii="Arial" w:hAnsi="Arial" w:cs="Arial"/>
                <w:sz w:val="20"/>
                <w:szCs w:val="20"/>
              </w:rPr>
            </w:pPr>
            <w:r w:rsidRPr="00C6499A">
              <w:rPr>
                <w:rFonts w:ascii="Arial" w:hAnsi="Arial" w:cs="Arial"/>
                <w:sz w:val="20"/>
                <w:szCs w:val="20"/>
              </w:rPr>
              <w:t>YES</w:t>
            </w:r>
          </w:p>
        </w:tc>
        <w:tc>
          <w:tcPr>
            <w:tcW w:w="1183" w:type="dxa"/>
          </w:tcPr>
          <w:p w14:paraId="4E93D556" w14:textId="65C29EC5" w:rsidR="007950E2" w:rsidRPr="00C6499A" w:rsidRDefault="003D7CE5" w:rsidP="005B2D2B">
            <w:pPr>
              <w:jc w:val="center"/>
              <w:rPr>
                <w:rFonts w:ascii="Arial" w:hAnsi="Arial" w:cs="Arial"/>
                <w:sz w:val="20"/>
                <w:szCs w:val="20"/>
              </w:rPr>
            </w:pPr>
            <w:r w:rsidRPr="00C6499A">
              <w:rPr>
                <w:rFonts w:ascii="Arial" w:hAnsi="Arial" w:cs="Arial"/>
                <w:sz w:val="20"/>
                <w:szCs w:val="20"/>
              </w:rPr>
              <w:t>NO</w:t>
            </w:r>
          </w:p>
        </w:tc>
        <w:tc>
          <w:tcPr>
            <w:tcW w:w="1017" w:type="dxa"/>
          </w:tcPr>
          <w:p w14:paraId="186C27F9" w14:textId="34153CB3" w:rsidR="007950E2" w:rsidRPr="00C6499A" w:rsidRDefault="007950E2" w:rsidP="005B2D2B">
            <w:pPr>
              <w:jc w:val="center"/>
              <w:rPr>
                <w:rFonts w:ascii="Arial" w:hAnsi="Arial" w:cs="Arial"/>
                <w:sz w:val="20"/>
                <w:szCs w:val="20"/>
              </w:rPr>
            </w:pPr>
            <w:r w:rsidRPr="00C6499A">
              <w:rPr>
                <w:rFonts w:ascii="Arial" w:hAnsi="Arial" w:cs="Arial"/>
                <w:sz w:val="20"/>
                <w:szCs w:val="20"/>
              </w:rPr>
              <w:t>N/A</w:t>
            </w:r>
          </w:p>
        </w:tc>
        <w:tc>
          <w:tcPr>
            <w:tcW w:w="6263" w:type="dxa"/>
          </w:tcPr>
          <w:p w14:paraId="08464C3C" w14:textId="31D8A0E1" w:rsidR="007950E2" w:rsidRPr="00C6499A" w:rsidRDefault="00C6499A" w:rsidP="003D7CE5">
            <w:pPr>
              <w:autoSpaceDE w:val="0"/>
              <w:autoSpaceDN w:val="0"/>
              <w:adjustRightInd w:val="0"/>
              <w:rPr>
                <w:rFonts w:ascii="Arial" w:hAnsi="Arial" w:cs="Arial"/>
                <w:sz w:val="20"/>
                <w:szCs w:val="20"/>
              </w:rPr>
            </w:pPr>
            <w:r w:rsidRPr="00C6499A">
              <w:rPr>
                <w:rFonts w:ascii="Arial" w:hAnsi="Arial" w:cs="Arial"/>
                <w:sz w:val="20"/>
                <w:szCs w:val="20"/>
              </w:rPr>
              <w:t>NCUTCD agrees with 2L.07 as presented in the NPA.</w:t>
            </w:r>
          </w:p>
        </w:tc>
      </w:tr>
      <w:tr w:rsidR="007950E2" w:rsidRPr="00C6499A" w14:paraId="7ABFEF87" w14:textId="77777777" w:rsidTr="0040594A">
        <w:trPr>
          <w:cantSplit/>
        </w:trPr>
        <w:tc>
          <w:tcPr>
            <w:tcW w:w="1170" w:type="dxa"/>
          </w:tcPr>
          <w:p w14:paraId="13A1C4D2" w14:textId="054ACB60" w:rsidR="007950E2" w:rsidRPr="00C6499A" w:rsidRDefault="007950E2" w:rsidP="005B2D2B">
            <w:pPr>
              <w:rPr>
                <w:rFonts w:ascii="Arial" w:hAnsi="Arial" w:cs="Arial"/>
                <w:sz w:val="20"/>
                <w:szCs w:val="20"/>
              </w:rPr>
            </w:pPr>
            <w:r w:rsidRPr="00C6499A">
              <w:rPr>
                <w:rFonts w:ascii="Arial" w:hAnsi="Arial" w:cs="Arial"/>
                <w:sz w:val="20"/>
                <w:szCs w:val="20"/>
              </w:rPr>
              <w:t>2</w:t>
            </w:r>
            <w:r w:rsidR="003D7CE5" w:rsidRPr="00C6499A">
              <w:rPr>
                <w:rFonts w:ascii="Arial" w:hAnsi="Arial" w:cs="Arial"/>
                <w:sz w:val="20"/>
                <w:szCs w:val="20"/>
              </w:rPr>
              <w:t>L.08</w:t>
            </w:r>
          </w:p>
        </w:tc>
        <w:tc>
          <w:tcPr>
            <w:tcW w:w="1167" w:type="dxa"/>
          </w:tcPr>
          <w:p w14:paraId="40085593" w14:textId="0E170F0B" w:rsidR="007950E2" w:rsidRPr="00C6499A" w:rsidRDefault="00895C53" w:rsidP="005B2D2B">
            <w:pPr>
              <w:jc w:val="center"/>
              <w:rPr>
                <w:rFonts w:ascii="Arial" w:hAnsi="Arial" w:cs="Arial"/>
                <w:sz w:val="20"/>
                <w:szCs w:val="20"/>
              </w:rPr>
            </w:pPr>
            <w:r>
              <w:rPr>
                <w:rFonts w:ascii="Arial" w:hAnsi="Arial" w:cs="Arial"/>
                <w:sz w:val="20"/>
                <w:szCs w:val="20"/>
              </w:rPr>
              <w:t>YES</w:t>
            </w:r>
          </w:p>
        </w:tc>
        <w:tc>
          <w:tcPr>
            <w:tcW w:w="1183" w:type="dxa"/>
          </w:tcPr>
          <w:p w14:paraId="1AC7C577" w14:textId="38F1329C" w:rsidR="007950E2" w:rsidRPr="00C6499A" w:rsidRDefault="00895C53" w:rsidP="005B2D2B">
            <w:pPr>
              <w:jc w:val="center"/>
              <w:rPr>
                <w:rFonts w:ascii="Arial" w:hAnsi="Arial" w:cs="Arial"/>
                <w:sz w:val="20"/>
                <w:szCs w:val="20"/>
              </w:rPr>
            </w:pPr>
            <w:r>
              <w:rPr>
                <w:rFonts w:ascii="Arial" w:hAnsi="Arial" w:cs="Arial"/>
                <w:sz w:val="20"/>
                <w:szCs w:val="20"/>
              </w:rPr>
              <w:t>N/A</w:t>
            </w:r>
          </w:p>
        </w:tc>
        <w:tc>
          <w:tcPr>
            <w:tcW w:w="1017" w:type="dxa"/>
          </w:tcPr>
          <w:p w14:paraId="7CEF30A2" w14:textId="3F5A9DE3" w:rsidR="007950E2" w:rsidRPr="00C6499A" w:rsidRDefault="007950E2" w:rsidP="005B2D2B">
            <w:pPr>
              <w:jc w:val="center"/>
              <w:rPr>
                <w:rFonts w:ascii="Arial" w:hAnsi="Arial" w:cs="Arial"/>
                <w:sz w:val="20"/>
                <w:szCs w:val="20"/>
              </w:rPr>
            </w:pPr>
            <w:r w:rsidRPr="00C6499A">
              <w:rPr>
                <w:rFonts w:ascii="Arial" w:hAnsi="Arial" w:cs="Arial"/>
                <w:sz w:val="20"/>
                <w:szCs w:val="20"/>
              </w:rPr>
              <w:t>N/A</w:t>
            </w:r>
          </w:p>
        </w:tc>
        <w:tc>
          <w:tcPr>
            <w:tcW w:w="6263" w:type="dxa"/>
          </w:tcPr>
          <w:p w14:paraId="7F299ED9" w14:textId="3483BCE8" w:rsidR="00C6499A" w:rsidRPr="00C6499A" w:rsidRDefault="00C6499A" w:rsidP="00C6499A">
            <w:pPr>
              <w:autoSpaceDE w:val="0"/>
              <w:autoSpaceDN w:val="0"/>
              <w:adjustRightInd w:val="0"/>
              <w:rPr>
                <w:rFonts w:ascii="Arial" w:hAnsi="Arial" w:cs="Arial"/>
                <w:sz w:val="20"/>
                <w:szCs w:val="20"/>
              </w:rPr>
            </w:pPr>
            <w:r w:rsidRPr="00C6499A">
              <w:rPr>
                <w:rFonts w:ascii="Arial" w:hAnsi="Arial" w:cs="Arial"/>
                <w:sz w:val="20"/>
                <w:szCs w:val="20"/>
              </w:rPr>
              <w:t>NCUTCD generally agrees with 2L.08 as presented in the NPA with minor editorial changes.</w:t>
            </w:r>
          </w:p>
        </w:tc>
      </w:tr>
      <w:tr w:rsidR="007950E2" w:rsidRPr="00C6499A" w14:paraId="7165C651" w14:textId="77777777" w:rsidTr="0040594A">
        <w:trPr>
          <w:cantSplit/>
        </w:trPr>
        <w:tc>
          <w:tcPr>
            <w:tcW w:w="1170" w:type="dxa"/>
          </w:tcPr>
          <w:p w14:paraId="07196FAC" w14:textId="0455E50F" w:rsidR="007950E2" w:rsidRPr="00C6499A" w:rsidRDefault="007950E2" w:rsidP="00F92192">
            <w:pPr>
              <w:rPr>
                <w:rFonts w:ascii="Arial" w:hAnsi="Arial" w:cs="Arial"/>
                <w:sz w:val="20"/>
                <w:szCs w:val="20"/>
              </w:rPr>
            </w:pPr>
            <w:r w:rsidRPr="00C6499A">
              <w:rPr>
                <w:rFonts w:ascii="Arial" w:hAnsi="Arial" w:cs="Arial"/>
                <w:sz w:val="20"/>
                <w:szCs w:val="20"/>
              </w:rPr>
              <w:t>2</w:t>
            </w:r>
            <w:r w:rsidR="003D7CE5" w:rsidRPr="00C6499A">
              <w:rPr>
                <w:rFonts w:ascii="Arial" w:hAnsi="Arial" w:cs="Arial"/>
                <w:sz w:val="20"/>
                <w:szCs w:val="20"/>
              </w:rPr>
              <w:t>L.09</w:t>
            </w:r>
          </w:p>
        </w:tc>
        <w:tc>
          <w:tcPr>
            <w:tcW w:w="1167" w:type="dxa"/>
          </w:tcPr>
          <w:p w14:paraId="75DDC6AA" w14:textId="659B72C8" w:rsidR="007950E2" w:rsidRPr="00C6499A" w:rsidRDefault="007950E2" w:rsidP="00F92192">
            <w:pPr>
              <w:jc w:val="center"/>
              <w:rPr>
                <w:rFonts w:ascii="Arial" w:hAnsi="Arial" w:cs="Arial"/>
                <w:sz w:val="20"/>
                <w:szCs w:val="20"/>
              </w:rPr>
            </w:pPr>
            <w:r w:rsidRPr="00C6499A">
              <w:rPr>
                <w:rFonts w:ascii="Arial" w:hAnsi="Arial" w:cs="Arial"/>
                <w:sz w:val="20"/>
                <w:szCs w:val="20"/>
              </w:rPr>
              <w:t>NO</w:t>
            </w:r>
          </w:p>
        </w:tc>
        <w:tc>
          <w:tcPr>
            <w:tcW w:w="1183" w:type="dxa"/>
          </w:tcPr>
          <w:p w14:paraId="581B55E7" w14:textId="178F61D0" w:rsidR="007950E2" w:rsidRPr="00C6499A" w:rsidRDefault="007950E2" w:rsidP="00F92192">
            <w:pPr>
              <w:jc w:val="center"/>
              <w:rPr>
                <w:rFonts w:ascii="Arial" w:hAnsi="Arial" w:cs="Arial"/>
                <w:sz w:val="20"/>
                <w:szCs w:val="20"/>
              </w:rPr>
            </w:pPr>
            <w:r w:rsidRPr="00C6499A">
              <w:rPr>
                <w:rFonts w:ascii="Arial" w:hAnsi="Arial" w:cs="Arial"/>
                <w:sz w:val="20"/>
                <w:szCs w:val="20"/>
              </w:rPr>
              <w:t>YES</w:t>
            </w:r>
          </w:p>
        </w:tc>
        <w:tc>
          <w:tcPr>
            <w:tcW w:w="1017" w:type="dxa"/>
          </w:tcPr>
          <w:p w14:paraId="2BBB595C" w14:textId="72A82567" w:rsidR="007950E2" w:rsidRPr="00C6499A" w:rsidRDefault="007950E2" w:rsidP="00F92192">
            <w:pPr>
              <w:jc w:val="center"/>
              <w:rPr>
                <w:rFonts w:ascii="Arial" w:hAnsi="Arial" w:cs="Arial"/>
                <w:sz w:val="20"/>
                <w:szCs w:val="20"/>
              </w:rPr>
            </w:pPr>
            <w:r w:rsidRPr="00C6499A">
              <w:rPr>
                <w:rFonts w:ascii="Arial" w:hAnsi="Arial" w:cs="Arial"/>
                <w:sz w:val="20"/>
                <w:szCs w:val="20"/>
              </w:rPr>
              <w:t>N/A</w:t>
            </w:r>
          </w:p>
        </w:tc>
        <w:tc>
          <w:tcPr>
            <w:tcW w:w="6263" w:type="dxa"/>
          </w:tcPr>
          <w:p w14:paraId="4D5FDB1D" w14:textId="58CEEB22" w:rsidR="007950E2" w:rsidRPr="00C6499A" w:rsidRDefault="00895C53" w:rsidP="00C6499A">
            <w:pPr>
              <w:autoSpaceDE w:val="0"/>
              <w:autoSpaceDN w:val="0"/>
              <w:adjustRightInd w:val="0"/>
              <w:rPr>
                <w:rFonts w:ascii="Arial" w:hAnsi="Arial" w:cs="Arial"/>
                <w:sz w:val="20"/>
                <w:szCs w:val="20"/>
              </w:rPr>
            </w:pPr>
            <w:r w:rsidRPr="00895C53">
              <w:rPr>
                <w:rFonts w:ascii="Arial" w:hAnsi="Arial" w:cs="Arial"/>
                <w:bCs/>
                <w:sz w:val="20"/>
                <w:szCs w:val="20"/>
              </w:rPr>
              <w:t>NCUTCD recommends revising 2L.09 in accordance with NCUTCD recommendation 20B-RW-03 by adding Support to address active traffic management and editing the item list for clarity.</w:t>
            </w:r>
          </w:p>
        </w:tc>
      </w:tr>
    </w:tbl>
    <w:p w14:paraId="3FA3B104" w14:textId="1F5D475A"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3D7CE5">
        <w:trPr>
          <w:trHeight w:val="1106"/>
        </w:trPr>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1D7CC" w14:textId="77777777" w:rsidR="00EA7340" w:rsidRDefault="00EA7340" w:rsidP="00CA28CD">
      <w:pPr>
        <w:spacing w:after="0" w:line="240" w:lineRule="auto"/>
      </w:pPr>
      <w:r>
        <w:separator/>
      </w:r>
    </w:p>
  </w:endnote>
  <w:endnote w:type="continuationSeparator" w:id="0">
    <w:p w14:paraId="59D62430" w14:textId="77777777" w:rsidR="00EA7340" w:rsidRDefault="00EA7340"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4727C64D" w:rsidR="00520AAA" w:rsidRPr="00A67B2B" w:rsidRDefault="003774EE" w:rsidP="005010D8">
    <w:pPr>
      <w:pStyle w:val="Footer"/>
      <w:tabs>
        <w:tab w:val="clear" w:pos="4680"/>
        <w:tab w:val="clear" w:pos="9360"/>
        <w:tab w:val="right" w:pos="990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5010D8">
      <w:rPr>
        <w:rFonts w:ascii="Arial" w:hAnsi="Arial" w:cs="Arial"/>
        <w:sz w:val="21"/>
        <w:szCs w:val="21"/>
      </w:rPr>
      <w:tab/>
      <w:t>National Committee on Uniform Traffic Control Devices (NCUTCD) - Chapter 2</w:t>
    </w:r>
    <w:r w:rsidR="005C263A">
      <w:rPr>
        <w:rFonts w:ascii="Arial" w:hAnsi="Arial" w:cs="Arial"/>
        <w:sz w:val="21"/>
        <w:szCs w:val="21"/>
      </w:rPr>
      <w:t>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25941" w14:textId="77777777" w:rsidR="00EA7340" w:rsidRDefault="00EA7340" w:rsidP="00CA28CD">
      <w:pPr>
        <w:spacing w:after="0" w:line="240" w:lineRule="auto"/>
      </w:pPr>
      <w:r>
        <w:separator/>
      </w:r>
    </w:p>
  </w:footnote>
  <w:footnote w:type="continuationSeparator" w:id="0">
    <w:p w14:paraId="2C77058A" w14:textId="77777777" w:rsidR="00EA7340" w:rsidRDefault="00EA7340"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146C"/>
    <w:multiLevelType w:val="hybridMultilevel"/>
    <w:tmpl w:val="41F23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75D87"/>
    <w:multiLevelType w:val="hybridMultilevel"/>
    <w:tmpl w:val="B57E4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F64C8"/>
    <w:multiLevelType w:val="hybridMultilevel"/>
    <w:tmpl w:val="AC24708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22DB58EF"/>
    <w:multiLevelType w:val="hybridMultilevel"/>
    <w:tmpl w:val="45C2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E0216"/>
    <w:multiLevelType w:val="hybridMultilevel"/>
    <w:tmpl w:val="BC8250E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0F4142F"/>
    <w:multiLevelType w:val="hybridMultilevel"/>
    <w:tmpl w:val="0F00F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AD0742"/>
    <w:multiLevelType w:val="hybridMultilevel"/>
    <w:tmpl w:val="4B068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0453B3"/>
    <w:multiLevelType w:val="hybridMultilevel"/>
    <w:tmpl w:val="7212BA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7B3E53"/>
    <w:multiLevelType w:val="hybridMultilevel"/>
    <w:tmpl w:val="293C4ECE"/>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15:restartNumberingAfterBreak="0">
    <w:nsid w:val="71FE7075"/>
    <w:multiLevelType w:val="hybridMultilevel"/>
    <w:tmpl w:val="58261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8"/>
  </w:num>
  <w:num w:numId="5">
    <w:abstractNumId w:val="1"/>
  </w:num>
  <w:num w:numId="6">
    <w:abstractNumId w:val="9"/>
  </w:num>
  <w:num w:numId="7">
    <w:abstractNumId w:val="10"/>
  </w:num>
  <w:num w:numId="8">
    <w:abstractNumId w:val="5"/>
  </w:num>
  <w:num w:numId="9">
    <w:abstractNumId w:val="2"/>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4D9E"/>
    <w:rsid w:val="00006579"/>
    <w:rsid w:val="00057668"/>
    <w:rsid w:val="00064834"/>
    <w:rsid w:val="00066457"/>
    <w:rsid w:val="00097C81"/>
    <w:rsid w:val="000B28D3"/>
    <w:rsid w:val="000C12B2"/>
    <w:rsid w:val="000D7F45"/>
    <w:rsid w:val="000E5FF2"/>
    <w:rsid w:val="000F6CA9"/>
    <w:rsid w:val="001177E6"/>
    <w:rsid w:val="00142413"/>
    <w:rsid w:val="001467C2"/>
    <w:rsid w:val="00160C94"/>
    <w:rsid w:val="00167C41"/>
    <w:rsid w:val="00182505"/>
    <w:rsid w:val="00185458"/>
    <w:rsid w:val="00187D5A"/>
    <w:rsid w:val="00192171"/>
    <w:rsid w:val="001B1B30"/>
    <w:rsid w:val="001B5156"/>
    <w:rsid w:val="001C7E04"/>
    <w:rsid w:val="001D6DE9"/>
    <w:rsid w:val="001E1EBD"/>
    <w:rsid w:val="001F74BA"/>
    <w:rsid w:val="002063CD"/>
    <w:rsid w:val="00225108"/>
    <w:rsid w:val="002428B9"/>
    <w:rsid w:val="00242B8E"/>
    <w:rsid w:val="00260856"/>
    <w:rsid w:val="002715A2"/>
    <w:rsid w:val="002715A7"/>
    <w:rsid w:val="00277785"/>
    <w:rsid w:val="00286AE2"/>
    <w:rsid w:val="00295CAE"/>
    <w:rsid w:val="002A11FF"/>
    <w:rsid w:val="002A1D98"/>
    <w:rsid w:val="002A50E5"/>
    <w:rsid w:val="002C4CE5"/>
    <w:rsid w:val="002D562A"/>
    <w:rsid w:val="002E241D"/>
    <w:rsid w:val="002E2E5A"/>
    <w:rsid w:val="002E7E0E"/>
    <w:rsid w:val="003167BD"/>
    <w:rsid w:val="00321150"/>
    <w:rsid w:val="00354FE9"/>
    <w:rsid w:val="00371935"/>
    <w:rsid w:val="003774EE"/>
    <w:rsid w:val="00393E82"/>
    <w:rsid w:val="00396819"/>
    <w:rsid w:val="003A68AB"/>
    <w:rsid w:val="003C1008"/>
    <w:rsid w:val="003C400F"/>
    <w:rsid w:val="003C79CF"/>
    <w:rsid w:val="003D0B00"/>
    <w:rsid w:val="003D605E"/>
    <w:rsid w:val="003D7CE5"/>
    <w:rsid w:val="003F578E"/>
    <w:rsid w:val="003F78A3"/>
    <w:rsid w:val="0040594A"/>
    <w:rsid w:val="004110FD"/>
    <w:rsid w:val="00412ED2"/>
    <w:rsid w:val="00417593"/>
    <w:rsid w:val="0043299E"/>
    <w:rsid w:val="00433326"/>
    <w:rsid w:val="004430D7"/>
    <w:rsid w:val="00460EB9"/>
    <w:rsid w:val="004A03C4"/>
    <w:rsid w:val="004F0FF0"/>
    <w:rsid w:val="005010D8"/>
    <w:rsid w:val="00520AAA"/>
    <w:rsid w:val="00525497"/>
    <w:rsid w:val="00525FE6"/>
    <w:rsid w:val="00535EC7"/>
    <w:rsid w:val="00552921"/>
    <w:rsid w:val="005B2D2B"/>
    <w:rsid w:val="005B694A"/>
    <w:rsid w:val="005C263A"/>
    <w:rsid w:val="005C725A"/>
    <w:rsid w:val="005D5149"/>
    <w:rsid w:val="005F11B8"/>
    <w:rsid w:val="00623973"/>
    <w:rsid w:val="00634404"/>
    <w:rsid w:val="00675E0A"/>
    <w:rsid w:val="00692B40"/>
    <w:rsid w:val="00692BC8"/>
    <w:rsid w:val="006944BC"/>
    <w:rsid w:val="006957FF"/>
    <w:rsid w:val="006A2A89"/>
    <w:rsid w:val="006B07AA"/>
    <w:rsid w:val="006B1AA5"/>
    <w:rsid w:val="006E240C"/>
    <w:rsid w:val="006E6A82"/>
    <w:rsid w:val="007068F7"/>
    <w:rsid w:val="00765D73"/>
    <w:rsid w:val="007746E2"/>
    <w:rsid w:val="00776728"/>
    <w:rsid w:val="00782C18"/>
    <w:rsid w:val="00787907"/>
    <w:rsid w:val="007950E2"/>
    <w:rsid w:val="007A02F0"/>
    <w:rsid w:val="007A2B2D"/>
    <w:rsid w:val="007D2681"/>
    <w:rsid w:val="007D7D22"/>
    <w:rsid w:val="007E3C99"/>
    <w:rsid w:val="007E6FEB"/>
    <w:rsid w:val="007F64EB"/>
    <w:rsid w:val="00801DC8"/>
    <w:rsid w:val="0081008F"/>
    <w:rsid w:val="0083322F"/>
    <w:rsid w:val="00836E4A"/>
    <w:rsid w:val="00845000"/>
    <w:rsid w:val="00866520"/>
    <w:rsid w:val="00873CFD"/>
    <w:rsid w:val="008827E3"/>
    <w:rsid w:val="00885A12"/>
    <w:rsid w:val="00885E70"/>
    <w:rsid w:val="00886FE4"/>
    <w:rsid w:val="00895C53"/>
    <w:rsid w:val="008B1530"/>
    <w:rsid w:val="008B2A22"/>
    <w:rsid w:val="008B5B38"/>
    <w:rsid w:val="008F6A14"/>
    <w:rsid w:val="009155B7"/>
    <w:rsid w:val="00924717"/>
    <w:rsid w:val="009252C2"/>
    <w:rsid w:val="009272C9"/>
    <w:rsid w:val="00927EB7"/>
    <w:rsid w:val="009816AB"/>
    <w:rsid w:val="00986E47"/>
    <w:rsid w:val="009937CF"/>
    <w:rsid w:val="0099748D"/>
    <w:rsid w:val="00997A49"/>
    <w:rsid w:val="009A121F"/>
    <w:rsid w:val="009B20E9"/>
    <w:rsid w:val="009E0658"/>
    <w:rsid w:val="009E57F1"/>
    <w:rsid w:val="00A17A86"/>
    <w:rsid w:val="00A200D1"/>
    <w:rsid w:val="00A23A3A"/>
    <w:rsid w:val="00A470F2"/>
    <w:rsid w:val="00A54333"/>
    <w:rsid w:val="00A60135"/>
    <w:rsid w:val="00A66C4F"/>
    <w:rsid w:val="00A67B2B"/>
    <w:rsid w:val="00A824EB"/>
    <w:rsid w:val="00A95DA2"/>
    <w:rsid w:val="00AA01D9"/>
    <w:rsid w:val="00AB519D"/>
    <w:rsid w:val="00AB6180"/>
    <w:rsid w:val="00AC2635"/>
    <w:rsid w:val="00AC2CBE"/>
    <w:rsid w:val="00AC4B74"/>
    <w:rsid w:val="00AF0E95"/>
    <w:rsid w:val="00B014CB"/>
    <w:rsid w:val="00B06C0A"/>
    <w:rsid w:val="00B1308E"/>
    <w:rsid w:val="00B570CF"/>
    <w:rsid w:val="00B64366"/>
    <w:rsid w:val="00B80D10"/>
    <w:rsid w:val="00B824F8"/>
    <w:rsid w:val="00B8673B"/>
    <w:rsid w:val="00BB104C"/>
    <w:rsid w:val="00BC3B64"/>
    <w:rsid w:val="00BD1F05"/>
    <w:rsid w:val="00BD3A17"/>
    <w:rsid w:val="00BD7682"/>
    <w:rsid w:val="00C1721D"/>
    <w:rsid w:val="00C25EA4"/>
    <w:rsid w:val="00C27DB3"/>
    <w:rsid w:val="00C4768F"/>
    <w:rsid w:val="00C52EA2"/>
    <w:rsid w:val="00C6499A"/>
    <w:rsid w:val="00C65E5F"/>
    <w:rsid w:val="00C77B28"/>
    <w:rsid w:val="00C77D56"/>
    <w:rsid w:val="00C855DC"/>
    <w:rsid w:val="00C9544F"/>
    <w:rsid w:val="00CA28CD"/>
    <w:rsid w:val="00CB1EA5"/>
    <w:rsid w:val="00CC0DA7"/>
    <w:rsid w:val="00CC5670"/>
    <w:rsid w:val="00CD0FD3"/>
    <w:rsid w:val="00CE0F95"/>
    <w:rsid w:val="00CE3573"/>
    <w:rsid w:val="00D015E1"/>
    <w:rsid w:val="00D22B25"/>
    <w:rsid w:val="00D40A56"/>
    <w:rsid w:val="00D543C1"/>
    <w:rsid w:val="00D66D26"/>
    <w:rsid w:val="00D67AB1"/>
    <w:rsid w:val="00D72EC6"/>
    <w:rsid w:val="00D82DF2"/>
    <w:rsid w:val="00D85085"/>
    <w:rsid w:val="00D86280"/>
    <w:rsid w:val="00D91F2E"/>
    <w:rsid w:val="00DA6D06"/>
    <w:rsid w:val="00DA7226"/>
    <w:rsid w:val="00DB0FBC"/>
    <w:rsid w:val="00DB1A9C"/>
    <w:rsid w:val="00DB37DB"/>
    <w:rsid w:val="00DF130A"/>
    <w:rsid w:val="00E05E1B"/>
    <w:rsid w:val="00E07BC7"/>
    <w:rsid w:val="00E14F60"/>
    <w:rsid w:val="00E75A26"/>
    <w:rsid w:val="00E805D1"/>
    <w:rsid w:val="00E972AB"/>
    <w:rsid w:val="00EA2B2F"/>
    <w:rsid w:val="00EA5DC6"/>
    <w:rsid w:val="00EA7340"/>
    <w:rsid w:val="00ED78AA"/>
    <w:rsid w:val="00EE246A"/>
    <w:rsid w:val="00EF7249"/>
    <w:rsid w:val="00F061E8"/>
    <w:rsid w:val="00F06647"/>
    <w:rsid w:val="00F127BF"/>
    <w:rsid w:val="00F1362C"/>
    <w:rsid w:val="00F17C8E"/>
    <w:rsid w:val="00F43942"/>
    <w:rsid w:val="00F80644"/>
    <w:rsid w:val="00F92192"/>
    <w:rsid w:val="00F926DD"/>
    <w:rsid w:val="00FA1E54"/>
    <w:rsid w:val="00FC696E"/>
    <w:rsid w:val="00FD1F4F"/>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1"/>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781a52b0-d0f4-44f0-98bb-0d102f5fd161"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3.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5.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6.xml><?xml version="1.0" encoding="utf-8"?>
<ds:datastoreItem xmlns:ds="http://schemas.openxmlformats.org/officeDocument/2006/customXml" ds:itemID="{2C738A6A-8514-4EA2-8442-09A6D52C8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4</cp:revision>
  <dcterms:created xsi:type="dcterms:W3CDTF">2021-05-04T18:47:00Z</dcterms:created>
  <dcterms:modified xsi:type="dcterms:W3CDTF">2021-05-04T20:19:00Z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