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C65E5F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4A03C4" w14:paraId="6BA5487D" w14:textId="77777777" w:rsidTr="00C65E5F">
        <w:tc>
          <w:tcPr>
            <w:tcW w:w="1170" w:type="dxa"/>
          </w:tcPr>
          <w:p w14:paraId="2224C663" w14:textId="685182CE" w:rsidR="004A03C4" w:rsidRPr="008B2A22" w:rsidRDefault="00E8472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3A.04</w:t>
            </w:r>
          </w:p>
        </w:tc>
        <w:tc>
          <w:tcPr>
            <w:tcW w:w="1167" w:type="dxa"/>
          </w:tcPr>
          <w:p w14:paraId="77DB8454" w14:textId="76FA1FE4" w:rsidR="004A03C4" w:rsidRPr="008B2A22" w:rsidRDefault="00E8472B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B7070FB" w14:textId="7D485AC2" w:rsidR="004A03C4" w:rsidRPr="008B2A22" w:rsidRDefault="004A03C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AB22FA" w14:textId="5BCEACB3" w:rsidR="004A03C4" w:rsidRPr="008B2A22" w:rsidRDefault="004A03C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769A9D6" w14:textId="219F00ED" w:rsidR="004A03C4" w:rsidRPr="008B2A22" w:rsidRDefault="00E8472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definition of “normal width line” should be 6” for roads with ADT &gt;= 6000.  For roads with less than 6000 ADT, a 4” line should be allowed.  </w:t>
            </w:r>
            <w:r w:rsidR="00294601">
              <w:rPr>
                <w:rFonts w:ascii="Arial" w:hAnsi="Arial" w:cs="Arial"/>
                <w:sz w:val="20"/>
                <w:szCs w:val="20"/>
              </w:rPr>
              <w:t xml:space="preserve">If 6” wide lines are required for all roads &gt;40 mph, then some agencies will decide not to have any pavement markings on roads &lt;6000 ADT </w:t>
            </w:r>
            <w:r w:rsidR="00294601">
              <w:rPr>
                <w:rFonts w:ascii="Arial" w:hAnsi="Arial" w:cs="Arial"/>
                <w:sz w:val="20"/>
                <w:szCs w:val="20"/>
              </w:rPr>
              <w:t>(typically collector</w:t>
            </w:r>
            <w:r w:rsidR="00294601">
              <w:rPr>
                <w:rFonts w:ascii="Arial" w:hAnsi="Arial" w:cs="Arial"/>
                <w:sz w:val="20"/>
                <w:szCs w:val="20"/>
              </w:rPr>
              <w:t xml:space="preserve"> roads</w:t>
            </w:r>
            <w:r w:rsidR="00294601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294601">
              <w:rPr>
                <w:rFonts w:ascii="Arial" w:hAnsi="Arial" w:cs="Arial"/>
                <w:sz w:val="20"/>
                <w:szCs w:val="20"/>
              </w:rPr>
              <w:t>due to the increased material costs of the wider lines. This would result in reduced safety on lower trafficked roads.</w:t>
            </w:r>
          </w:p>
        </w:tc>
      </w:tr>
      <w:tr w:rsidR="00BD7682" w14:paraId="3A298636" w14:textId="77777777" w:rsidTr="00C65E5F">
        <w:tc>
          <w:tcPr>
            <w:tcW w:w="1170" w:type="dxa"/>
          </w:tcPr>
          <w:p w14:paraId="7C3C349B" w14:textId="731A924D" w:rsidR="00BD7682" w:rsidRPr="0029284F" w:rsidRDefault="005016E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3B.09</w:t>
            </w:r>
          </w:p>
        </w:tc>
        <w:tc>
          <w:tcPr>
            <w:tcW w:w="1167" w:type="dxa"/>
          </w:tcPr>
          <w:p w14:paraId="2CBB2136" w14:textId="77777777" w:rsidR="00BD7682" w:rsidRPr="0029284F" w:rsidRDefault="00BD7682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84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1F5D4AF" w14:textId="2C00BA60" w:rsidR="00BD7682" w:rsidRPr="0029284F" w:rsidRDefault="005016E3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EECFCA9" w14:textId="77777777" w:rsidR="00BD7682" w:rsidRPr="0029284F" w:rsidRDefault="00BD7682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84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5DD5A" w14:textId="5D612322" w:rsidR="00BD7682" w:rsidRPr="0029284F" w:rsidRDefault="005016E3" w:rsidP="0029284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Guidance statement on lines 9 &amp; 10 should instead be converted to a Support statement about the desirability of 6” wide edge lines. While I agree with the concept of 6” wide edge lines, </w:t>
            </w:r>
            <w:r w:rsidR="00C9552D">
              <w:rPr>
                <w:rFonts w:ascii="Arial" w:hAnsi="Arial" w:cs="Arial"/>
                <w:sz w:val="20"/>
                <w:szCs w:val="20"/>
              </w:rPr>
              <w:t xml:space="preserve">and the Guidance statement is not a mandate, </w:t>
            </w:r>
            <w:r>
              <w:rPr>
                <w:rFonts w:ascii="Arial" w:hAnsi="Arial" w:cs="Arial"/>
                <w:sz w:val="20"/>
                <w:szCs w:val="20"/>
              </w:rPr>
              <w:t>I fear that some agencies will elect to forgo edge lines for roads &lt;6000 ADT due to the increased material costs.  This would negatively impact safety on lower trafficked roads</w:t>
            </w:r>
            <w:r w:rsidR="00C9552D">
              <w:rPr>
                <w:rFonts w:ascii="Arial" w:hAnsi="Arial" w:cs="Arial"/>
                <w:sz w:val="20"/>
                <w:szCs w:val="20"/>
              </w:rPr>
              <w:t xml:space="preserve"> by eliminating the guidance provided by edge lines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82C18" w14:paraId="7017C9DB" w14:textId="4839F836" w:rsidTr="00C65E5F">
        <w:tc>
          <w:tcPr>
            <w:tcW w:w="1170" w:type="dxa"/>
          </w:tcPr>
          <w:p w14:paraId="0642A744" w14:textId="33CB6897" w:rsidR="00F06647" w:rsidRPr="00A67B2B" w:rsidRDefault="00024BBA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8B.24</w:t>
            </w:r>
          </w:p>
        </w:tc>
        <w:tc>
          <w:tcPr>
            <w:tcW w:w="1167" w:type="dxa"/>
          </w:tcPr>
          <w:p w14:paraId="4617A116" w14:textId="62296623" w:rsidR="00F06647" w:rsidRPr="00A67B2B" w:rsidRDefault="00024BBA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38BAA7A" w14:textId="4FBDFD58" w:rsidR="00F06647" w:rsidRPr="00A67B2B" w:rsidRDefault="00024BBA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A41E31B" w14:textId="2CB172FA" w:rsidR="00F06647" w:rsidRPr="00A67B2B" w:rsidRDefault="00024BBA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F41D3C" w14:textId="6EDCD865" w:rsidR="00F06647" w:rsidRPr="00A67B2B" w:rsidRDefault="00024BBA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like the option of mounting a ROUGH CROSSING plaque below the grade crossing advance warning signs</w:t>
            </w:r>
          </w:p>
        </w:tc>
      </w:tr>
      <w:tr w:rsidR="00782C18" w14:paraId="728D6732" w14:textId="0756E885" w:rsidTr="00C65E5F">
        <w:tc>
          <w:tcPr>
            <w:tcW w:w="1170" w:type="dxa"/>
          </w:tcPr>
          <w:p w14:paraId="6AFCDF00" w14:textId="775B8D74" w:rsidR="00F06647" w:rsidRPr="00A67B2B" w:rsidRDefault="00370498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2B.21</w:t>
            </w:r>
          </w:p>
        </w:tc>
        <w:tc>
          <w:tcPr>
            <w:tcW w:w="1167" w:type="dxa"/>
          </w:tcPr>
          <w:p w14:paraId="02040168" w14:textId="684055DE" w:rsidR="00F06647" w:rsidRPr="00A67B2B" w:rsidRDefault="0037049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EB6B6BD" w14:textId="48473725" w:rsidR="00F06647" w:rsidRPr="00A67B2B" w:rsidRDefault="0037049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0A51550" w14:textId="54831911" w:rsidR="00F06647" w:rsidRPr="00A67B2B" w:rsidRDefault="0037049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46BEF39F" w:rsidR="00F06647" w:rsidRPr="00A67B2B" w:rsidRDefault="00370498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like that a speed distribution study is now recommended in a Guidance statement rather than mandated.</w:t>
            </w:r>
          </w:p>
        </w:tc>
      </w:tr>
      <w:tr w:rsidR="00782C18" w14:paraId="291930E3" w14:textId="74252152" w:rsidTr="00C65E5F">
        <w:tc>
          <w:tcPr>
            <w:tcW w:w="1170" w:type="dxa"/>
          </w:tcPr>
          <w:p w14:paraId="5C239D48" w14:textId="001A445D" w:rsidR="00F06647" w:rsidRPr="00A67B2B" w:rsidRDefault="004245B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6D.06</w:t>
            </w:r>
          </w:p>
        </w:tc>
        <w:tc>
          <w:tcPr>
            <w:tcW w:w="1167" w:type="dxa"/>
          </w:tcPr>
          <w:p w14:paraId="5D55ADD1" w14:textId="1CEED556" w:rsidR="00F06647" w:rsidRPr="00A67B2B" w:rsidRDefault="004245BB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AFA22E3" w14:textId="714AB5B5" w:rsidR="00F06647" w:rsidRPr="00A67B2B" w:rsidRDefault="004245BB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22D4DC09" w:rsidR="00F06647" w:rsidRPr="00A67B2B" w:rsidRDefault="004245BB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6263" w:type="dxa"/>
          </w:tcPr>
          <w:p w14:paraId="4F7C4F3C" w14:textId="611FC013" w:rsidR="00F06647" w:rsidRPr="00A67B2B" w:rsidRDefault="004245B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Line 14 regarding flagger stations, this should remain a “shall” condition</w:t>
            </w:r>
          </w:p>
        </w:tc>
      </w:tr>
      <w:tr w:rsidR="00782C18" w14:paraId="441F5ED9" w14:textId="3F7BEEC2" w:rsidTr="00C65E5F">
        <w:tc>
          <w:tcPr>
            <w:tcW w:w="1170" w:type="dxa"/>
          </w:tcPr>
          <w:p w14:paraId="467546D0" w14:textId="77777777" w:rsidR="00F06647" w:rsidRPr="00A67B2B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1C2A64F1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16F410D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49427328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108350DC" w14:textId="77777777" w:rsidR="00F06647" w:rsidRPr="00A67B2B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 xml:space="preserve">’s 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lastRenderedPageBreak/>
              <w:t>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lastRenderedPageBreak/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lastRenderedPageBreak/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lastRenderedPageBreak/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40E1BA12" w14:textId="7BA9D3D9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2EAC2220" w14:textId="4D2ABD3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1CA5FA72" w14:textId="17BD1DBE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951C" w14:textId="77777777" w:rsidR="001B080A" w:rsidRDefault="001B080A" w:rsidP="00CA28CD">
      <w:pPr>
        <w:spacing w:after="0" w:line="240" w:lineRule="auto"/>
      </w:pPr>
      <w:r>
        <w:separator/>
      </w:r>
    </w:p>
  </w:endnote>
  <w:endnote w:type="continuationSeparator" w:id="0">
    <w:p w14:paraId="3CEF350A" w14:textId="77777777" w:rsidR="001B080A" w:rsidRDefault="001B080A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F256" w14:textId="72126D06" w:rsidR="00520AAA" w:rsidRPr="00A67B2B" w:rsidRDefault="003774EE" w:rsidP="00A67B2B">
    <w:pPr>
      <w:pStyle w:val="Footer"/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</w:t>
    </w:r>
    <w:r w:rsidRPr="00A67B2B">
      <w:rPr>
        <w:rFonts w:ascii="Arial" w:hAnsi="Arial" w:cs="Arial"/>
        <w:sz w:val="21"/>
        <w:szCs w:val="21"/>
      </w:rPr>
      <w:ptab w:relativeTo="margin" w:alignment="center" w:leader="none"/>
    </w:r>
    <w:r w:rsidR="005016E3">
      <w:rPr>
        <w:rFonts w:ascii="Arial" w:hAnsi="Arial" w:cs="Arial"/>
        <w:sz w:val="21"/>
        <w:szCs w:val="21"/>
      </w:rPr>
      <w:tab/>
    </w:r>
    <w:r w:rsidR="005016E3" w:rsidRPr="00A67B2B">
      <w:rPr>
        <w:rFonts w:ascii="Arial" w:hAnsi="Arial" w:cs="Arial"/>
        <w:sz w:val="21"/>
        <w:szCs w:val="21"/>
      </w:rPr>
      <w:t xml:space="preserve"> </w:t>
    </w:r>
    <w:r w:rsidRPr="00A67B2B">
      <w:rPr>
        <w:rFonts w:ascii="Arial" w:hAnsi="Arial" w:cs="Arial"/>
        <w:sz w:val="21"/>
        <w:szCs w:val="21"/>
      </w:rPr>
      <w:t>[</w:t>
    </w:r>
    <w:r w:rsidR="005016E3">
      <w:rPr>
        <w:rFonts w:ascii="Arial" w:hAnsi="Arial" w:cs="Arial"/>
        <w:sz w:val="21"/>
        <w:szCs w:val="21"/>
      </w:rPr>
      <w:t>Keith Browning, P.E., Kansas Assoc</w:t>
    </w:r>
    <w:r w:rsidR="00C9552D">
      <w:rPr>
        <w:rFonts w:ascii="Arial" w:hAnsi="Arial" w:cs="Arial"/>
        <w:sz w:val="21"/>
        <w:szCs w:val="21"/>
      </w:rPr>
      <w:t>.</w:t>
    </w:r>
    <w:r w:rsidR="005016E3">
      <w:rPr>
        <w:rFonts w:ascii="Arial" w:hAnsi="Arial" w:cs="Arial"/>
        <w:sz w:val="21"/>
        <w:szCs w:val="21"/>
      </w:rPr>
      <w:t xml:space="preserve"> of Counties</w:t>
    </w:r>
    <w:r w:rsidRPr="00A67B2B">
      <w:rPr>
        <w:rFonts w:ascii="Arial" w:hAnsi="Arial" w:cs="Arial"/>
        <w:sz w:val="21"/>
        <w:szCs w:val="21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2AF3" w14:textId="77777777" w:rsidR="001B080A" w:rsidRDefault="001B080A" w:rsidP="00CA28CD">
      <w:pPr>
        <w:spacing w:after="0" w:line="240" w:lineRule="auto"/>
      </w:pPr>
      <w:r>
        <w:separator/>
      </w:r>
    </w:p>
  </w:footnote>
  <w:footnote w:type="continuationSeparator" w:id="0">
    <w:p w14:paraId="39296B59" w14:textId="77777777" w:rsidR="001B080A" w:rsidRDefault="001B080A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24BBA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B080A"/>
    <w:rsid w:val="001B1B30"/>
    <w:rsid w:val="001B5156"/>
    <w:rsid w:val="001C7E04"/>
    <w:rsid w:val="001E1EBD"/>
    <w:rsid w:val="001F6A9E"/>
    <w:rsid w:val="002063CD"/>
    <w:rsid w:val="00225108"/>
    <w:rsid w:val="00242B8E"/>
    <w:rsid w:val="00260856"/>
    <w:rsid w:val="002715A2"/>
    <w:rsid w:val="002715A7"/>
    <w:rsid w:val="00277785"/>
    <w:rsid w:val="00286AE2"/>
    <w:rsid w:val="00294601"/>
    <w:rsid w:val="00295CAE"/>
    <w:rsid w:val="002A11FF"/>
    <w:rsid w:val="002A1D98"/>
    <w:rsid w:val="002A50E5"/>
    <w:rsid w:val="002C4CE5"/>
    <w:rsid w:val="002E2E5A"/>
    <w:rsid w:val="00354FE9"/>
    <w:rsid w:val="00370498"/>
    <w:rsid w:val="00371935"/>
    <w:rsid w:val="003774EE"/>
    <w:rsid w:val="00393E82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245BB"/>
    <w:rsid w:val="0043299E"/>
    <w:rsid w:val="00433326"/>
    <w:rsid w:val="004430D7"/>
    <w:rsid w:val="00460EB9"/>
    <w:rsid w:val="004A03C4"/>
    <w:rsid w:val="004F0FF0"/>
    <w:rsid w:val="005016E3"/>
    <w:rsid w:val="00520AAA"/>
    <w:rsid w:val="00525497"/>
    <w:rsid w:val="00525FE6"/>
    <w:rsid w:val="00552921"/>
    <w:rsid w:val="005B694A"/>
    <w:rsid w:val="005F11B8"/>
    <w:rsid w:val="00634404"/>
    <w:rsid w:val="00675E0A"/>
    <w:rsid w:val="00692B40"/>
    <w:rsid w:val="00692BC8"/>
    <w:rsid w:val="006944BC"/>
    <w:rsid w:val="006957FF"/>
    <w:rsid w:val="006A2A89"/>
    <w:rsid w:val="006B07AA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552D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8472B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781a52b0-d0f4-44f0-98bb-0d102f5fd161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Keith Browning</cp:lastModifiedBy>
  <cp:revision>3</cp:revision>
  <dcterms:created xsi:type="dcterms:W3CDTF">2021-05-04T18:24:00Z</dcterms:created>
  <dcterms:modified xsi:type="dcterms:W3CDTF">2021-05-04T20:17:00Z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