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D83084">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6D1026" w14:paraId="728D6732" w14:textId="0756E885" w:rsidTr="00D83084">
        <w:trPr>
          <w:cantSplit/>
        </w:trPr>
        <w:tc>
          <w:tcPr>
            <w:tcW w:w="1170" w:type="dxa"/>
          </w:tcPr>
          <w:p w14:paraId="6AFCDF00" w14:textId="489E9274" w:rsidR="006D1026" w:rsidRPr="00A67B2B" w:rsidRDefault="006D1026" w:rsidP="006D1026">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6D1026" w:rsidRPr="00A67B2B" w:rsidRDefault="006D1026" w:rsidP="006D1026">
            <w:pPr>
              <w:spacing w:line="259" w:lineRule="auto"/>
              <w:jc w:val="center"/>
              <w:rPr>
                <w:rFonts w:ascii="Arial" w:hAnsi="Arial" w:cs="Arial"/>
                <w:sz w:val="20"/>
                <w:szCs w:val="20"/>
              </w:rPr>
            </w:pPr>
          </w:p>
        </w:tc>
        <w:tc>
          <w:tcPr>
            <w:tcW w:w="1183" w:type="dxa"/>
          </w:tcPr>
          <w:p w14:paraId="6EB6B6BD" w14:textId="0CDAFBD7" w:rsidR="006D1026" w:rsidRPr="00A67B2B" w:rsidRDefault="006D1026" w:rsidP="006D1026">
            <w:pPr>
              <w:spacing w:line="259" w:lineRule="auto"/>
              <w:jc w:val="center"/>
              <w:rPr>
                <w:rFonts w:ascii="Arial" w:hAnsi="Arial" w:cs="Arial"/>
                <w:sz w:val="20"/>
                <w:szCs w:val="20"/>
              </w:rPr>
            </w:pPr>
          </w:p>
        </w:tc>
        <w:tc>
          <w:tcPr>
            <w:tcW w:w="1017" w:type="dxa"/>
          </w:tcPr>
          <w:p w14:paraId="50A51550" w14:textId="19C099DA" w:rsidR="006D1026" w:rsidRPr="00A67B2B" w:rsidRDefault="006D1026" w:rsidP="006D1026">
            <w:pPr>
              <w:spacing w:line="259" w:lineRule="auto"/>
              <w:jc w:val="center"/>
              <w:rPr>
                <w:rFonts w:ascii="Arial" w:hAnsi="Arial" w:cs="Arial"/>
                <w:sz w:val="20"/>
                <w:szCs w:val="20"/>
              </w:rPr>
            </w:pPr>
          </w:p>
        </w:tc>
        <w:tc>
          <w:tcPr>
            <w:tcW w:w="6263" w:type="dxa"/>
          </w:tcPr>
          <w:p w14:paraId="2C22E9F2" w14:textId="06653533" w:rsidR="006D1026" w:rsidRPr="00A67B2B" w:rsidRDefault="006D1026" w:rsidP="006D1026">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3960B3" w14:paraId="291930E3" w14:textId="74252152" w:rsidTr="00D83084">
        <w:trPr>
          <w:cantSplit/>
        </w:trPr>
        <w:tc>
          <w:tcPr>
            <w:tcW w:w="1170" w:type="dxa"/>
          </w:tcPr>
          <w:p w14:paraId="5C239D48" w14:textId="6696B609" w:rsidR="003960B3" w:rsidRPr="00A67B2B" w:rsidRDefault="003960B3" w:rsidP="003960B3">
            <w:pPr>
              <w:spacing w:line="259" w:lineRule="auto"/>
              <w:rPr>
                <w:rFonts w:ascii="Arial" w:hAnsi="Arial" w:cs="Arial"/>
                <w:sz w:val="20"/>
                <w:szCs w:val="20"/>
              </w:rPr>
            </w:pPr>
            <w:r>
              <w:rPr>
                <w:rFonts w:ascii="Arial" w:hAnsi="Arial" w:cs="Arial"/>
                <w:sz w:val="20"/>
                <w:szCs w:val="20"/>
              </w:rPr>
              <w:t>4H.01</w:t>
            </w:r>
          </w:p>
        </w:tc>
        <w:tc>
          <w:tcPr>
            <w:tcW w:w="1167" w:type="dxa"/>
          </w:tcPr>
          <w:p w14:paraId="5D55ADD1" w14:textId="4F78A4CD" w:rsidR="003960B3" w:rsidRPr="00A67B2B" w:rsidRDefault="002E3EF5" w:rsidP="003960B3">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51A76B80" w:rsidR="003960B3" w:rsidRPr="00A67B2B" w:rsidRDefault="003960B3" w:rsidP="003960B3">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12E9A4F1" w:rsidR="003960B3" w:rsidRPr="00A67B2B" w:rsidRDefault="003960B3" w:rsidP="003960B3">
            <w:pPr>
              <w:spacing w:line="259" w:lineRule="auto"/>
              <w:jc w:val="center"/>
              <w:rPr>
                <w:rFonts w:ascii="Arial" w:hAnsi="Arial" w:cs="Arial"/>
                <w:sz w:val="20"/>
                <w:szCs w:val="20"/>
              </w:rPr>
            </w:pPr>
            <w:r>
              <w:rPr>
                <w:rFonts w:ascii="Arial" w:hAnsi="Arial" w:cs="Arial"/>
                <w:sz w:val="20"/>
                <w:szCs w:val="20"/>
              </w:rPr>
              <w:t>N/A</w:t>
            </w:r>
          </w:p>
        </w:tc>
        <w:tc>
          <w:tcPr>
            <w:tcW w:w="6263" w:type="dxa"/>
          </w:tcPr>
          <w:p w14:paraId="75AB082D" w14:textId="77777777" w:rsidR="002E3EF5" w:rsidRPr="002E3EF5" w:rsidRDefault="002E3EF5" w:rsidP="002E3EF5">
            <w:pPr>
              <w:rPr>
                <w:rFonts w:ascii="Arial" w:hAnsi="Arial" w:cs="Arial"/>
                <w:sz w:val="20"/>
                <w:szCs w:val="20"/>
              </w:rPr>
            </w:pPr>
            <w:r w:rsidRPr="002E3EF5">
              <w:rPr>
                <w:rFonts w:ascii="Arial" w:hAnsi="Arial" w:cs="Arial"/>
                <w:sz w:val="20"/>
                <w:szCs w:val="20"/>
              </w:rPr>
              <w:t>NCUTCD recommends revising 4H.01 as follows:</w:t>
            </w:r>
          </w:p>
          <w:p w14:paraId="3D65A5A7" w14:textId="1DA0275E" w:rsidR="002E3EF5" w:rsidRPr="002E3EF5" w:rsidRDefault="002E3EF5" w:rsidP="002E3EF5">
            <w:pPr>
              <w:pStyle w:val="ListParagraph"/>
              <w:numPr>
                <w:ilvl w:val="0"/>
                <w:numId w:val="2"/>
              </w:numPr>
              <w:rPr>
                <w:rFonts w:ascii="Arial" w:hAnsi="Arial" w:cs="Arial"/>
                <w:sz w:val="20"/>
                <w:szCs w:val="20"/>
              </w:rPr>
            </w:pPr>
            <w:r w:rsidRPr="002E3EF5">
              <w:rPr>
                <w:rFonts w:ascii="Arial" w:hAnsi="Arial" w:cs="Arial"/>
                <w:sz w:val="20"/>
                <w:szCs w:val="20"/>
              </w:rPr>
              <w:t xml:space="preserve">Replace "counter-flow" with the more familiar term "contra-flow" </w:t>
            </w:r>
          </w:p>
          <w:p w14:paraId="7F90C285" w14:textId="2412FDFE" w:rsidR="002E3EF5" w:rsidRPr="002E3EF5" w:rsidRDefault="002E3EF5" w:rsidP="002E3EF5">
            <w:pPr>
              <w:pStyle w:val="ListParagraph"/>
              <w:numPr>
                <w:ilvl w:val="0"/>
                <w:numId w:val="2"/>
              </w:numPr>
              <w:rPr>
                <w:rFonts w:ascii="Arial" w:hAnsi="Arial" w:cs="Arial"/>
                <w:sz w:val="20"/>
                <w:szCs w:val="20"/>
              </w:rPr>
            </w:pPr>
            <w:r w:rsidRPr="002E3EF5">
              <w:rPr>
                <w:rFonts w:ascii="Arial" w:hAnsi="Arial" w:cs="Arial"/>
                <w:sz w:val="20"/>
                <w:szCs w:val="20"/>
              </w:rPr>
              <w:t>Delete the first Guidance statement, as the meaning isn't clear and could be misinterpreted</w:t>
            </w:r>
          </w:p>
          <w:p w14:paraId="6F8353C3" w14:textId="07A6BFA3" w:rsidR="002E3EF5" w:rsidRPr="002E3EF5" w:rsidRDefault="002E3EF5" w:rsidP="002E3EF5">
            <w:pPr>
              <w:pStyle w:val="ListParagraph"/>
              <w:numPr>
                <w:ilvl w:val="0"/>
                <w:numId w:val="2"/>
              </w:numPr>
              <w:rPr>
                <w:rFonts w:ascii="Arial" w:hAnsi="Arial" w:cs="Arial"/>
                <w:sz w:val="20"/>
                <w:szCs w:val="20"/>
              </w:rPr>
            </w:pPr>
            <w:r w:rsidRPr="002E3EF5">
              <w:rPr>
                <w:rFonts w:ascii="Arial" w:hAnsi="Arial" w:cs="Arial"/>
                <w:sz w:val="20"/>
                <w:szCs w:val="20"/>
              </w:rPr>
              <w:t xml:space="preserve">Insert the adjective "legacy" to refer </w:t>
            </w:r>
            <w:proofErr w:type="gramStart"/>
            <w:r w:rsidRPr="002E3EF5">
              <w:rPr>
                <w:rFonts w:ascii="Arial" w:hAnsi="Arial" w:cs="Arial"/>
                <w:sz w:val="20"/>
                <w:szCs w:val="20"/>
              </w:rPr>
              <w:t>to  bicycle</w:t>
            </w:r>
            <w:proofErr w:type="gramEnd"/>
            <w:r w:rsidRPr="002E3EF5">
              <w:rPr>
                <w:rFonts w:ascii="Arial" w:hAnsi="Arial" w:cs="Arial"/>
                <w:sz w:val="20"/>
                <w:szCs w:val="20"/>
              </w:rPr>
              <w:t xml:space="preserve"> signal faces with circular indications, which would no longer be in compliance</w:t>
            </w:r>
          </w:p>
          <w:p w14:paraId="1C314BF7" w14:textId="231272D5" w:rsidR="002E3EF5" w:rsidRPr="002E3EF5" w:rsidRDefault="002E3EF5" w:rsidP="002E3EF5">
            <w:pPr>
              <w:pStyle w:val="ListParagraph"/>
              <w:numPr>
                <w:ilvl w:val="0"/>
                <w:numId w:val="2"/>
              </w:numPr>
              <w:rPr>
                <w:rFonts w:ascii="Arial" w:hAnsi="Arial" w:cs="Arial"/>
                <w:sz w:val="20"/>
                <w:szCs w:val="20"/>
              </w:rPr>
            </w:pPr>
            <w:r w:rsidRPr="002E3EF5">
              <w:rPr>
                <w:rFonts w:ascii="Arial" w:hAnsi="Arial" w:cs="Arial"/>
                <w:sz w:val="20"/>
                <w:szCs w:val="20"/>
              </w:rPr>
              <w:t>Revise the Standard in paragraph 5 to explicitly refer to the Option in paragraph 6 as an exception to the Standard</w:t>
            </w:r>
          </w:p>
          <w:p w14:paraId="2A3BFA67" w14:textId="15CC2C13" w:rsidR="002E3EF5" w:rsidRPr="002E3EF5" w:rsidRDefault="002E3EF5" w:rsidP="002E3EF5">
            <w:pPr>
              <w:pStyle w:val="ListParagraph"/>
              <w:numPr>
                <w:ilvl w:val="0"/>
                <w:numId w:val="2"/>
              </w:numPr>
              <w:rPr>
                <w:rFonts w:ascii="Arial" w:hAnsi="Arial" w:cs="Arial"/>
                <w:sz w:val="20"/>
                <w:szCs w:val="20"/>
              </w:rPr>
            </w:pPr>
            <w:r w:rsidRPr="002E3EF5">
              <w:rPr>
                <w:rFonts w:ascii="Arial" w:hAnsi="Arial" w:cs="Arial"/>
                <w:sz w:val="20"/>
                <w:szCs w:val="20"/>
              </w:rPr>
              <w:t>Add text to the Option statement in paragraph 6 to include an engineering study as an additional condition to justify a conflict between a bicyclist and a vehicular turning movement</w:t>
            </w:r>
          </w:p>
          <w:p w14:paraId="4F7C4F3C" w14:textId="54C38E72" w:rsidR="003960B3" w:rsidRPr="002E3EF5" w:rsidRDefault="002E3EF5" w:rsidP="002E3EF5">
            <w:pPr>
              <w:pStyle w:val="ListParagraph"/>
              <w:numPr>
                <w:ilvl w:val="0"/>
                <w:numId w:val="2"/>
              </w:numPr>
              <w:rPr>
                <w:rFonts w:ascii="Arial" w:hAnsi="Arial" w:cs="Arial"/>
                <w:sz w:val="20"/>
                <w:szCs w:val="20"/>
              </w:rPr>
            </w:pPr>
            <w:r w:rsidRPr="002E3EF5">
              <w:rPr>
                <w:rFonts w:ascii="Arial" w:hAnsi="Arial" w:cs="Arial"/>
                <w:sz w:val="20"/>
                <w:szCs w:val="20"/>
              </w:rPr>
              <w:t>Add a Support statement to identify factors to be considered in an engineering study</w:t>
            </w:r>
          </w:p>
        </w:tc>
      </w:tr>
      <w:tr w:rsidR="002E3EF5" w14:paraId="1CF3A083" w14:textId="77777777" w:rsidTr="00D83084">
        <w:trPr>
          <w:cantSplit/>
        </w:trPr>
        <w:tc>
          <w:tcPr>
            <w:tcW w:w="1170" w:type="dxa"/>
          </w:tcPr>
          <w:p w14:paraId="451DFB5D" w14:textId="28F0E924" w:rsidR="002E3EF5" w:rsidRPr="00A67B2B" w:rsidRDefault="002E3EF5" w:rsidP="002E3EF5">
            <w:pPr>
              <w:rPr>
                <w:rFonts w:ascii="Arial" w:hAnsi="Arial" w:cs="Arial"/>
                <w:sz w:val="20"/>
                <w:szCs w:val="20"/>
              </w:rPr>
            </w:pPr>
            <w:r>
              <w:rPr>
                <w:rFonts w:ascii="Arial" w:hAnsi="Arial" w:cs="Arial"/>
                <w:sz w:val="20"/>
                <w:szCs w:val="20"/>
              </w:rPr>
              <w:t>4H.02</w:t>
            </w:r>
          </w:p>
        </w:tc>
        <w:tc>
          <w:tcPr>
            <w:tcW w:w="1167" w:type="dxa"/>
          </w:tcPr>
          <w:p w14:paraId="2A40E897" w14:textId="3A955912" w:rsidR="002E3EF5" w:rsidRPr="00A67B2B" w:rsidRDefault="002E3EF5" w:rsidP="002E3EF5">
            <w:pPr>
              <w:jc w:val="center"/>
              <w:rPr>
                <w:rFonts w:ascii="Arial" w:hAnsi="Arial" w:cs="Arial"/>
                <w:sz w:val="20"/>
                <w:szCs w:val="20"/>
              </w:rPr>
            </w:pPr>
            <w:r>
              <w:rPr>
                <w:rFonts w:ascii="Arial" w:hAnsi="Arial" w:cs="Arial"/>
                <w:sz w:val="20"/>
                <w:szCs w:val="20"/>
              </w:rPr>
              <w:t>NO</w:t>
            </w:r>
          </w:p>
        </w:tc>
        <w:tc>
          <w:tcPr>
            <w:tcW w:w="1183" w:type="dxa"/>
          </w:tcPr>
          <w:p w14:paraId="1727BF7A" w14:textId="682210AA" w:rsidR="002E3EF5" w:rsidRPr="00A67B2B" w:rsidRDefault="002E3EF5" w:rsidP="002E3EF5">
            <w:pPr>
              <w:jc w:val="center"/>
              <w:rPr>
                <w:rFonts w:ascii="Arial" w:hAnsi="Arial" w:cs="Arial"/>
                <w:sz w:val="20"/>
                <w:szCs w:val="20"/>
              </w:rPr>
            </w:pPr>
            <w:r>
              <w:rPr>
                <w:rFonts w:ascii="Arial" w:hAnsi="Arial" w:cs="Arial"/>
                <w:sz w:val="20"/>
                <w:szCs w:val="20"/>
              </w:rPr>
              <w:t>YES</w:t>
            </w:r>
          </w:p>
        </w:tc>
        <w:tc>
          <w:tcPr>
            <w:tcW w:w="1017" w:type="dxa"/>
          </w:tcPr>
          <w:p w14:paraId="6AE95DE5" w14:textId="0687F5DA" w:rsidR="002E3EF5" w:rsidRPr="00A67B2B" w:rsidRDefault="002E3EF5" w:rsidP="002E3EF5">
            <w:pPr>
              <w:jc w:val="center"/>
              <w:rPr>
                <w:rFonts w:ascii="Arial" w:hAnsi="Arial" w:cs="Arial"/>
                <w:sz w:val="20"/>
                <w:szCs w:val="20"/>
              </w:rPr>
            </w:pPr>
            <w:r>
              <w:rPr>
                <w:rFonts w:ascii="Arial" w:hAnsi="Arial" w:cs="Arial"/>
                <w:sz w:val="20"/>
                <w:szCs w:val="20"/>
              </w:rPr>
              <w:t>N/A</w:t>
            </w:r>
          </w:p>
        </w:tc>
        <w:tc>
          <w:tcPr>
            <w:tcW w:w="6263" w:type="dxa"/>
          </w:tcPr>
          <w:p w14:paraId="15C40B56" w14:textId="5C155D63" w:rsidR="002E3EF5" w:rsidRPr="00A67B2B" w:rsidRDefault="003E3590" w:rsidP="002E3EF5">
            <w:pPr>
              <w:spacing w:line="259" w:lineRule="auto"/>
              <w:rPr>
                <w:rFonts w:ascii="Arial" w:hAnsi="Arial" w:cs="Arial"/>
                <w:sz w:val="20"/>
                <w:szCs w:val="20"/>
              </w:rPr>
            </w:pPr>
            <w:r w:rsidRPr="003E3590">
              <w:rPr>
                <w:rFonts w:ascii="Arial" w:hAnsi="Arial" w:cs="Arial"/>
                <w:sz w:val="20"/>
                <w:szCs w:val="20"/>
              </w:rPr>
              <w:t>NCUTCD recommends revising the first Standard to apply the prohibition to only conflicting bicycle movements, as there could be unique alignments or geometric conditions where bicycle movements would not be in conflict.</w:t>
            </w:r>
          </w:p>
        </w:tc>
      </w:tr>
      <w:tr w:rsidR="002E3EF5" w14:paraId="1E48C686" w14:textId="77777777" w:rsidTr="00D83084">
        <w:trPr>
          <w:cantSplit/>
        </w:trPr>
        <w:tc>
          <w:tcPr>
            <w:tcW w:w="1170" w:type="dxa"/>
          </w:tcPr>
          <w:p w14:paraId="0D863D76" w14:textId="7E3EDF65" w:rsidR="002E3EF5" w:rsidRPr="00A67B2B" w:rsidRDefault="002E3EF5" w:rsidP="002E3EF5">
            <w:pPr>
              <w:rPr>
                <w:rFonts w:ascii="Arial" w:hAnsi="Arial" w:cs="Arial"/>
                <w:sz w:val="20"/>
                <w:szCs w:val="20"/>
              </w:rPr>
            </w:pPr>
            <w:r>
              <w:rPr>
                <w:rFonts w:ascii="Arial" w:hAnsi="Arial" w:cs="Arial"/>
                <w:sz w:val="20"/>
                <w:szCs w:val="20"/>
              </w:rPr>
              <w:t>4H.03</w:t>
            </w:r>
          </w:p>
        </w:tc>
        <w:tc>
          <w:tcPr>
            <w:tcW w:w="1167" w:type="dxa"/>
          </w:tcPr>
          <w:p w14:paraId="71F0826C" w14:textId="04CBB3AA" w:rsidR="002E3EF5" w:rsidRPr="00A67B2B" w:rsidRDefault="002E3EF5" w:rsidP="002E3EF5">
            <w:pPr>
              <w:jc w:val="center"/>
              <w:rPr>
                <w:rFonts w:ascii="Arial" w:hAnsi="Arial" w:cs="Arial"/>
                <w:sz w:val="20"/>
                <w:szCs w:val="20"/>
              </w:rPr>
            </w:pPr>
            <w:r>
              <w:rPr>
                <w:rFonts w:ascii="Arial" w:hAnsi="Arial" w:cs="Arial"/>
                <w:sz w:val="20"/>
                <w:szCs w:val="20"/>
              </w:rPr>
              <w:t>NO</w:t>
            </w:r>
          </w:p>
        </w:tc>
        <w:tc>
          <w:tcPr>
            <w:tcW w:w="1183" w:type="dxa"/>
          </w:tcPr>
          <w:p w14:paraId="32C87008" w14:textId="59875323" w:rsidR="002E3EF5" w:rsidRPr="00A67B2B" w:rsidRDefault="002E3EF5" w:rsidP="002E3EF5">
            <w:pPr>
              <w:jc w:val="center"/>
              <w:rPr>
                <w:rFonts w:ascii="Arial" w:hAnsi="Arial" w:cs="Arial"/>
                <w:sz w:val="20"/>
                <w:szCs w:val="20"/>
              </w:rPr>
            </w:pPr>
            <w:r>
              <w:rPr>
                <w:rFonts w:ascii="Arial" w:hAnsi="Arial" w:cs="Arial"/>
                <w:sz w:val="20"/>
                <w:szCs w:val="20"/>
              </w:rPr>
              <w:t>YES</w:t>
            </w:r>
          </w:p>
        </w:tc>
        <w:tc>
          <w:tcPr>
            <w:tcW w:w="1017" w:type="dxa"/>
          </w:tcPr>
          <w:p w14:paraId="4E7EB40E" w14:textId="418F7377" w:rsidR="002E3EF5" w:rsidRPr="00A67B2B" w:rsidRDefault="002E3EF5" w:rsidP="002E3EF5">
            <w:pPr>
              <w:jc w:val="center"/>
              <w:rPr>
                <w:rFonts w:ascii="Arial" w:hAnsi="Arial" w:cs="Arial"/>
                <w:sz w:val="20"/>
                <w:szCs w:val="20"/>
              </w:rPr>
            </w:pPr>
            <w:r>
              <w:rPr>
                <w:rFonts w:ascii="Arial" w:hAnsi="Arial" w:cs="Arial"/>
                <w:sz w:val="20"/>
                <w:szCs w:val="20"/>
              </w:rPr>
              <w:t>N/A</w:t>
            </w:r>
          </w:p>
        </w:tc>
        <w:tc>
          <w:tcPr>
            <w:tcW w:w="6263" w:type="dxa"/>
          </w:tcPr>
          <w:p w14:paraId="6DCE4C0F" w14:textId="5ECED035" w:rsidR="002E3EF5" w:rsidRPr="00A67B2B" w:rsidRDefault="003E3590" w:rsidP="002E3EF5">
            <w:pPr>
              <w:spacing w:line="259" w:lineRule="auto"/>
              <w:rPr>
                <w:rFonts w:ascii="Arial" w:hAnsi="Arial" w:cs="Arial"/>
                <w:sz w:val="20"/>
                <w:szCs w:val="20"/>
              </w:rPr>
            </w:pPr>
            <w:r w:rsidRPr="003E3590">
              <w:rPr>
                <w:rFonts w:ascii="Arial" w:hAnsi="Arial" w:cs="Arial"/>
                <w:sz w:val="20"/>
                <w:szCs w:val="20"/>
              </w:rPr>
              <w:t>NCUTCD recommends deleting the Standard statement and adding a new Support statement referring to warrants for bicycle signal faces.</w:t>
            </w:r>
          </w:p>
        </w:tc>
      </w:tr>
      <w:tr w:rsidR="002E3EF5" w14:paraId="59D7ACE5" w14:textId="77777777" w:rsidTr="00D83084">
        <w:trPr>
          <w:cantSplit/>
        </w:trPr>
        <w:tc>
          <w:tcPr>
            <w:tcW w:w="1170" w:type="dxa"/>
          </w:tcPr>
          <w:p w14:paraId="38B5C2E8" w14:textId="094BD85B" w:rsidR="002E3EF5" w:rsidRPr="00A67B2B" w:rsidRDefault="002E3EF5" w:rsidP="002E3EF5">
            <w:pPr>
              <w:rPr>
                <w:rFonts w:ascii="Arial" w:hAnsi="Arial" w:cs="Arial"/>
                <w:sz w:val="20"/>
                <w:szCs w:val="20"/>
              </w:rPr>
            </w:pPr>
            <w:r>
              <w:rPr>
                <w:rFonts w:ascii="Arial" w:hAnsi="Arial" w:cs="Arial"/>
                <w:sz w:val="20"/>
                <w:szCs w:val="20"/>
              </w:rPr>
              <w:lastRenderedPageBreak/>
              <w:t>4H.04</w:t>
            </w:r>
          </w:p>
        </w:tc>
        <w:tc>
          <w:tcPr>
            <w:tcW w:w="1167" w:type="dxa"/>
          </w:tcPr>
          <w:p w14:paraId="3002FEF2" w14:textId="744D24D3" w:rsidR="002E3EF5" w:rsidRPr="00A67B2B" w:rsidRDefault="002E3EF5" w:rsidP="002E3EF5">
            <w:pPr>
              <w:jc w:val="center"/>
              <w:rPr>
                <w:rFonts w:ascii="Arial" w:hAnsi="Arial" w:cs="Arial"/>
                <w:sz w:val="20"/>
                <w:szCs w:val="20"/>
              </w:rPr>
            </w:pPr>
            <w:r>
              <w:rPr>
                <w:rFonts w:ascii="Arial" w:hAnsi="Arial" w:cs="Arial"/>
                <w:sz w:val="20"/>
                <w:szCs w:val="20"/>
              </w:rPr>
              <w:t>NO</w:t>
            </w:r>
          </w:p>
        </w:tc>
        <w:tc>
          <w:tcPr>
            <w:tcW w:w="1183" w:type="dxa"/>
          </w:tcPr>
          <w:p w14:paraId="7DFB5A62" w14:textId="3786C98E" w:rsidR="002E3EF5" w:rsidRPr="00A67B2B" w:rsidRDefault="002E3EF5" w:rsidP="002E3EF5">
            <w:pPr>
              <w:jc w:val="center"/>
              <w:rPr>
                <w:rFonts w:ascii="Arial" w:hAnsi="Arial" w:cs="Arial"/>
                <w:sz w:val="20"/>
                <w:szCs w:val="20"/>
              </w:rPr>
            </w:pPr>
            <w:r>
              <w:rPr>
                <w:rFonts w:ascii="Arial" w:hAnsi="Arial" w:cs="Arial"/>
                <w:sz w:val="20"/>
                <w:szCs w:val="20"/>
              </w:rPr>
              <w:t>YES</w:t>
            </w:r>
          </w:p>
        </w:tc>
        <w:tc>
          <w:tcPr>
            <w:tcW w:w="1017" w:type="dxa"/>
          </w:tcPr>
          <w:p w14:paraId="2EC764F4" w14:textId="16D63579" w:rsidR="002E3EF5" w:rsidRPr="00A67B2B" w:rsidRDefault="002E3EF5" w:rsidP="002E3EF5">
            <w:pPr>
              <w:jc w:val="center"/>
              <w:rPr>
                <w:rFonts w:ascii="Arial" w:hAnsi="Arial" w:cs="Arial"/>
                <w:sz w:val="20"/>
                <w:szCs w:val="20"/>
              </w:rPr>
            </w:pPr>
            <w:r>
              <w:rPr>
                <w:rFonts w:ascii="Arial" w:hAnsi="Arial" w:cs="Arial"/>
                <w:sz w:val="20"/>
                <w:szCs w:val="20"/>
              </w:rPr>
              <w:t>N/A</w:t>
            </w:r>
          </w:p>
        </w:tc>
        <w:tc>
          <w:tcPr>
            <w:tcW w:w="6263" w:type="dxa"/>
          </w:tcPr>
          <w:p w14:paraId="2A97D5D5" w14:textId="77777777" w:rsidR="00D83084" w:rsidRPr="00D83084" w:rsidRDefault="00D83084" w:rsidP="00D83084">
            <w:pPr>
              <w:rPr>
                <w:rFonts w:ascii="Arial" w:hAnsi="Arial" w:cs="Arial"/>
                <w:sz w:val="20"/>
                <w:szCs w:val="20"/>
              </w:rPr>
            </w:pPr>
            <w:r w:rsidRPr="00D83084">
              <w:rPr>
                <w:rFonts w:ascii="Arial" w:hAnsi="Arial" w:cs="Arial"/>
                <w:sz w:val="20"/>
                <w:szCs w:val="20"/>
              </w:rPr>
              <w:t>NCUTCD recommends revising 4H.04 as follows:</w:t>
            </w:r>
          </w:p>
          <w:p w14:paraId="1DF311C4" w14:textId="79B15EAD" w:rsidR="00D83084" w:rsidRPr="00D83084" w:rsidRDefault="00D83084" w:rsidP="00D83084">
            <w:pPr>
              <w:pStyle w:val="ListParagraph"/>
              <w:numPr>
                <w:ilvl w:val="0"/>
                <w:numId w:val="3"/>
              </w:numPr>
              <w:rPr>
                <w:rFonts w:ascii="Arial" w:hAnsi="Arial" w:cs="Arial"/>
                <w:sz w:val="20"/>
                <w:szCs w:val="20"/>
              </w:rPr>
            </w:pPr>
            <w:r w:rsidRPr="00D83084">
              <w:rPr>
                <w:rFonts w:ascii="Arial" w:hAnsi="Arial" w:cs="Arial"/>
                <w:sz w:val="20"/>
                <w:szCs w:val="20"/>
              </w:rPr>
              <w:t>Add a reference to a new R10-41c bicycle signal sign (see NCUTCD docket comment on Chapter 9B)</w:t>
            </w:r>
          </w:p>
          <w:p w14:paraId="10FD4753" w14:textId="461A2F2C" w:rsidR="00D83084" w:rsidRPr="00D83084" w:rsidRDefault="00D83084" w:rsidP="00D83084">
            <w:pPr>
              <w:pStyle w:val="ListParagraph"/>
              <w:numPr>
                <w:ilvl w:val="0"/>
                <w:numId w:val="3"/>
              </w:numPr>
              <w:rPr>
                <w:rFonts w:ascii="Arial" w:hAnsi="Arial" w:cs="Arial"/>
                <w:sz w:val="20"/>
                <w:szCs w:val="20"/>
              </w:rPr>
            </w:pPr>
            <w:r w:rsidRPr="00D83084">
              <w:rPr>
                <w:rFonts w:ascii="Arial" w:hAnsi="Arial" w:cs="Arial"/>
                <w:sz w:val="20"/>
                <w:szCs w:val="20"/>
              </w:rPr>
              <w:t>Revise the Standard statement on the use of Bicycle Signal signs to Option and add sign references</w:t>
            </w:r>
          </w:p>
          <w:p w14:paraId="5FA5FAB1" w14:textId="7590924F" w:rsidR="00D83084" w:rsidRPr="00D83084" w:rsidRDefault="00D83084" w:rsidP="00D83084">
            <w:pPr>
              <w:pStyle w:val="ListParagraph"/>
              <w:numPr>
                <w:ilvl w:val="0"/>
                <w:numId w:val="3"/>
              </w:numPr>
              <w:rPr>
                <w:rFonts w:ascii="Arial" w:hAnsi="Arial" w:cs="Arial"/>
                <w:sz w:val="20"/>
                <w:szCs w:val="20"/>
              </w:rPr>
            </w:pPr>
            <w:r w:rsidRPr="00D83084">
              <w:rPr>
                <w:rFonts w:ascii="Arial" w:hAnsi="Arial" w:cs="Arial"/>
                <w:sz w:val="20"/>
                <w:szCs w:val="20"/>
              </w:rPr>
              <w:t>Retain the R10-10b sign from Interim Approval 16, but renumber it as R10-42 since R10-10b is used for a different sign in the NPA</w:t>
            </w:r>
          </w:p>
          <w:p w14:paraId="3278A827" w14:textId="4649CD0C" w:rsidR="002E3EF5" w:rsidRPr="00D83084" w:rsidRDefault="00D83084" w:rsidP="00D83084">
            <w:pPr>
              <w:pStyle w:val="ListParagraph"/>
              <w:numPr>
                <w:ilvl w:val="0"/>
                <w:numId w:val="3"/>
              </w:numPr>
              <w:rPr>
                <w:rFonts w:ascii="Arial" w:hAnsi="Arial" w:cs="Arial"/>
                <w:sz w:val="20"/>
                <w:szCs w:val="20"/>
              </w:rPr>
            </w:pPr>
            <w:r w:rsidRPr="00D83084">
              <w:rPr>
                <w:rFonts w:ascii="Arial" w:hAnsi="Arial" w:cs="Arial"/>
                <w:sz w:val="20"/>
                <w:szCs w:val="20"/>
              </w:rPr>
              <w:t xml:space="preserve">Delete text on Bicycle Signal sign sizes, as this is addressed in Chapter 9B </w:t>
            </w:r>
            <w:r w:rsidRPr="00D83084">
              <w:rPr>
                <w:rFonts w:ascii="Arial" w:hAnsi="Arial" w:cs="Arial"/>
                <w:sz w:val="20"/>
                <w:szCs w:val="20"/>
              </w:rPr>
              <w:t>(</w:t>
            </w:r>
            <w:r w:rsidRPr="00D83084">
              <w:rPr>
                <w:rFonts w:ascii="Arial" w:hAnsi="Arial" w:cs="Arial"/>
                <w:sz w:val="20"/>
                <w:szCs w:val="20"/>
              </w:rPr>
              <w:t>see NCUTCD comments on Chapter 9B</w:t>
            </w:r>
            <w:r w:rsidRPr="00D83084">
              <w:rPr>
                <w:rFonts w:ascii="Arial" w:hAnsi="Arial" w:cs="Arial"/>
                <w:sz w:val="20"/>
                <w:szCs w:val="20"/>
              </w:rPr>
              <w:t>)</w:t>
            </w:r>
          </w:p>
        </w:tc>
      </w:tr>
      <w:tr w:rsidR="002E3EF5" w14:paraId="28C4651F" w14:textId="77777777" w:rsidTr="00D83084">
        <w:trPr>
          <w:cantSplit/>
        </w:trPr>
        <w:tc>
          <w:tcPr>
            <w:tcW w:w="1170" w:type="dxa"/>
          </w:tcPr>
          <w:p w14:paraId="50E07769" w14:textId="5291ABE0" w:rsidR="002E3EF5" w:rsidRPr="00A67B2B" w:rsidRDefault="002E3EF5" w:rsidP="002E3EF5">
            <w:pPr>
              <w:rPr>
                <w:rFonts w:ascii="Arial" w:hAnsi="Arial" w:cs="Arial"/>
                <w:sz w:val="20"/>
                <w:szCs w:val="20"/>
              </w:rPr>
            </w:pPr>
            <w:r>
              <w:rPr>
                <w:rFonts w:ascii="Arial" w:hAnsi="Arial" w:cs="Arial"/>
                <w:sz w:val="20"/>
                <w:szCs w:val="20"/>
              </w:rPr>
              <w:t>4H.05</w:t>
            </w:r>
          </w:p>
        </w:tc>
        <w:tc>
          <w:tcPr>
            <w:tcW w:w="1167" w:type="dxa"/>
          </w:tcPr>
          <w:p w14:paraId="4E51D807" w14:textId="4BAAC57E" w:rsidR="002E3EF5" w:rsidRPr="00A67B2B" w:rsidRDefault="002E3EF5" w:rsidP="002E3EF5">
            <w:pPr>
              <w:jc w:val="center"/>
              <w:rPr>
                <w:rFonts w:ascii="Arial" w:hAnsi="Arial" w:cs="Arial"/>
                <w:sz w:val="20"/>
                <w:szCs w:val="20"/>
              </w:rPr>
            </w:pPr>
            <w:r>
              <w:rPr>
                <w:rFonts w:ascii="Arial" w:hAnsi="Arial" w:cs="Arial"/>
                <w:sz w:val="20"/>
                <w:szCs w:val="20"/>
              </w:rPr>
              <w:t>NO</w:t>
            </w:r>
          </w:p>
        </w:tc>
        <w:tc>
          <w:tcPr>
            <w:tcW w:w="1183" w:type="dxa"/>
          </w:tcPr>
          <w:p w14:paraId="34D95910" w14:textId="2659ED86" w:rsidR="002E3EF5" w:rsidRPr="00A67B2B" w:rsidRDefault="002E3EF5" w:rsidP="002E3EF5">
            <w:pPr>
              <w:jc w:val="center"/>
              <w:rPr>
                <w:rFonts w:ascii="Arial" w:hAnsi="Arial" w:cs="Arial"/>
                <w:sz w:val="20"/>
                <w:szCs w:val="20"/>
              </w:rPr>
            </w:pPr>
            <w:r>
              <w:rPr>
                <w:rFonts w:ascii="Arial" w:hAnsi="Arial" w:cs="Arial"/>
                <w:sz w:val="20"/>
                <w:szCs w:val="20"/>
              </w:rPr>
              <w:t>YES</w:t>
            </w:r>
          </w:p>
        </w:tc>
        <w:tc>
          <w:tcPr>
            <w:tcW w:w="1017" w:type="dxa"/>
          </w:tcPr>
          <w:p w14:paraId="113A9075" w14:textId="29C92FFA" w:rsidR="002E3EF5" w:rsidRPr="00A67B2B" w:rsidRDefault="002E3EF5" w:rsidP="002E3EF5">
            <w:pPr>
              <w:jc w:val="center"/>
              <w:rPr>
                <w:rFonts w:ascii="Arial" w:hAnsi="Arial" w:cs="Arial"/>
                <w:sz w:val="20"/>
                <w:szCs w:val="20"/>
              </w:rPr>
            </w:pPr>
            <w:r>
              <w:rPr>
                <w:rFonts w:ascii="Arial" w:hAnsi="Arial" w:cs="Arial"/>
                <w:sz w:val="20"/>
                <w:szCs w:val="20"/>
              </w:rPr>
              <w:t>N/A</w:t>
            </w:r>
          </w:p>
        </w:tc>
        <w:tc>
          <w:tcPr>
            <w:tcW w:w="6263" w:type="dxa"/>
          </w:tcPr>
          <w:p w14:paraId="6FE0B71E" w14:textId="77777777" w:rsidR="000B0C79" w:rsidRPr="000B0C79" w:rsidRDefault="000B0C79" w:rsidP="000B0C79">
            <w:pPr>
              <w:pStyle w:val="ListParagraph"/>
              <w:numPr>
                <w:ilvl w:val="0"/>
                <w:numId w:val="4"/>
              </w:numPr>
              <w:rPr>
                <w:rFonts w:ascii="Arial" w:hAnsi="Arial" w:cs="Arial"/>
                <w:sz w:val="20"/>
                <w:szCs w:val="20"/>
              </w:rPr>
            </w:pPr>
            <w:r w:rsidRPr="000B0C79">
              <w:rPr>
                <w:rFonts w:ascii="Arial" w:hAnsi="Arial" w:cs="Arial"/>
                <w:sz w:val="20"/>
                <w:szCs w:val="20"/>
              </w:rPr>
              <w:t>NCUTCD recommends revising 4H.05 as follows:</w:t>
            </w:r>
          </w:p>
          <w:p w14:paraId="1ADDF9BB" w14:textId="6F64B0DF" w:rsidR="000B0C79" w:rsidRPr="000B0C79" w:rsidRDefault="000B0C79" w:rsidP="000B0C79">
            <w:pPr>
              <w:pStyle w:val="ListParagraph"/>
              <w:numPr>
                <w:ilvl w:val="0"/>
                <w:numId w:val="4"/>
              </w:numPr>
              <w:rPr>
                <w:rFonts w:ascii="Arial" w:hAnsi="Arial" w:cs="Arial"/>
                <w:sz w:val="20"/>
                <w:szCs w:val="20"/>
              </w:rPr>
            </w:pPr>
            <w:r w:rsidRPr="000B0C79">
              <w:rPr>
                <w:rFonts w:ascii="Arial" w:hAnsi="Arial" w:cs="Arial"/>
                <w:sz w:val="20"/>
                <w:szCs w:val="20"/>
              </w:rPr>
              <w:t>Add text to Standard items A &amp; C to indicate that bicycle signal indications apply specifically to bicycles in a bicycle lane or from a separate facility, such as a shared use path</w:t>
            </w:r>
          </w:p>
          <w:p w14:paraId="50C229EA" w14:textId="04E25F7D" w:rsidR="000B0C79" w:rsidRPr="000B0C79" w:rsidRDefault="000B0C79" w:rsidP="000B0C79">
            <w:pPr>
              <w:pStyle w:val="ListParagraph"/>
              <w:numPr>
                <w:ilvl w:val="0"/>
                <w:numId w:val="4"/>
              </w:numPr>
              <w:rPr>
                <w:rFonts w:ascii="Arial" w:hAnsi="Arial" w:cs="Arial"/>
                <w:sz w:val="20"/>
                <w:szCs w:val="20"/>
              </w:rPr>
            </w:pPr>
            <w:r w:rsidRPr="000B0C79">
              <w:rPr>
                <w:rFonts w:ascii="Arial" w:hAnsi="Arial" w:cs="Arial"/>
                <w:sz w:val="20"/>
                <w:szCs w:val="20"/>
              </w:rPr>
              <w:t xml:space="preserve">Add a reference to Section 4A.05 in Standard item C and delete incorrect sign codes </w:t>
            </w:r>
          </w:p>
          <w:p w14:paraId="0EC4A396" w14:textId="7B75F747" w:rsidR="002E3EF5" w:rsidRPr="000B0C79" w:rsidRDefault="000B0C79" w:rsidP="000B0C79">
            <w:pPr>
              <w:pStyle w:val="ListParagraph"/>
              <w:numPr>
                <w:ilvl w:val="0"/>
                <w:numId w:val="4"/>
              </w:numPr>
              <w:rPr>
                <w:rFonts w:ascii="Arial" w:hAnsi="Arial" w:cs="Arial"/>
                <w:sz w:val="20"/>
                <w:szCs w:val="20"/>
              </w:rPr>
            </w:pPr>
            <w:r w:rsidRPr="000B0C79">
              <w:rPr>
                <w:rFonts w:ascii="Arial" w:hAnsi="Arial" w:cs="Arial"/>
                <w:sz w:val="20"/>
                <w:szCs w:val="20"/>
              </w:rPr>
              <w:t>Add an Option statement to address the use of a flashing YELLOW BICYCLE signal indication</w:t>
            </w:r>
          </w:p>
        </w:tc>
      </w:tr>
      <w:tr w:rsidR="002E3EF5" w14:paraId="6A4C35FB" w14:textId="77777777" w:rsidTr="00D83084">
        <w:trPr>
          <w:cantSplit/>
        </w:trPr>
        <w:tc>
          <w:tcPr>
            <w:tcW w:w="1170" w:type="dxa"/>
          </w:tcPr>
          <w:p w14:paraId="440EC4A5" w14:textId="56047409" w:rsidR="002E3EF5" w:rsidRPr="00A67B2B" w:rsidRDefault="002E3EF5" w:rsidP="002E3EF5">
            <w:pPr>
              <w:rPr>
                <w:rFonts w:ascii="Arial" w:hAnsi="Arial" w:cs="Arial"/>
                <w:sz w:val="20"/>
                <w:szCs w:val="20"/>
              </w:rPr>
            </w:pPr>
            <w:r>
              <w:rPr>
                <w:rFonts w:ascii="Arial" w:hAnsi="Arial" w:cs="Arial"/>
                <w:sz w:val="20"/>
                <w:szCs w:val="20"/>
              </w:rPr>
              <w:t>4H.06</w:t>
            </w:r>
          </w:p>
        </w:tc>
        <w:tc>
          <w:tcPr>
            <w:tcW w:w="1167" w:type="dxa"/>
          </w:tcPr>
          <w:p w14:paraId="059AC17E" w14:textId="54C1A64F" w:rsidR="002E3EF5" w:rsidRPr="00A67B2B" w:rsidRDefault="002E3EF5" w:rsidP="002E3EF5">
            <w:pPr>
              <w:jc w:val="center"/>
              <w:rPr>
                <w:rFonts w:ascii="Arial" w:hAnsi="Arial" w:cs="Arial"/>
                <w:sz w:val="20"/>
                <w:szCs w:val="20"/>
              </w:rPr>
            </w:pPr>
            <w:r>
              <w:rPr>
                <w:rFonts w:ascii="Arial" w:hAnsi="Arial" w:cs="Arial"/>
                <w:sz w:val="20"/>
                <w:szCs w:val="20"/>
              </w:rPr>
              <w:t>NO</w:t>
            </w:r>
          </w:p>
        </w:tc>
        <w:tc>
          <w:tcPr>
            <w:tcW w:w="1183" w:type="dxa"/>
          </w:tcPr>
          <w:p w14:paraId="1CFDA032" w14:textId="7A9388A6" w:rsidR="002E3EF5" w:rsidRPr="00A67B2B" w:rsidRDefault="002E3EF5" w:rsidP="002E3EF5">
            <w:pPr>
              <w:jc w:val="center"/>
              <w:rPr>
                <w:rFonts w:ascii="Arial" w:hAnsi="Arial" w:cs="Arial"/>
                <w:sz w:val="20"/>
                <w:szCs w:val="20"/>
              </w:rPr>
            </w:pPr>
            <w:r>
              <w:rPr>
                <w:rFonts w:ascii="Arial" w:hAnsi="Arial" w:cs="Arial"/>
                <w:sz w:val="20"/>
                <w:szCs w:val="20"/>
              </w:rPr>
              <w:t>YES</w:t>
            </w:r>
          </w:p>
        </w:tc>
        <w:tc>
          <w:tcPr>
            <w:tcW w:w="1017" w:type="dxa"/>
          </w:tcPr>
          <w:p w14:paraId="48F75217" w14:textId="34A61FE9" w:rsidR="002E3EF5" w:rsidRPr="00A67B2B" w:rsidRDefault="002E3EF5" w:rsidP="002E3EF5">
            <w:pPr>
              <w:jc w:val="center"/>
              <w:rPr>
                <w:rFonts w:ascii="Arial" w:hAnsi="Arial" w:cs="Arial"/>
                <w:sz w:val="20"/>
                <w:szCs w:val="20"/>
              </w:rPr>
            </w:pPr>
            <w:r>
              <w:rPr>
                <w:rFonts w:ascii="Arial" w:hAnsi="Arial" w:cs="Arial"/>
                <w:sz w:val="20"/>
                <w:szCs w:val="20"/>
              </w:rPr>
              <w:t>N/A</w:t>
            </w:r>
          </w:p>
        </w:tc>
        <w:tc>
          <w:tcPr>
            <w:tcW w:w="6263" w:type="dxa"/>
          </w:tcPr>
          <w:p w14:paraId="53151179" w14:textId="785D1274" w:rsidR="002E3EF5" w:rsidRPr="00A67B2B" w:rsidRDefault="000B0C79" w:rsidP="002E3EF5">
            <w:pPr>
              <w:rPr>
                <w:rFonts w:ascii="Arial" w:hAnsi="Arial" w:cs="Arial"/>
                <w:sz w:val="20"/>
                <w:szCs w:val="20"/>
              </w:rPr>
            </w:pPr>
            <w:r w:rsidRPr="000B0C79">
              <w:rPr>
                <w:rFonts w:ascii="Arial" w:hAnsi="Arial" w:cs="Arial"/>
                <w:sz w:val="20"/>
                <w:szCs w:val="20"/>
              </w:rPr>
              <w:t>NCUTCD recommends deleting the Option statement in 4H.06, since the flashing YELLOW BICYCLE indication referenced in that Option is used under steady (stop-and-go) rather than flashing operation and is addressed in Section 4H.05.</w:t>
            </w:r>
          </w:p>
        </w:tc>
      </w:tr>
      <w:tr w:rsidR="002E3EF5" w14:paraId="441F5ED9" w14:textId="3F7BEEC2" w:rsidTr="00D83084">
        <w:trPr>
          <w:cantSplit/>
        </w:trPr>
        <w:tc>
          <w:tcPr>
            <w:tcW w:w="1170" w:type="dxa"/>
          </w:tcPr>
          <w:p w14:paraId="467546D0" w14:textId="6C2AA51B" w:rsidR="002E3EF5" w:rsidRPr="00A67B2B" w:rsidRDefault="002E3EF5" w:rsidP="002E3EF5">
            <w:pPr>
              <w:spacing w:line="259" w:lineRule="auto"/>
              <w:rPr>
                <w:rFonts w:ascii="Arial" w:hAnsi="Arial" w:cs="Arial"/>
                <w:sz w:val="20"/>
                <w:szCs w:val="20"/>
              </w:rPr>
            </w:pPr>
            <w:r>
              <w:rPr>
                <w:rFonts w:ascii="Arial" w:hAnsi="Arial" w:cs="Arial"/>
                <w:sz w:val="20"/>
                <w:szCs w:val="20"/>
              </w:rPr>
              <w:t>4H.07</w:t>
            </w:r>
          </w:p>
        </w:tc>
        <w:tc>
          <w:tcPr>
            <w:tcW w:w="1167" w:type="dxa"/>
          </w:tcPr>
          <w:p w14:paraId="1C2A64F1" w14:textId="71EF243A" w:rsidR="002E3EF5" w:rsidRPr="00A67B2B" w:rsidRDefault="002E3EF5" w:rsidP="002E3EF5">
            <w:pPr>
              <w:spacing w:line="259" w:lineRule="auto"/>
              <w:jc w:val="center"/>
              <w:rPr>
                <w:rFonts w:ascii="Arial" w:hAnsi="Arial" w:cs="Arial"/>
                <w:sz w:val="20"/>
                <w:szCs w:val="20"/>
              </w:rPr>
            </w:pPr>
            <w:r>
              <w:rPr>
                <w:rFonts w:ascii="Arial" w:hAnsi="Arial" w:cs="Arial"/>
                <w:sz w:val="20"/>
                <w:szCs w:val="20"/>
              </w:rPr>
              <w:t>NO</w:t>
            </w:r>
          </w:p>
        </w:tc>
        <w:tc>
          <w:tcPr>
            <w:tcW w:w="1183" w:type="dxa"/>
          </w:tcPr>
          <w:p w14:paraId="216F410D" w14:textId="07EF27AE" w:rsidR="002E3EF5" w:rsidRPr="00A67B2B" w:rsidRDefault="002E3EF5" w:rsidP="002E3EF5">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1F81E3F8" w:rsidR="002E3EF5" w:rsidRPr="00A67B2B" w:rsidRDefault="002E3EF5" w:rsidP="002E3EF5">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2B9D255B" w:rsidR="002E3EF5" w:rsidRPr="00A67B2B" w:rsidRDefault="000B0C79" w:rsidP="002E3EF5">
            <w:pPr>
              <w:rPr>
                <w:rFonts w:ascii="Arial" w:hAnsi="Arial" w:cs="Arial"/>
                <w:sz w:val="20"/>
                <w:szCs w:val="20"/>
              </w:rPr>
            </w:pPr>
            <w:r w:rsidRPr="000B0C79">
              <w:rPr>
                <w:rFonts w:ascii="Arial" w:hAnsi="Arial" w:cs="Arial"/>
                <w:sz w:val="20"/>
                <w:szCs w:val="20"/>
              </w:rPr>
              <w:t xml:space="preserve">NCUTCD recommends adding Option </w:t>
            </w:r>
            <w:r w:rsidR="00FD79B1">
              <w:rPr>
                <w:rFonts w:ascii="Arial" w:hAnsi="Arial" w:cs="Arial"/>
                <w:sz w:val="20"/>
                <w:szCs w:val="20"/>
              </w:rPr>
              <w:t>text</w:t>
            </w:r>
            <w:r w:rsidRPr="000B0C79">
              <w:rPr>
                <w:rFonts w:ascii="Arial" w:hAnsi="Arial" w:cs="Arial"/>
                <w:sz w:val="20"/>
                <w:szCs w:val="20"/>
              </w:rPr>
              <w:t xml:space="preserve"> to 4H.07 to allow a left-turn or right-turn GREEN ARROW in a bicycle signal face to indicate a protected left-turn or right-turn bicycle movement and adding a Standard statement regarding specific conditions for use of a left-turn or right-turn GREEN ARROW to control a protected bicycle movement.</w:t>
            </w:r>
          </w:p>
        </w:tc>
      </w:tr>
      <w:tr w:rsidR="002E3EF5" w14:paraId="67626A62" w14:textId="77777777" w:rsidTr="00D83084">
        <w:trPr>
          <w:cantSplit/>
        </w:trPr>
        <w:tc>
          <w:tcPr>
            <w:tcW w:w="1170" w:type="dxa"/>
          </w:tcPr>
          <w:p w14:paraId="251F1A65" w14:textId="2987F300" w:rsidR="002E3EF5" w:rsidRDefault="002E3EF5" w:rsidP="002E3EF5">
            <w:pPr>
              <w:rPr>
                <w:rFonts w:ascii="Arial" w:hAnsi="Arial" w:cs="Arial"/>
                <w:sz w:val="20"/>
                <w:szCs w:val="20"/>
              </w:rPr>
            </w:pPr>
            <w:r>
              <w:rPr>
                <w:rFonts w:ascii="Arial" w:hAnsi="Arial" w:cs="Arial"/>
                <w:sz w:val="20"/>
                <w:szCs w:val="20"/>
              </w:rPr>
              <w:t>Figure 4H-1</w:t>
            </w:r>
          </w:p>
        </w:tc>
        <w:tc>
          <w:tcPr>
            <w:tcW w:w="1167" w:type="dxa"/>
          </w:tcPr>
          <w:p w14:paraId="354448B1" w14:textId="4F5B7701" w:rsidR="002E3EF5" w:rsidRDefault="002E3EF5" w:rsidP="002E3EF5">
            <w:pPr>
              <w:jc w:val="center"/>
              <w:rPr>
                <w:rFonts w:ascii="Arial" w:hAnsi="Arial" w:cs="Arial"/>
                <w:sz w:val="20"/>
                <w:szCs w:val="20"/>
              </w:rPr>
            </w:pPr>
            <w:r>
              <w:rPr>
                <w:rFonts w:ascii="Arial" w:hAnsi="Arial" w:cs="Arial"/>
                <w:sz w:val="20"/>
                <w:szCs w:val="20"/>
              </w:rPr>
              <w:t>NO</w:t>
            </w:r>
          </w:p>
        </w:tc>
        <w:tc>
          <w:tcPr>
            <w:tcW w:w="1183" w:type="dxa"/>
          </w:tcPr>
          <w:p w14:paraId="17A58A64" w14:textId="7990618B" w:rsidR="002E3EF5" w:rsidRDefault="002E3EF5" w:rsidP="002E3EF5">
            <w:pPr>
              <w:jc w:val="center"/>
              <w:rPr>
                <w:rFonts w:ascii="Arial" w:hAnsi="Arial" w:cs="Arial"/>
                <w:sz w:val="20"/>
                <w:szCs w:val="20"/>
              </w:rPr>
            </w:pPr>
            <w:r>
              <w:rPr>
                <w:rFonts w:ascii="Arial" w:hAnsi="Arial" w:cs="Arial"/>
                <w:sz w:val="20"/>
                <w:szCs w:val="20"/>
              </w:rPr>
              <w:t>YES</w:t>
            </w:r>
          </w:p>
        </w:tc>
        <w:tc>
          <w:tcPr>
            <w:tcW w:w="1017" w:type="dxa"/>
          </w:tcPr>
          <w:p w14:paraId="44BADADF" w14:textId="6652D825" w:rsidR="002E3EF5" w:rsidRDefault="002E3EF5" w:rsidP="002E3EF5">
            <w:pPr>
              <w:jc w:val="center"/>
              <w:rPr>
                <w:rFonts w:ascii="Arial" w:hAnsi="Arial" w:cs="Arial"/>
                <w:sz w:val="20"/>
                <w:szCs w:val="20"/>
              </w:rPr>
            </w:pPr>
            <w:r>
              <w:rPr>
                <w:rFonts w:ascii="Arial" w:hAnsi="Arial" w:cs="Arial"/>
                <w:sz w:val="20"/>
                <w:szCs w:val="20"/>
              </w:rPr>
              <w:t>N/A</w:t>
            </w:r>
          </w:p>
        </w:tc>
        <w:tc>
          <w:tcPr>
            <w:tcW w:w="6263" w:type="dxa"/>
          </w:tcPr>
          <w:p w14:paraId="4F6B6DDC" w14:textId="4A158024" w:rsidR="002E3EF5" w:rsidRPr="00BE6E30" w:rsidRDefault="000B0C79" w:rsidP="002E3EF5">
            <w:pPr>
              <w:rPr>
                <w:rFonts w:ascii="Arial" w:hAnsi="Arial" w:cs="Arial"/>
                <w:sz w:val="20"/>
                <w:szCs w:val="20"/>
              </w:rPr>
            </w:pPr>
            <w:r w:rsidRPr="000B0C79">
              <w:rPr>
                <w:rFonts w:ascii="Arial" w:hAnsi="Arial" w:cs="Arial"/>
                <w:sz w:val="20"/>
                <w:szCs w:val="20"/>
              </w:rPr>
              <w:t>NCUTCD recommends adding examples of 4-section bicycle signal faces in both vertical and horizontal orientations including left-turn or right-turn GREEN ARROW indications to indicate a protected turning movement for bicyclists, and adding an example of a 3-section horizontally oriented bicycle signal face.</w:t>
            </w:r>
          </w:p>
        </w:tc>
      </w:tr>
      <w:tr w:rsidR="002657E1" w14:paraId="382FA188" w14:textId="77777777" w:rsidTr="00D83084">
        <w:trPr>
          <w:cantSplit/>
        </w:trPr>
        <w:tc>
          <w:tcPr>
            <w:tcW w:w="1170" w:type="dxa"/>
          </w:tcPr>
          <w:p w14:paraId="2F1E04C1" w14:textId="7A17277F" w:rsidR="002657E1" w:rsidRDefault="002657E1" w:rsidP="002657E1">
            <w:pPr>
              <w:rPr>
                <w:rFonts w:ascii="Arial" w:hAnsi="Arial" w:cs="Arial"/>
                <w:sz w:val="20"/>
                <w:szCs w:val="20"/>
              </w:rPr>
            </w:pPr>
            <w:r>
              <w:rPr>
                <w:rFonts w:ascii="Arial" w:hAnsi="Arial" w:cs="Arial"/>
                <w:sz w:val="20"/>
                <w:szCs w:val="20"/>
              </w:rPr>
              <w:t>4H.08</w:t>
            </w:r>
          </w:p>
        </w:tc>
        <w:tc>
          <w:tcPr>
            <w:tcW w:w="1167" w:type="dxa"/>
          </w:tcPr>
          <w:p w14:paraId="2DA92BDE" w14:textId="05E2BCDE" w:rsidR="002657E1" w:rsidRDefault="002657E1" w:rsidP="002657E1">
            <w:pPr>
              <w:jc w:val="center"/>
              <w:rPr>
                <w:rFonts w:ascii="Arial" w:hAnsi="Arial" w:cs="Arial"/>
                <w:sz w:val="20"/>
                <w:szCs w:val="20"/>
              </w:rPr>
            </w:pPr>
            <w:r>
              <w:rPr>
                <w:rFonts w:ascii="Arial" w:hAnsi="Arial" w:cs="Arial"/>
                <w:sz w:val="20"/>
                <w:szCs w:val="20"/>
              </w:rPr>
              <w:t>YES</w:t>
            </w:r>
          </w:p>
        </w:tc>
        <w:tc>
          <w:tcPr>
            <w:tcW w:w="1183" w:type="dxa"/>
          </w:tcPr>
          <w:p w14:paraId="4E04AFA0" w14:textId="15BF6D4A" w:rsidR="002657E1" w:rsidRDefault="002657E1" w:rsidP="002657E1">
            <w:pPr>
              <w:jc w:val="center"/>
              <w:rPr>
                <w:rFonts w:ascii="Arial" w:hAnsi="Arial" w:cs="Arial"/>
                <w:sz w:val="20"/>
                <w:szCs w:val="20"/>
              </w:rPr>
            </w:pPr>
            <w:r>
              <w:rPr>
                <w:rFonts w:ascii="Arial" w:hAnsi="Arial" w:cs="Arial"/>
                <w:sz w:val="20"/>
                <w:szCs w:val="20"/>
              </w:rPr>
              <w:t>N/A</w:t>
            </w:r>
          </w:p>
        </w:tc>
        <w:tc>
          <w:tcPr>
            <w:tcW w:w="1017" w:type="dxa"/>
          </w:tcPr>
          <w:p w14:paraId="24D26E02" w14:textId="38494683" w:rsidR="002657E1" w:rsidRDefault="002657E1" w:rsidP="002657E1">
            <w:pPr>
              <w:jc w:val="center"/>
              <w:rPr>
                <w:rFonts w:ascii="Arial" w:hAnsi="Arial" w:cs="Arial"/>
                <w:sz w:val="20"/>
                <w:szCs w:val="20"/>
              </w:rPr>
            </w:pPr>
            <w:r>
              <w:rPr>
                <w:rFonts w:ascii="Arial" w:hAnsi="Arial" w:cs="Arial"/>
                <w:sz w:val="20"/>
                <w:szCs w:val="20"/>
              </w:rPr>
              <w:t>N/A</w:t>
            </w:r>
          </w:p>
        </w:tc>
        <w:tc>
          <w:tcPr>
            <w:tcW w:w="6263" w:type="dxa"/>
          </w:tcPr>
          <w:p w14:paraId="37D3173F" w14:textId="5C321B6E" w:rsidR="002657E1" w:rsidRPr="00BE6E30" w:rsidRDefault="002657E1" w:rsidP="002657E1">
            <w:pPr>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H</w:t>
            </w:r>
            <w:r w:rsidRPr="00BE6E30">
              <w:rPr>
                <w:rFonts w:ascii="Arial" w:hAnsi="Arial" w:cs="Arial"/>
                <w:sz w:val="20"/>
                <w:szCs w:val="20"/>
              </w:rPr>
              <w:t>.</w:t>
            </w:r>
            <w:r>
              <w:rPr>
                <w:rFonts w:ascii="Arial" w:hAnsi="Arial" w:cs="Arial"/>
                <w:sz w:val="20"/>
                <w:szCs w:val="20"/>
              </w:rPr>
              <w:t>08</w:t>
            </w:r>
            <w:r w:rsidRPr="00BE6E30">
              <w:rPr>
                <w:rFonts w:ascii="Arial" w:hAnsi="Arial" w:cs="Arial"/>
                <w:sz w:val="20"/>
                <w:szCs w:val="20"/>
              </w:rPr>
              <w:t xml:space="preserve"> as presented in the NPA.</w:t>
            </w:r>
          </w:p>
        </w:tc>
      </w:tr>
      <w:tr w:rsidR="002657E1" w14:paraId="342B2B78" w14:textId="77777777" w:rsidTr="00D83084">
        <w:trPr>
          <w:cantSplit/>
        </w:trPr>
        <w:tc>
          <w:tcPr>
            <w:tcW w:w="1170" w:type="dxa"/>
          </w:tcPr>
          <w:p w14:paraId="44394EC3" w14:textId="403F2C75" w:rsidR="002657E1" w:rsidRDefault="002657E1" w:rsidP="002657E1">
            <w:pPr>
              <w:rPr>
                <w:rFonts w:ascii="Arial" w:hAnsi="Arial" w:cs="Arial"/>
                <w:sz w:val="20"/>
                <w:szCs w:val="20"/>
              </w:rPr>
            </w:pPr>
            <w:r>
              <w:rPr>
                <w:rFonts w:ascii="Arial" w:hAnsi="Arial" w:cs="Arial"/>
                <w:sz w:val="20"/>
                <w:szCs w:val="20"/>
              </w:rPr>
              <w:t>4H.09</w:t>
            </w:r>
          </w:p>
        </w:tc>
        <w:tc>
          <w:tcPr>
            <w:tcW w:w="1167" w:type="dxa"/>
          </w:tcPr>
          <w:p w14:paraId="658F57F8" w14:textId="2677AE7D" w:rsidR="002657E1" w:rsidRDefault="002657E1" w:rsidP="002657E1">
            <w:pPr>
              <w:jc w:val="center"/>
              <w:rPr>
                <w:rFonts w:ascii="Arial" w:hAnsi="Arial" w:cs="Arial"/>
                <w:sz w:val="20"/>
                <w:szCs w:val="20"/>
              </w:rPr>
            </w:pPr>
            <w:r>
              <w:rPr>
                <w:rFonts w:ascii="Arial" w:hAnsi="Arial" w:cs="Arial"/>
                <w:sz w:val="20"/>
                <w:szCs w:val="20"/>
              </w:rPr>
              <w:t>YES</w:t>
            </w:r>
          </w:p>
        </w:tc>
        <w:tc>
          <w:tcPr>
            <w:tcW w:w="1183" w:type="dxa"/>
          </w:tcPr>
          <w:p w14:paraId="472EA9B9" w14:textId="02D11954" w:rsidR="002657E1" w:rsidRDefault="002657E1" w:rsidP="002657E1">
            <w:pPr>
              <w:jc w:val="center"/>
              <w:rPr>
                <w:rFonts w:ascii="Arial" w:hAnsi="Arial" w:cs="Arial"/>
                <w:sz w:val="20"/>
                <w:szCs w:val="20"/>
              </w:rPr>
            </w:pPr>
            <w:r>
              <w:rPr>
                <w:rFonts w:ascii="Arial" w:hAnsi="Arial" w:cs="Arial"/>
                <w:sz w:val="20"/>
                <w:szCs w:val="20"/>
              </w:rPr>
              <w:t>N/A</w:t>
            </w:r>
          </w:p>
        </w:tc>
        <w:tc>
          <w:tcPr>
            <w:tcW w:w="1017" w:type="dxa"/>
          </w:tcPr>
          <w:p w14:paraId="6431F5DF" w14:textId="70FC8665" w:rsidR="002657E1" w:rsidRDefault="002657E1" w:rsidP="002657E1">
            <w:pPr>
              <w:jc w:val="center"/>
              <w:rPr>
                <w:rFonts w:ascii="Arial" w:hAnsi="Arial" w:cs="Arial"/>
                <w:sz w:val="20"/>
                <w:szCs w:val="20"/>
              </w:rPr>
            </w:pPr>
            <w:r>
              <w:rPr>
                <w:rFonts w:ascii="Arial" w:hAnsi="Arial" w:cs="Arial"/>
                <w:sz w:val="20"/>
                <w:szCs w:val="20"/>
              </w:rPr>
              <w:t>N/A</w:t>
            </w:r>
          </w:p>
        </w:tc>
        <w:tc>
          <w:tcPr>
            <w:tcW w:w="6263" w:type="dxa"/>
          </w:tcPr>
          <w:p w14:paraId="6BB259C8" w14:textId="316A22EE" w:rsidR="002657E1" w:rsidRPr="00BE6E30" w:rsidRDefault="002657E1" w:rsidP="002657E1">
            <w:pPr>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H</w:t>
            </w:r>
            <w:r w:rsidRPr="00BE6E30">
              <w:rPr>
                <w:rFonts w:ascii="Arial" w:hAnsi="Arial" w:cs="Arial"/>
                <w:sz w:val="20"/>
                <w:szCs w:val="20"/>
              </w:rPr>
              <w:t>.</w:t>
            </w:r>
            <w:r>
              <w:rPr>
                <w:rFonts w:ascii="Arial" w:hAnsi="Arial" w:cs="Arial"/>
                <w:sz w:val="20"/>
                <w:szCs w:val="20"/>
              </w:rPr>
              <w:t>09</w:t>
            </w:r>
            <w:r w:rsidRPr="00BE6E30">
              <w:rPr>
                <w:rFonts w:ascii="Arial" w:hAnsi="Arial" w:cs="Arial"/>
                <w:sz w:val="20"/>
                <w:szCs w:val="20"/>
              </w:rPr>
              <w:t xml:space="preserve"> as presented in the NPA.</w:t>
            </w:r>
          </w:p>
        </w:tc>
      </w:tr>
      <w:tr w:rsidR="002E3EF5" w14:paraId="6C80F4DC" w14:textId="77777777" w:rsidTr="00D83084">
        <w:trPr>
          <w:cantSplit/>
        </w:trPr>
        <w:tc>
          <w:tcPr>
            <w:tcW w:w="1170" w:type="dxa"/>
          </w:tcPr>
          <w:p w14:paraId="6376AF73" w14:textId="30007C20" w:rsidR="002E3EF5" w:rsidRDefault="002E3EF5" w:rsidP="002E3EF5">
            <w:pPr>
              <w:rPr>
                <w:rFonts w:ascii="Arial" w:hAnsi="Arial" w:cs="Arial"/>
                <w:sz w:val="20"/>
                <w:szCs w:val="20"/>
              </w:rPr>
            </w:pPr>
            <w:r>
              <w:rPr>
                <w:rFonts w:ascii="Arial" w:hAnsi="Arial" w:cs="Arial"/>
                <w:sz w:val="20"/>
                <w:szCs w:val="20"/>
              </w:rPr>
              <w:t>4H.10</w:t>
            </w:r>
          </w:p>
        </w:tc>
        <w:tc>
          <w:tcPr>
            <w:tcW w:w="1167" w:type="dxa"/>
          </w:tcPr>
          <w:p w14:paraId="5B35C5B0" w14:textId="2937C3AB" w:rsidR="002E3EF5" w:rsidRDefault="002E3EF5" w:rsidP="002E3EF5">
            <w:pPr>
              <w:jc w:val="center"/>
              <w:rPr>
                <w:rFonts w:ascii="Arial" w:hAnsi="Arial" w:cs="Arial"/>
                <w:sz w:val="20"/>
                <w:szCs w:val="20"/>
              </w:rPr>
            </w:pPr>
            <w:r>
              <w:rPr>
                <w:rFonts w:ascii="Arial" w:hAnsi="Arial" w:cs="Arial"/>
                <w:sz w:val="20"/>
                <w:szCs w:val="20"/>
              </w:rPr>
              <w:t>NO</w:t>
            </w:r>
          </w:p>
        </w:tc>
        <w:tc>
          <w:tcPr>
            <w:tcW w:w="1183" w:type="dxa"/>
          </w:tcPr>
          <w:p w14:paraId="38EDD4E5" w14:textId="2E7711DE" w:rsidR="002E3EF5" w:rsidRDefault="002E3EF5" w:rsidP="002E3EF5">
            <w:pPr>
              <w:jc w:val="center"/>
              <w:rPr>
                <w:rFonts w:ascii="Arial" w:hAnsi="Arial" w:cs="Arial"/>
                <w:sz w:val="20"/>
                <w:szCs w:val="20"/>
              </w:rPr>
            </w:pPr>
            <w:r>
              <w:rPr>
                <w:rFonts w:ascii="Arial" w:hAnsi="Arial" w:cs="Arial"/>
                <w:sz w:val="20"/>
                <w:szCs w:val="20"/>
              </w:rPr>
              <w:t>YES</w:t>
            </w:r>
          </w:p>
        </w:tc>
        <w:tc>
          <w:tcPr>
            <w:tcW w:w="1017" w:type="dxa"/>
          </w:tcPr>
          <w:p w14:paraId="170D1482" w14:textId="60CBE0B7" w:rsidR="002E3EF5" w:rsidRDefault="002E3EF5" w:rsidP="002E3EF5">
            <w:pPr>
              <w:jc w:val="center"/>
              <w:rPr>
                <w:rFonts w:ascii="Arial" w:hAnsi="Arial" w:cs="Arial"/>
                <w:sz w:val="20"/>
                <w:szCs w:val="20"/>
              </w:rPr>
            </w:pPr>
            <w:r>
              <w:rPr>
                <w:rFonts w:ascii="Arial" w:hAnsi="Arial" w:cs="Arial"/>
                <w:sz w:val="20"/>
                <w:szCs w:val="20"/>
              </w:rPr>
              <w:t>N/A</w:t>
            </w:r>
          </w:p>
        </w:tc>
        <w:tc>
          <w:tcPr>
            <w:tcW w:w="6263" w:type="dxa"/>
          </w:tcPr>
          <w:p w14:paraId="6BD8855B" w14:textId="62ABD6DF" w:rsidR="002E3EF5" w:rsidRPr="00BE6E30" w:rsidRDefault="00FD79B1" w:rsidP="002E3EF5">
            <w:pPr>
              <w:rPr>
                <w:rFonts w:ascii="Arial" w:hAnsi="Arial" w:cs="Arial"/>
                <w:sz w:val="20"/>
                <w:szCs w:val="20"/>
              </w:rPr>
            </w:pPr>
            <w:r w:rsidRPr="00FD79B1">
              <w:rPr>
                <w:rFonts w:ascii="Arial" w:hAnsi="Arial" w:cs="Arial"/>
                <w:sz w:val="20"/>
                <w:szCs w:val="20"/>
              </w:rPr>
              <w:t>NCUTCD agrees with 4H.10 as presented in the NPA with minor editorial changes adding text “or shoulder” and correcting sign numbers to reflect current codes.</w:t>
            </w:r>
          </w:p>
        </w:tc>
      </w:tr>
      <w:tr w:rsidR="003960B3" w14:paraId="7D5D6E4C" w14:textId="77777777" w:rsidTr="00D83084">
        <w:trPr>
          <w:cantSplit/>
        </w:trPr>
        <w:tc>
          <w:tcPr>
            <w:tcW w:w="1170" w:type="dxa"/>
          </w:tcPr>
          <w:p w14:paraId="2A3E7F0E" w14:textId="0B102528" w:rsidR="003960B3" w:rsidRDefault="003960B3" w:rsidP="003960B3">
            <w:pPr>
              <w:rPr>
                <w:rFonts w:ascii="Arial" w:hAnsi="Arial" w:cs="Arial"/>
                <w:sz w:val="20"/>
                <w:szCs w:val="20"/>
              </w:rPr>
            </w:pPr>
            <w:r>
              <w:rPr>
                <w:rFonts w:ascii="Arial" w:hAnsi="Arial" w:cs="Arial"/>
                <w:sz w:val="20"/>
                <w:szCs w:val="20"/>
              </w:rPr>
              <w:t>4H.11</w:t>
            </w:r>
          </w:p>
        </w:tc>
        <w:tc>
          <w:tcPr>
            <w:tcW w:w="1167" w:type="dxa"/>
          </w:tcPr>
          <w:p w14:paraId="3A9CFB8D" w14:textId="2755CF88" w:rsidR="003960B3" w:rsidRDefault="003960B3" w:rsidP="003960B3">
            <w:pPr>
              <w:jc w:val="center"/>
              <w:rPr>
                <w:rFonts w:ascii="Arial" w:hAnsi="Arial" w:cs="Arial"/>
                <w:sz w:val="20"/>
                <w:szCs w:val="20"/>
              </w:rPr>
            </w:pPr>
            <w:r>
              <w:rPr>
                <w:rFonts w:ascii="Arial" w:hAnsi="Arial" w:cs="Arial"/>
                <w:sz w:val="20"/>
                <w:szCs w:val="20"/>
              </w:rPr>
              <w:t>YES</w:t>
            </w:r>
          </w:p>
        </w:tc>
        <w:tc>
          <w:tcPr>
            <w:tcW w:w="1183" w:type="dxa"/>
          </w:tcPr>
          <w:p w14:paraId="336B244B" w14:textId="220759CB" w:rsidR="003960B3" w:rsidRDefault="003960B3" w:rsidP="003960B3">
            <w:pPr>
              <w:jc w:val="center"/>
              <w:rPr>
                <w:rFonts w:ascii="Arial" w:hAnsi="Arial" w:cs="Arial"/>
                <w:sz w:val="20"/>
                <w:szCs w:val="20"/>
              </w:rPr>
            </w:pPr>
            <w:r>
              <w:rPr>
                <w:rFonts w:ascii="Arial" w:hAnsi="Arial" w:cs="Arial"/>
                <w:sz w:val="20"/>
                <w:szCs w:val="20"/>
              </w:rPr>
              <w:t>N/A</w:t>
            </w:r>
          </w:p>
        </w:tc>
        <w:tc>
          <w:tcPr>
            <w:tcW w:w="1017" w:type="dxa"/>
          </w:tcPr>
          <w:p w14:paraId="305C2372" w14:textId="0F0C7BDE" w:rsidR="003960B3" w:rsidRDefault="003960B3" w:rsidP="003960B3">
            <w:pPr>
              <w:jc w:val="center"/>
              <w:rPr>
                <w:rFonts w:ascii="Arial" w:hAnsi="Arial" w:cs="Arial"/>
                <w:sz w:val="20"/>
                <w:szCs w:val="20"/>
              </w:rPr>
            </w:pPr>
            <w:r>
              <w:rPr>
                <w:rFonts w:ascii="Arial" w:hAnsi="Arial" w:cs="Arial"/>
                <w:sz w:val="20"/>
                <w:szCs w:val="20"/>
              </w:rPr>
              <w:t>N/A</w:t>
            </w:r>
          </w:p>
        </w:tc>
        <w:tc>
          <w:tcPr>
            <w:tcW w:w="6263" w:type="dxa"/>
          </w:tcPr>
          <w:p w14:paraId="59C889DB" w14:textId="31A74C52" w:rsidR="003960B3" w:rsidRPr="00BE6E30" w:rsidRDefault="003960B3" w:rsidP="003960B3">
            <w:pPr>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H</w:t>
            </w:r>
            <w:r w:rsidRPr="00BE6E30">
              <w:rPr>
                <w:rFonts w:ascii="Arial" w:hAnsi="Arial" w:cs="Arial"/>
                <w:sz w:val="20"/>
                <w:szCs w:val="20"/>
              </w:rPr>
              <w:t>.</w:t>
            </w:r>
            <w:r>
              <w:rPr>
                <w:rFonts w:ascii="Arial" w:hAnsi="Arial" w:cs="Arial"/>
                <w:sz w:val="20"/>
                <w:szCs w:val="20"/>
              </w:rPr>
              <w:t>11</w:t>
            </w:r>
            <w:r w:rsidRPr="00BE6E30">
              <w:rPr>
                <w:rFonts w:ascii="Arial" w:hAnsi="Arial" w:cs="Arial"/>
                <w:sz w:val="20"/>
                <w:szCs w:val="20"/>
              </w:rPr>
              <w:t xml:space="preserve"> as presented in the NPA.</w:t>
            </w:r>
          </w:p>
        </w:tc>
      </w:tr>
      <w:tr w:rsidR="003960B3" w14:paraId="5124940A" w14:textId="77777777" w:rsidTr="00D83084">
        <w:trPr>
          <w:cantSplit/>
        </w:trPr>
        <w:tc>
          <w:tcPr>
            <w:tcW w:w="1170" w:type="dxa"/>
          </w:tcPr>
          <w:p w14:paraId="7D46E620" w14:textId="6FEB16BF" w:rsidR="003960B3" w:rsidRDefault="003960B3" w:rsidP="003960B3">
            <w:pPr>
              <w:rPr>
                <w:rFonts w:ascii="Arial" w:hAnsi="Arial" w:cs="Arial"/>
                <w:sz w:val="20"/>
                <w:szCs w:val="20"/>
              </w:rPr>
            </w:pPr>
            <w:r>
              <w:rPr>
                <w:rFonts w:ascii="Arial" w:hAnsi="Arial" w:cs="Arial"/>
                <w:sz w:val="20"/>
                <w:szCs w:val="20"/>
              </w:rPr>
              <w:t>4H.12</w:t>
            </w:r>
          </w:p>
        </w:tc>
        <w:tc>
          <w:tcPr>
            <w:tcW w:w="1167" w:type="dxa"/>
          </w:tcPr>
          <w:p w14:paraId="23F767B1" w14:textId="17957AE2" w:rsidR="003960B3" w:rsidRDefault="003960B3" w:rsidP="003960B3">
            <w:pPr>
              <w:jc w:val="center"/>
              <w:rPr>
                <w:rFonts w:ascii="Arial" w:hAnsi="Arial" w:cs="Arial"/>
                <w:sz w:val="20"/>
                <w:szCs w:val="20"/>
              </w:rPr>
            </w:pPr>
            <w:r>
              <w:rPr>
                <w:rFonts w:ascii="Arial" w:hAnsi="Arial" w:cs="Arial"/>
                <w:sz w:val="20"/>
                <w:szCs w:val="20"/>
              </w:rPr>
              <w:t>YES</w:t>
            </w:r>
          </w:p>
        </w:tc>
        <w:tc>
          <w:tcPr>
            <w:tcW w:w="1183" w:type="dxa"/>
          </w:tcPr>
          <w:p w14:paraId="6551B3C3" w14:textId="490581D1" w:rsidR="003960B3" w:rsidRDefault="003960B3" w:rsidP="003960B3">
            <w:pPr>
              <w:jc w:val="center"/>
              <w:rPr>
                <w:rFonts w:ascii="Arial" w:hAnsi="Arial" w:cs="Arial"/>
                <w:sz w:val="20"/>
                <w:szCs w:val="20"/>
              </w:rPr>
            </w:pPr>
            <w:r>
              <w:rPr>
                <w:rFonts w:ascii="Arial" w:hAnsi="Arial" w:cs="Arial"/>
                <w:sz w:val="20"/>
                <w:szCs w:val="20"/>
              </w:rPr>
              <w:t>N/A</w:t>
            </w:r>
          </w:p>
        </w:tc>
        <w:tc>
          <w:tcPr>
            <w:tcW w:w="1017" w:type="dxa"/>
          </w:tcPr>
          <w:p w14:paraId="0A6A1E1A" w14:textId="6C5A23FC" w:rsidR="003960B3" w:rsidRDefault="003960B3" w:rsidP="003960B3">
            <w:pPr>
              <w:jc w:val="center"/>
              <w:rPr>
                <w:rFonts w:ascii="Arial" w:hAnsi="Arial" w:cs="Arial"/>
                <w:sz w:val="20"/>
                <w:szCs w:val="20"/>
              </w:rPr>
            </w:pPr>
            <w:r>
              <w:rPr>
                <w:rFonts w:ascii="Arial" w:hAnsi="Arial" w:cs="Arial"/>
                <w:sz w:val="20"/>
                <w:szCs w:val="20"/>
              </w:rPr>
              <w:t>N/A</w:t>
            </w:r>
          </w:p>
        </w:tc>
        <w:tc>
          <w:tcPr>
            <w:tcW w:w="6263" w:type="dxa"/>
          </w:tcPr>
          <w:p w14:paraId="24119241" w14:textId="0F4E38E0" w:rsidR="003960B3" w:rsidRPr="00BE6E30" w:rsidRDefault="003960B3" w:rsidP="003960B3">
            <w:pPr>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H</w:t>
            </w:r>
            <w:r w:rsidRPr="00BE6E30">
              <w:rPr>
                <w:rFonts w:ascii="Arial" w:hAnsi="Arial" w:cs="Arial"/>
                <w:sz w:val="20"/>
                <w:szCs w:val="20"/>
              </w:rPr>
              <w:t>.</w:t>
            </w:r>
            <w:r>
              <w:rPr>
                <w:rFonts w:ascii="Arial" w:hAnsi="Arial" w:cs="Arial"/>
                <w:sz w:val="20"/>
                <w:szCs w:val="20"/>
              </w:rPr>
              <w:t>12</w:t>
            </w:r>
            <w:r w:rsidRPr="00BE6E30">
              <w:rPr>
                <w:rFonts w:ascii="Arial" w:hAnsi="Arial" w:cs="Arial"/>
                <w:sz w:val="20"/>
                <w:szCs w:val="20"/>
              </w:rPr>
              <w:t xml:space="preserve"> as presented in the</w:t>
            </w:r>
            <w:r w:rsidR="002657E1">
              <w:rPr>
                <w:rFonts w:ascii="Arial" w:hAnsi="Arial" w:cs="Arial"/>
                <w:sz w:val="20"/>
                <w:szCs w:val="20"/>
              </w:rPr>
              <w:t xml:space="preserv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33A35E70" w14:textId="77777777" w:rsidR="002A11FF" w:rsidRDefault="002A11FF" w:rsidP="00A67B2B">
            <w:pPr>
              <w:spacing w:line="259" w:lineRule="auto"/>
              <w:rPr>
                <w:rFonts w:ascii="Arial" w:hAnsi="Arial" w:cs="Arial"/>
                <w:sz w:val="20"/>
                <w:szCs w:val="20"/>
              </w:rPr>
            </w:pPr>
          </w:p>
          <w:p w14:paraId="21CFF4EB" w14:textId="77777777" w:rsidR="003960B3" w:rsidRDefault="003960B3" w:rsidP="003960B3">
            <w:pPr>
              <w:rPr>
                <w:rFonts w:ascii="Arial" w:hAnsi="Arial" w:cs="Arial"/>
                <w:sz w:val="20"/>
                <w:szCs w:val="20"/>
              </w:rPr>
            </w:pPr>
          </w:p>
          <w:p w14:paraId="2685B292" w14:textId="1D6AB5DF" w:rsidR="003960B3" w:rsidRPr="003960B3" w:rsidRDefault="003960B3" w:rsidP="003960B3">
            <w:pPr>
              <w:jc w:val="right"/>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A1B9A" w14:textId="77777777" w:rsidR="00F821A2" w:rsidRDefault="00F821A2" w:rsidP="00CA28CD">
      <w:pPr>
        <w:spacing w:after="0" w:line="240" w:lineRule="auto"/>
      </w:pPr>
      <w:r>
        <w:separator/>
      </w:r>
    </w:p>
  </w:endnote>
  <w:endnote w:type="continuationSeparator" w:id="0">
    <w:p w14:paraId="03FF100A" w14:textId="77777777" w:rsidR="00F821A2" w:rsidRDefault="00F821A2"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649F0BDC"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DD1701">
      <w:rPr>
        <w:rFonts w:ascii="Arial" w:hAnsi="Arial" w:cs="Arial"/>
        <w:sz w:val="21"/>
        <w:szCs w:val="21"/>
      </w:rPr>
      <w:t>4</w:t>
    </w:r>
    <w:r w:rsidR="003960B3">
      <w:rPr>
        <w:rFonts w:ascii="Arial" w:hAnsi="Arial" w:cs="Arial"/>
        <w:sz w:val="21"/>
        <w:szCs w:val="21"/>
      </w:rPr>
      <w: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0FEA9" w14:textId="77777777" w:rsidR="00F821A2" w:rsidRDefault="00F821A2" w:rsidP="00CA28CD">
      <w:pPr>
        <w:spacing w:after="0" w:line="240" w:lineRule="auto"/>
      </w:pPr>
      <w:r>
        <w:separator/>
      </w:r>
    </w:p>
  </w:footnote>
  <w:footnote w:type="continuationSeparator" w:id="0">
    <w:p w14:paraId="5BDC3424" w14:textId="77777777" w:rsidR="00F821A2" w:rsidRDefault="00F821A2"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B395B"/>
    <w:multiLevelType w:val="hybridMultilevel"/>
    <w:tmpl w:val="248A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B48B0"/>
    <w:multiLevelType w:val="hybridMultilevel"/>
    <w:tmpl w:val="7F44D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9B442E"/>
    <w:multiLevelType w:val="hybridMultilevel"/>
    <w:tmpl w:val="A810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22E59"/>
    <w:rsid w:val="00057668"/>
    <w:rsid w:val="00064834"/>
    <w:rsid w:val="000B0C79"/>
    <w:rsid w:val="000B28D3"/>
    <w:rsid w:val="000C12B2"/>
    <w:rsid w:val="000D7F45"/>
    <w:rsid w:val="000E5FF2"/>
    <w:rsid w:val="000F6CA9"/>
    <w:rsid w:val="001177E6"/>
    <w:rsid w:val="00142413"/>
    <w:rsid w:val="001467C2"/>
    <w:rsid w:val="00160C94"/>
    <w:rsid w:val="00167C41"/>
    <w:rsid w:val="00185458"/>
    <w:rsid w:val="00187D5A"/>
    <w:rsid w:val="00192171"/>
    <w:rsid w:val="00197C1E"/>
    <w:rsid w:val="001B1B30"/>
    <w:rsid w:val="001B5156"/>
    <w:rsid w:val="001C7E04"/>
    <w:rsid w:val="001E1EBD"/>
    <w:rsid w:val="002063CD"/>
    <w:rsid w:val="00225108"/>
    <w:rsid w:val="00242B8E"/>
    <w:rsid w:val="00260856"/>
    <w:rsid w:val="002657E1"/>
    <w:rsid w:val="002715A2"/>
    <w:rsid w:val="002715A7"/>
    <w:rsid w:val="00277785"/>
    <w:rsid w:val="00286AE2"/>
    <w:rsid w:val="00295CAE"/>
    <w:rsid w:val="002A11FF"/>
    <w:rsid w:val="002A1D98"/>
    <w:rsid w:val="002A50E5"/>
    <w:rsid w:val="002C4CE5"/>
    <w:rsid w:val="002E2E5A"/>
    <w:rsid w:val="002E3EF5"/>
    <w:rsid w:val="00354FE9"/>
    <w:rsid w:val="00371935"/>
    <w:rsid w:val="003774EE"/>
    <w:rsid w:val="00393E82"/>
    <w:rsid w:val="00394743"/>
    <w:rsid w:val="003960B3"/>
    <w:rsid w:val="00396819"/>
    <w:rsid w:val="003A68AB"/>
    <w:rsid w:val="003C400F"/>
    <w:rsid w:val="003C79CF"/>
    <w:rsid w:val="003D605E"/>
    <w:rsid w:val="003E3590"/>
    <w:rsid w:val="003F578E"/>
    <w:rsid w:val="004110FD"/>
    <w:rsid w:val="00412ED2"/>
    <w:rsid w:val="00417593"/>
    <w:rsid w:val="0043299E"/>
    <w:rsid w:val="00433326"/>
    <w:rsid w:val="004430D7"/>
    <w:rsid w:val="00460EB9"/>
    <w:rsid w:val="004A03C4"/>
    <w:rsid w:val="004F0FF0"/>
    <w:rsid w:val="00520AAA"/>
    <w:rsid w:val="00525497"/>
    <w:rsid w:val="00525FE6"/>
    <w:rsid w:val="00552921"/>
    <w:rsid w:val="005B694A"/>
    <w:rsid w:val="005F11B8"/>
    <w:rsid w:val="00634404"/>
    <w:rsid w:val="00661B06"/>
    <w:rsid w:val="00675E0A"/>
    <w:rsid w:val="00692B40"/>
    <w:rsid w:val="00692BC8"/>
    <w:rsid w:val="006944BC"/>
    <w:rsid w:val="006957FF"/>
    <w:rsid w:val="006A2A89"/>
    <w:rsid w:val="006B07AA"/>
    <w:rsid w:val="006D1026"/>
    <w:rsid w:val="006E6A82"/>
    <w:rsid w:val="007068F7"/>
    <w:rsid w:val="00726211"/>
    <w:rsid w:val="00765D73"/>
    <w:rsid w:val="007746E2"/>
    <w:rsid w:val="00782C18"/>
    <w:rsid w:val="007A2B2D"/>
    <w:rsid w:val="007D2681"/>
    <w:rsid w:val="007E6FEB"/>
    <w:rsid w:val="007F64EB"/>
    <w:rsid w:val="00801DC8"/>
    <w:rsid w:val="0083322F"/>
    <w:rsid w:val="00836E4A"/>
    <w:rsid w:val="00845000"/>
    <w:rsid w:val="008615DD"/>
    <w:rsid w:val="00866520"/>
    <w:rsid w:val="008827E3"/>
    <w:rsid w:val="00885A12"/>
    <w:rsid w:val="00885E70"/>
    <w:rsid w:val="00886FE4"/>
    <w:rsid w:val="008B2A22"/>
    <w:rsid w:val="008B5B38"/>
    <w:rsid w:val="008F6A14"/>
    <w:rsid w:val="009155B7"/>
    <w:rsid w:val="00924717"/>
    <w:rsid w:val="009252C2"/>
    <w:rsid w:val="009272C9"/>
    <w:rsid w:val="00927EB7"/>
    <w:rsid w:val="009546D9"/>
    <w:rsid w:val="009816AB"/>
    <w:rsid w:val="00986147"/>
    <w:rsid w:val="00986E47"/>
    <w:rsid w:val="009937CF"/>
    <w:rsid w:val="00997A49"/>
    <w:rsid w:val="009A121F"/>
    <w:rsid w:val="009B20E9"/>
    <w:rsid w:val="009D4A6F"/>
    <w:rsid w:val="009E0658"/>
    <w:rsid w:val="009E57F1"/>
    <w:rsid w:val="00A23A3A"/>
    <w:rsid w:val="00A470F2"/>
    <w:rsid w:val="00A54333"/>
    <w:rsid w:val="00A60135"/>
    <w:rsid w:val="00A66497"/>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75E06"/>
    <w:rsid w:val="00B80D10"/>
    <w:rsid w:val="00B824F8"/>
    <w:rsid w:val="00B8673B"/>
    <w:rsid w:val="00BA10F3"/>
    <w:rsid w:val="00BB104C"/>
    <w:rsid w:val="00BC3B64"/>
    <w:rsid w:val="00BD7682"/>
    <w:rsid w:val="00BE5119"/>
    <w:rsid w:val="00BE6E30"/>
    <w:rsid w:val="00C1721D"/>
    <w:rsid w:val="00C25EA4"/>
    <w:rsid w:val="00C27DB3"/>
    <w:rsid w:val="00C4768F"/>
    <w:rsid w:val="00C52EA2"/>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66D26"/>
    <w:rsid w:val="00D67AB1"/>
    <w:rsid w:val="00D72EC6"/>
    <w:rsid w:val="00D74FE4"/>
    <w:rsid w:val="00D83084"/>
    <w:rsid w:val="00D85085"/>
    <w:rsid w:val="00D86280"/>
    <w:rsid w:val="00DA6D06"/>
    <w:rsid w:val="00DA7226"/>
    <w:rsid w:val="00DB0FBC"/>
    <w:rsid w:val="00DB37DB"/>
    <w:rsid w:val="00DD1701"/>
    <w:rsid w:val="00DF130A"/>
    <w:rsid w:val="00E05E1B"/>
    <w:rsid w:val="00E07BC7"/>
    <w:rsid w:val="00E14F60"/>
    <w:rsid w:val="00E75A26"/>
    <w:rsid w:val="00E96CF1"/>
    <w:rsid w:val="00E972AB"/>
    <w:rsid w:val="00EA2B2F"/>
    <w:rsid w:val="00EA5DC6"/>
    <w:rsid w:val="00ED78AA"/>
    <w:rsid w:val="00EE246A"/>
    <w:rsid w:val="00F061E8"/>
    <w:rsid w:val="00F06647"/>
    <w:rsid w:val="00F127BF"/>
    <w:rsid w:val="00F1362C"/>
    <w:rsid w:val="00F17C8E"/>
    <w:rsid w:val="00F43942"/>
    <w:rsid w:val="00F80644"/>
    <w:rsid w:val="00F821A2"/>
    <w:rsid w:val="00F926DD"/>
    <w:rsid w:val="00F96A74"/>
    <w:rsid w:val="00FA1E54"/>
    <w:rsid w:val="00FC696E"/>
    <w:rsid w:val="00FD1F4F"/>
    <w:rsid w:val="00FD686D"/>
    <w:rsid w:val="00FD79B1"/>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17</cp:revision>
  <dcterms:created xsi:type="dcterms:W3CDTF">2021-04-27T19:16:00Z</dcterms:created>
  <dcterms:modified xsi:type="dcterms:W3CDTF">2021-05-05T21:01:00Z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