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BC72C2" w14:paraId="6A4C35FB" w14:textId="77777777" w:rsidTr="00FF21DF">
        <w:trPr>
          <w:cantSplit/>
        </w:trPr>
        <w:tc>
          <w:tcPr>
            <w:tcW w:w="1170" w:type="dxa"/>
          </w:tcPr>
          <w:p w14:paraId="440EC4A5" w14:textId="47F19D0F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3C.01</w:t>
            </w:r>
          </w:p>
        </w:tc>
        <w:tc>
          <w:tcPr>
            <w:tcW w:w="1167" w:type="dxa"/>
          </w:tcPr>
          <w:p w14:paraId="059AC17E" w14:textId="7112DFBE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CFDA032" w14:textId="7C1E667E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8F75217" w14:textId="354EF453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5A66FF82" w:rsidR="00BC72C2" w:rsidRPr="00A67B2B" w:rsidRDefault="003D65C6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3D65C6">
              <w:rPr>
                <w:rFonts w:ascii="Arial" w:hAnsi="Arial" w:cs="Arial"/>
                <w:sz w:val="20"/>
                <w:szCs w:val="20"/>
              </w:rPr>
              <w:t>NCUTCD generally agrees with 3C.01, but recommends revising the Standard statement on non-intersection crosswalks to a Support statement noting the markings establish such a crosswalk.  Also, NCUTCD would like FHWA to clarify if “non-intersection” refers to a mid-block crossing.</w:t>
            </w:r>
          </w:p>
        </w:tc>
      </w:tr>
      <w:tr w:rsidR="00BC72C2" w14:paraId="441F5ED9" w14:textId="3F7BEEC2" w:rsidTr="00FF21DF">
        <w:trPr>
          <w:cantSplit/>
        </w:trPr>
        <w:tc>
          <w:tcPr>
            <w:tcW w:w="1170" w:type="dxa"/>
          </w:tcPr>
          <w:p w14:paraId="467546D0" w14:textId="4A06F2C5" w:rsidR="00BC72C2" w:rsidRPr="00A67B2B" w:rsidRDefault="00BC72C2" w:rsidP="00BC72C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3C.02</w:t>
            </w:r>
          </w:p>
        </w:tc>
        <w:tc>
          <w:tcPr>
            <w:tcW w:w="1167" w:type="dxa"/>
          </w:tcPr>
          <w:p w14:paraId="1C2A64F1" w14:textId="3F67CB4A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6F410D" w14:textId="0BEE9919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9427328" w14:textId="5B7404EF" w:rsidR="00BC72C2" w:rsidRPr="00A67B2B" w:rsidRDefault="00BC72C2" w:rsidP="00BC72C2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1E88DF06" w:rsidR="00BC72C2" w:rsidRPr="00A67B2B" w:rsidRDefault="00147D7D" w:rsidP="00BC72C2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147D7D">
              <w:rPr>
                <w:rFonts w:ascii="Arial" w:hAnsi="Arial" w:cs="Arial"/>
                <w:sz w:val="20"/>
                <w:szCs w:val="20"/>
              </w:rPr>
              <w:t xml:space="preserve">NCUTCD agrees with 3C.02 as presented in the NPA with </w:t>
            </w:r>
            <w:r w:rsidR="003D65C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47D7D">
              <w:rPr>
                <w:rFonts w:ascii="Arial" w:hAnsi="Arial" w:cs="Arial"/>
                <w:sz w:val="20"/>
                <w:szCs w:val="20"/>
              </w:rPr>
              <w:t xml:space="preserve">minor editorial </w:t>
            </w:r>
            <w:r w:rsidR="00AF3DB7">
              <w:rPr>
                <w:rFonts w:ascii="Arial" w:hAnsi="Arial" w:cs="Arial"/>
                <w:sz w:val="20"/>
                <w:szCs w:val="20"/>
              </w:rPr>
              <w:t>revision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Guidance bullet “E”.</w:t>
            </w:r>
          </w:p>
        </w:tc>
      </w:tr>
      <w:tr w:rsidR="00BC72C2" w14:paraId="0B9B70A5" w14:textId="77777777" w:rsidTr="00FF21DF">
        <w:trPr>
          <w:cantSplit/>
        </w:trPr>
        <w:tc>
          <w:tcPr>
            <w:tcW w:w="1170" w:type="dxa"/>
          </w:tcPr>
          <w:p w14:paraId="109C868A" w14:textId="127C63A9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3C.03</w:t>
            </w:r>
          </w:p>
        </w:tc>
        <w:tc>
          <w:tcPr>
            <w:tcW w:w="1167" w:type="dxa"/>
          </w:tcPr>
          <w:p w14:paraId="5FE21647" w14:textId="7567C282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F7D79D5" w14:textId="289DD8BC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BB7CAA1" w14:textId="4A90602A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4E54BD8" w14:textId="5C2F9F3B" w:rsidR="00BC72C2" w:rsidRPr="00A67B2B" w:rsidRDefault="00147D7D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147D7D">
              <w:rPr>
                <w:rFonts w:ascii="Arial" w:hAnsi="Arial" w:cs="Arial"/>
                <w:sz w:val="20"/>
                <w:szCs w:val="20"/>
              </w:rPr>
              <w:t xml:space="preserve">NCUTCD agrees with 3C.03 as presented in the NPA with </w:t>
            </w:r>
            <w:r w:rsidR="003D65C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47D7D">
              <w:rPr>
                <w:rFonts w:ascii="Arial" w:hAnsi="Arial" w:cs="Arial"/>
                <w:sz w:val="20"/>
                <w:szCs w:val="20"/>
              </w:rPr>
              <w:t xml:space="preserve">minor editorial </w:t>
            </w:r>
            <w:r w:rsidR="00AF3DB7">
              <w:rPr>
                <w:rFonts w:ascii="Arial" w:hAnsi="Arial" w:cs="Arial"/>
                <w:sz w:val="20"/>
                <w:szCs w:val="20"/>
              </w:rPr>
              <w:t>revision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paragraph number in the second </w:t>
            </w:r>
            <w:r w:rsidR="00C4627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tandard</w:t>
            </w:r>
            <w:r w:rsidR="00C4627D">
              <w:rPr>
                <w:rFonts w:ascii="Arial" w:hAnsi="Arial" w:cs="Arial"/>
                <w:sz w:val="20"/>
                <w:szCs w:val="20"/>
              </w:rPr>
              <w:t xml:space="preserve"> statement</w:t>
            </w:r>
            <w:r w:rsidRPr="00147D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72C2" w14:paraId="2C52F683" w14:textId="77777777" w:rsidTr="00FF21DF">
        <w:trPr>
          <w:cantSplit/>
        </w:trPr>
        <w:tc>
          <w:tcPr>
            <w:tcW w:w="1170" w:type="dxa"/>
          </w:tcPr>
          <w:p w14:paraId="781968E0" w14:textId="5691386B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3C.04</w:t>
            </w:r>
          </w:p>
        </w:tc>
        <w:tc>
          <w:tcPr>
            <w:tcW w:w="1167" w:type="dxa"/>
          </w:tcPr>
          <w:p w14:paraId="01D948CC" w14:textId="4EBEF3F0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7CA717C" w14:textId="55F28CE7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C705E70" w14:textId="0953BA57" w:rsidR="00BC72C2" w:rsidRPr="00A67B2B" w:rsidRDefault="00BC72C2" w:rsidP="00BC72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DE3EEF4" w14:textId="77BD3E0C" w:rsidR="00BC72C2" w:rsidRPr="00A67B2B" w:rsidRDefault="00BC72C2" w:rsidP="00BC72C2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3C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147D7D" w14:paraId="3FCD8C83" w14:textId="77777777" w:rsidTr="00FF21DF">
        <w:trPr>
          <w:cantSplit/>
        </w:trPr>
        <w:tc>
          <w:tcPr>
            <w:tcW w:w="1170" w:type="dxa"/>
          </w:tcPr>
          <w:p w14:paraId="738DD0BC" w14:textId="66A50B3A" w:rsidR="00147D7D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3C-1</w:t>
            </w:r>
          </w:p>
        </w:tc>
        <w:tc>
          <w:tcPr>
            <w:tcW w:w="1167" w:type="dxa"/>
          </w:tcPr>
          <w:p w14:paraId="228DA86C" w14:textId="4E7A01B3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F82EEE8" w14:textId="39A01C13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D14128C" w14:textId="4E61DBE5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6185DA7" w14:textId="041CF377" w:rsidR="00147D7D" w:rsidRPr="003D65C6" w:rsidRDefault="003D65C6" w:rsidP="003D65C6">
            <w:pPr>
              <w:rPr>
                <w:rFonts w:ascii="Arial" w:hAnsi="Arial" w:cs="Arial"/>
                <w:sz w:val="20"/>
                <w:szCs w:val="20"/>
              </w:rPr>
            </w:pPr>
            <w:r w:rsidRPr="003D65C6">
              <w:rPr>
                <w:rFonts w:ascii="Arial" w:hAnsi="Arial" w:cs="Arial"/>
                <w:sz w:val="20"/>
                <w:szCs w:val="20"/>
              </w:rPr>
              <w:t xml:space="preserve">NCUTCD generally agrees with Figure 3C-1, but recommends revising to show a minimum </w:t>
            </w:r>
            <w:proofErr w:type="gramStart"/>
            <w:r w:rsidRPr="003D65C6">
              <w:rPr>
                <w:rFonts w:ascii="Arial" w:hAnsi="Arial" w:cs="Arial"/>
                <w:sz w:val="20"/>
                <w:szCs w:val="20"/>
              </w:rPr>
              <w:t>6 foot</w:t>
            </w:r>
            <w:proofErr w:type="gramEnd"/>
            <w:r w:rsidRPr="003D65C6">
              <w:rPr>
                <w:rFonts w:ascii="Arial" w:hAnsi="Arial" w:cs="Arial"/>
                <w:sz w:val="20"/>
                <w:szCs w:val="20"/>
              </w:rPr>
              <w:t xml:space="preserve"> crosswalk width in accordance with NCUTCD recommendation 11A-MRK-01. NCUTCD also recommends renaming “perpendicular” crosswalks as “ladder” crosswalks, as this is the more commonly-used term for this crosswalk marking pattern.</w:t>
            </w:r>
          </w:p>
        </w:tc>
      </w:tr>
      <w:tr w:rsidR="00147D7D" w14:paraId="2EAAA949" w14:textId="77777777" w:rsidTr="00FF21DF">
        <w:trPr>
          <w:cantSplit/>
        </w:trPr>
        <w:tc>
          <w:tcPr>
            <w:tcW w:w="1170" w:type="dxa"/>
          </w:tcPr>
          <w:p w14:paraId="18CE325E" w14:textId="36CE0FED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3C.05</w:t>
            </w:r>
          </w:p>
        </w:tc>
        <w:tc>
          <w:tcPr>
            <w:tcW w:w="1167" w:type="dxa"/>
          </w:tcPr>
          <w:p w14:paraId="396EF8B8" w14:textId="0F425117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1488A00" w14:textId="7E2D887D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6E31611" w14:textId="33DA18E6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0D24B96" w14:textId="1D6DA62B" w:rsidR="00147D7D" w:rsidRPr="00A67B2B" w:rsidRDefault="003D65C6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3D65C6">
              <w:rPr>
                <w:rFonts w:ascii="Arial" w:hAnsi="Arial" w:cs="Arial"/>
                <w:sz w:val="20"/>
                <w:szCs w:val="20"/>
              </w:rPr>
              <w:t xml:space="preserve">Section 3C.05 Comments: NCUTCD generally agrees with 3C.05 as presented in the NPA with a minor editorial </w:t>
            </w:r>
            <w:r w:rsidR="00AF3DB7">
              <w:rPr>
                <w:rFonts w:ascii="Arial" w:hAnsi="Arial" w:cs="Arial"/>
                <w:sz w:val="20"/>
                <w:szCs w:val="20"/>
              </w:rPr>
              <w:t>revision</w:t>
            </w:r>
            <w:r w:rsidRPr="003D65C6">
              <w:rPr>
                <w:rFonts w:ascii="Arial" w:hAnsi="Arial" w:cs="Arial"/>
                <w:sz w:val="20"/>
                <w:szCs w:val="20"/>
              </w:rPr>
              <w:t>, but recommends renaming “perpendicular” crosswalks as “ladder” crosswalks, as this is the more commonly-used term for this crosswalk marking pattern</w:t>
            </w:r>
            <w:r w:rsidR="00147D7D" w:rsidRPr="00147D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47D7D" w14:paraId="346EFAD2" w14:textId="77777777" w:rsidTr="00FF21DF">
        <w:trPr>
          <w:cantSplit/>
        </w:trPr>
        <w:tc>
          <w:tcPr>
            <w:tcW w:w="1170" w:type="dxa"/>
          </w:tcPr>
          <w:p w14:paraId="3E1ACADF" w14:textId="009339B6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3C.06</w:t>
            </w:r>
          </w:p>
        </w:tc>
        <w:tc>
          <w:tcPr>
            <w:tcW w:w="1167" w:type="dxa"/>
          </w:tcPr>
          <w:p w14:paraId="24E5A666" w14:textId="63036D89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92D5459" w14:textId="158E009B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B09A422" w14:textId="03B9FA00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BEAA955" w14:textId="730C5B6A" w:rsidR="00147D7D" w:rsidRPr="00A67B2B" w:rsidRDefault="003D65C6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3D65C6">
              <w:rPr>
                <w:rFonts w:ascii="Arial" w:hAnsi="Arial" w:cs="Arial"/>
                <w:sz w:val="20"/>
                <w:szCs w:val="20"/>
              </w:rPr>
              <w:t>NCUTCD agrees with 3C.06 as presented in the NPA, with a minor editorial correction to reference Figure 3C-1.</w:t>
            </w:r>
          </w:p>
        </w:tc>
      </w:tr>
      <w:tr w:rsidR="00147D7D" w14:paraId="51CEAE74" w14:textId="77777777" w:rsidTr="00FF21DF">
        <w:trPr>
          <w:cantSplit/>
        </w:trPr>
        <w:tc>
          <w:tcPr>
            <w:tcW w:w="1170" w:type="dxa"/>
          </w:tcPr>
          <w:p w14:paraId="4B1433ED" w14:textId="14DE3CCA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3C.07</w:t>
            </w:r>
          </w:p>
        </w:tc>
        <w:tc>
          <w:tcPr>
            <w:tcW w:w="1167" w:type="dxa"/>
          </w:tcPr>
          <w:p w14:paraId="6118E8C2" w14:textId="2BA238E2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A63644" w14:textId="096CF951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A7C95BC" w14:textId="34A54948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8892EA1" w14:textId="22345D2E" w:rsidR="00147D7D" w:rsidRPr="00A67B2B" w:rsidRDefault="003D65C6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3D65C6">
              <w:rPr>
                <w:rFonts w:ascii="Arial" w:hAnsi="Arial" w:cs="Arial"/>
                <w:sz w:val="20"/>
                <w:szCs w:val="20"/>
              </w:rPr>
              <w:t>NCUTCD generally agrees with 3C.07 as presented in the NPA, but recommends renaming “perpendicular” crosswalks as “ladder” crosswalks, as this is the more commonly-used term for this crosswalk marking pattern.</w:t>
            </w:r>
          </w:p>
        </w:tc>
      </w:tr>
      <w:tr w:rsidR="00147D7D" w14:paraId="53861C43" w14:textId="77777777" w:rsidTr="00FF21DF">
        <w:trPr>
          <w:cantSplit/>
        </w:trPr>
        <w:tc>
          <w:tcPr>
            <w:tcW w:w="1170" w:type="dxa"/>
          </w:tcPr>
          <w:p w14:paraId="33B4D3DF" w14:textId="14D17D1C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3C.08</w:t>
            </w:r>
          </w:p>
        </w:tc>
        <w:tc>
          <w:tcPr>
            <w:tcW w:w="1167" w:type="dxa"/>
          </w:tcPr>
          <w:p w14:paraId="3B30F418" w14:textId="09A5FDC8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0110DA4" w14:textId="400597D4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9452D04" w14:textId="319E865E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DDC9D2A" w14:textId="20113B01" w:rsidR="00147D7D" w:rsidRPr="00A67B2B" w:rsidRDefault="00BC71ED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BC71ED">
              <w:rPr>
                <w:rFonts w:ascii="Arial" w:hAnsi="Arial" w:cs="Arial"/>
                <w:sz w:val="20"/>
                <w:szCs w:val="20"/>
              </w:rPr>
              <w:t>NCUTCD generally agrees with 3C.08 as presented in the NPA, but recommends adding a figure reference and revising the Standard statement to an Option statement to allow transverse lines with longitudinal bar pair crosswalks.</w:t>
            </w:r>
          </w:p>
        </w:tc>
      </w:tr>
      <w:tr w:rsidR="00147D7D" w14:paraId="66199764" w14:textId="77777777" w:rsidTr="00FF21DF">
        <w:trPr>
          <w:cantSplit/>
        </w:trPr>
        <w:tc>
          <w:tcPr>
            <w:tcW w:w="1170" w:type="dxa"/>
          </w:tcPr>
          <w:p w14:paraId="59A034A8" w14:textId="35D8E5C0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3C.09</w:t>
            </w:r>
          </w:p>
        </w:tc>
        <w:tc>
          <w:tcPr>
            <w:tcW w:w="1167" w:type="dxa"/>
          </w:tcPr>
          <w:p w14:paraId="7210F283" w14:textId="0CFC64CB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34717F" w14:textId="02FF32E7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9F2C9CF" w14:textId="10E86B63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234FEA4" w14:textId="2E45E1D1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3C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147D7D" w14:paraId="2023FEDC" w14:textId="77777777" w:rsidTr="00FF21DF">
        <w:trPr>
          <w:cantSplit/>
        </w:trPr>
        <w:tc>
          <w:tcPr>
            <w:tcW w:w="1170" w:type="dxa"/>
          </w:tcPr>
          <w:p w14:paraId="708F734F" w14:textId="1B492F64" w:rsidR="00147D7D" w:rsidRPr="00A67B2B" w:rsidRDefault="00147D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3C.10</w:t>
            </w:r>
          </w:p>
        </w:tc>
        <w:tc>
          <w:tcPr>
            <w:tcW w:w="1167" w:type="dxa"/>
          </w:tcPr>
          <w:p w14:paraId="4A478FF7" w14:textId="62304942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66AD0B8" w14:textId="71775146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AD60274" w14:textId="0975E4A4" w:rsidR="00147D7D" w:rsidRPr="00A67B2B" w:rsidRDefault="00147D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F28ED4A" w14:textId="38CB7CD0" w:rsidR="00147D7D" w:rsidRPr="00A67B2B" w:rsidRDefault="00BC71ED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BC71ED">
              <w:rPr>
                <w:rFonts w:ascii="Arial" w:hAnsi="Arial" w:cs="Arial"/>
                <w:sz w:val="20"/>
                <w:szCs w:val="20"/>
              </w:rPr>
              <w:t>NCUTCD generally agrees with 3C.10 as presented in the NPA, but recommends revising the Guidance statement discouraging high-visibility markings for diagonal crosswalks to an Option statement allowing this treatment.</w:t>
            </w:r>
          </w:p>
        </w:tc>
      </w:tr>
      <w:tr w:rsidR="00C4627D" w14:paraId="59005AFE" w14:textId="77777777" w:rsidTr="00FF21DF">
        <w:trPr>
          <w:cantSplit/>
        </w:trPr>
        <w:tc>
          <w:tcPr>
            <w:tcW w:w="1170" w:type="dxa"/>
          </w:tcPr>
          <w:p w14:paraId="744C82E9" w14:textId="499389A2" w:rsidR="00C4627D" w:rsidRDefault="00C4627D" w:rsidP="00147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3C-2</w:t>
            </w:r>
          </w:p>
        </w:tc>
        <w:tc>
          <w:tcPr>
            <w:tcW w:w="1167" w:type="dxa"/>
          </w:tcPr>
          <w:p w14:paraId="36471D48" w14:textId="5534A5E9" w:rsidR="00C4627D" w:rsidRDefault="00C462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13B17B7" w14:textId="2B2A9FA4" w:rsidR="00C4627D" w:rsidRDefault="00C462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309A90A" w14:textId="76385A68" w:rsidR="00C4627D" w:rsidRPr="00A67B2B" w:rsidRDefault="00C4627D" w:rsidP="00147D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6AB25" w14:textId="5F960BC9" w:rsidR="00C4627D" w:rsidRPr="00A67B2B" w:rsidRDefault="00C4627D" w:rsidP="00147D7D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>NCUTCD agrees with Figure 3C-2 as presented in the NPA.</w:t>
            </w:r>
          </w:p>
        </w:tc>
      </w:tr>
      <w:tr w:rsidR="00C4627D" w14:paraId="1BDB667B" w14:textId="77777777" w:rsidTr="00FF21DF">
        <w:trPr>
          <w:cantSplit/>
        </w:trPr>
        <w:tc>
          <w:tcPr>
            <w:tcW w:w="1170" w:type="dxa"/>
          </w:tcPr>
          <w:p w14:paraId="4D7ED540" w14:textId="43D4E7AD" w:rsidR="00C4627D" w:rsidRDefault="00C4627D" w:rsidP="00C462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3C.11</w:t>
            </w:r>
          </w:p>
        </w:tc>
        <w:tc>
          <w:tcPr>
            <w:tcW w:w="1167" w:type="dxa"/>
          </w:tcPr>
          <w:p w14:paraId="15C7E01A" w14:textId="59C8C265" w:rsidR="00C4627D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FED15D8" w14:textId="05D681C6" w:rsidR="00C4627D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56BD57D" w14:textId="113D3DAF" w:rsidR="00C4627D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4E9E3F8" w14:textId="395F2A7E" w:rsidR="00C4627D" w:rsidRPr="00BC71ED" w:rsidRDefault="00BC71ED" w:rsidP="00C4627D">
            <w:pPr>
              <w:rPr>
                <w:rFonts w:ascii="Arial" w:hAnsi="Arial" w:cs="Arial"/>
                <w:sz w:val="20"/>
                <w:szCs w:val="20"/>
              </w:rPr>
            </w:pPr>
            <w:r w:rsidRPr="00BC71ED">
              <w:rPr>
                <w:rFonts w:ascii="Arial" w:hAnsi="Arial" w:cs="Arial"/>
                <w:sz w:val="20"/>
                <w:szCs w:val="20"/>
              </w:rPr>
              <w:t>NCUTCD generally agrees with 3C.11 as presented in the NPA, but recommends changing the term “Diamond Interchanges with a Transposed Alignment Crossroad” to the commonly-used “Diverging Diamond Interchanges”.</w:t>
            </w:r>
          </w:p>
        </w:tc>
      </w:tr>
      <w:tr w:rsidR="00C4627D" w14:paraId="72084B99" w14:textId="77777777" w:rsidTr="00FF21DF">
        <w:trPr>
          <w:cantSplit/>
        </w:trPr>
        <w:tc>
          <w:tcPr>
            <w:tcW w:w="1170" w:type="dxa"/>
          </w:tcPr>
          <w:p w14:paraId="330C7B1B" w14:textId="45723B44" w:rsidR="00C4627D" w:rsidRPr="00A67B2B" w:rsidRDefault="00C4627D" w:rsidP="00C462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3C.12</w:t>
            </w:r>
          </w:p>
        </w:tc>
        <w:tc>
          <w:tcPr>
            <w:tcW w:w="1167" w:type="dxa"/>
          </w:tcPr>
          <w:p w14:paraId="00DB89F0" w14:textId="48EF6885" w:rsidR="00C4627D" w:rsidRPr="00A67B2B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1476879" w14:textId="7085D387" w:rsidR="00C4627D" w:rsidRPr="00A67B2B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B7FAAD9" w14:textId="74AB0053" w:rsidR="00C4627D" w:rsidRPr="00A67B2B" w:rsidRDefault="00C4627D" w:rsidP="00C46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BCA1158" w14:textId="1129A8A9" w:rsidR="00C4627D" w:rsidRPr="00A67B2B" w:rsidRDefault="00C4627D" w:rsidP="00C4627D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3C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6398F" w14:textId="77777777" w:rsidR="00A57236" w:rsidRDefault="00A57236" w:rsidP="00CA28CD">
      <w:pPr>
        <w:spacing w:after="0" w:line="240" w:lineRule="auto"/>
      </w:pPr>
      <w:r>
        <w:separator/>
      </w:r>
    </w:p>
  </w:endnote>
  <w:endnote w:type="continuationSeparator" w:id="0">
    <w:p w14:paraId="4F291728" w14:textId="77777777" w:rsidR="00A57236" w:rsidRDefault="00A57236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36A9" w14:textId="77777777" w:rsidR="00BC71ED" w:rsidRDefault="00BC7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8C34329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BC71ED">
      <w:rPr>
        <w:rFonts w:ascii="Arial" w:hAnsi="Arial" w:cs="Arial"/>
        <w:sz w:val="21"/>
        <w:szCs w:val="21"/>
      </w:rPr>
      <w:t>3C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27A91" w14:textId="77777777" w:rsidR="00BC71ED" w:rsidRDefault="00BC7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DDB89" w14:textId="77777777" w:rsidR="00A57236" w:rsidRDefault="00A57236" w:rsidP="00CA28CD">
      <w:pPr>
        <w:spacing w:after="0" w:line="240" w:lineRule="auto"/>
      </w:pPr>
      <w:r>
        <w:separator/>
      </w:r>
    </w:p>
  </w:footnote>
  <w:footnote w:type="continuationSeparator" w:id="0">
    <w:p w14:paraId="647F6FCB" w14:textId="77777777" w:rsidR="00A57236" w:rsidRDefault="00A57236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971A" w14:textId="77777777" w:rsidR="00BC71ED" w:rsidRDefault="00BC7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3EE1" w14:textId="77777777" w:rsidR="00BC71ED" w:rsidRDefault="00BC7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D65C6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F0B47"/>
    <w:rsid w:val="004F0FF0"/>
    <w:rsid w:val="00520AAA"/>
    <w:rsid w:val="00525497"/>
    <w:rsid w:val="00525FE6"/>
    <w:rsid w:val="00552921"/>
    <w:rsid w:val="00581350"/>
    <w:rsid w:val="005B694A"/>
    <w:rsid w:val="005C7F50"/>
    <w:rsid w:val="005D42D9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24502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57236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AF3DB7"/>
    <w:rsid w:val="00B014CB"/>
    <w:rsid w:val="00B05EF8"/>
    <w:rsid w:val="00B06C0A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1ED"/>
    <w:rsid w:val="00BC72C2"/>
    <w:rsid w:val="00BD7682"/>
    <w:rsid w:val="00C10529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B598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781a52b0-d0f4-44f0-98bb-0d102f5fd161" ContentTypeId="0x0101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108</cp:revision>
  <dcterms:created xsi:type="dcterms:W3CDTF">2021-05-07T19:07:00Z</dcterms:created>
  <dcterms:modified xsi:type="dcterms:W3CDTF">2021-05-10T13:17:00Z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