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FF21DF">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FF21DF" w14:paraId="728D6732" w14:textId="0756E885" w:rsidTr="00FF21DF">
        <w:trPr>
          <w:cantSplit/>
        </w:trPr>
        <w:tc>
          <w:tcPr>
            <w:tcW w:w="1170" w:type="dxa"/>
          </w:tcPr>
          <w:p w14:paraId="6AFCDF00" w14:textId="489E9274" w:rsidR="00FF21DF" w:rsidRPr="00A67B2B" w:rsidRDefault="00FF21DF" w:rsidP="00FF21DF">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FF21DF" w:rsidRPr="00A67B2B" w:rsidRDefault="00FF21DF" w:rsidP="00FF21DF">
            <w:pPr>
              <w:spacing w:line="259" w:lineRule="auto"/>
              <w:jc w:val="center"/>
              <w:rPr>
                <w:rFonts w:ascii="Arial" w:hAnsi="Arial" w:cs="Arial"/>
                <w:sz w:val="20"/>
                <w:szCs w:val="20"/>
              </w:rPr>
            </w:pPr>
          </w:p>
        </w:tc>
        <w:tc>
          <w:tcPr>
            <w:tcW w:w="1183" w:type="dxa"/>
          </w:tcPr>
          <w:p w14:paraId="6EB6B6BD" w14:textId="0CDAFBD7" w:rsidR="00FF21DF" w:rsidRPr="00A67B2B" w:rsidRDefault="00FF21DF" w:rsidP="00FF21DF">
            <w:pPr>
              <w:spacing w:line="259" w:lineRule="auto"/>
              <w:jc w:val="center"/>
              <w:rPr>
                <w:rFonts w:ascii="Arial" w:hAnsi="Arial" w:cs="Arial"/>
                <w:sz w:val="20"/>
                <w:szCs w:val="20"/>
              </w:rPr>
            </w:pPr>
          </w:p>
        </w:tc>
        <w:tc>
          <w:tcPr>
            <w:tcW w:w="1017" w:type="dxa"/>
          </w:tcPr>
          <w:p w14:paraId="50A51550" w14:textId="19C099DA" w:rsidR="00FF21DF" w:rsidRPr="00A67B2B" w:rsidRDefault="00FF21DF" w:rsidP="00FF21DF">
            <w:pPr>
              <w:spacing w:line="259" w:lineRule="auto"/>
              <w:jc w:val="center"/>
              <w:rPr>
                <w:rFonts w:ascii="Arial" w:hAnsi="Arial" w:cs="Arial"/>
                <w:sz w:val="20"/>
                <w:szCs w:val="20"/>
              </w:rPr>
            </w:pPr>
          </w:p>
        </w:tc>
        <w:tc>
          <w:tcPr>
            <w:tcW w:w="6263" w:type="dxa"/>
          </w:tcPr>
          <w:p w14:paraId="2C22E9F2" w14:textId="06653533" w:rsidR="00FF21DF" w:rsidRPr="00A67B2B" w:rsidRDefault="00FF21DF" w:rsidP="00FF21DF">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E13E4A" w14:paraId="524DC9D1" w14:textId="77777777" w:rsidTr="00FF21DF">
        <w:trPr>
          <w:cantSplit/>
        </w:trPr>
        <w:tc>
          <w:tcPr>
            <w:tcW w:w="1170" w:type="dxa"/>
          </w:tcPr>
          <w:p w14:paraId="709E86A1" w14:textId="15BAF099" w:rsidR="00E13E4A" w:rsidRDefault="00E13E4A" w:rsidP="00E13E4A">
            <w:pPr>
              <w:rPr>
                <w:rFonts w:ascii="Arial" w:hAnsi="Arial" w:cs="Arial"/>
                <w:sz w:val="20"/>
                <w:szCs w:val="20"/>
              </w:rPr>
            </w:pPr>
            <w:r>
              <w:rPr>
                <w:rFonts w:ascii="Arial" w:hAnsi="Arial" w:cs="Arial"/>
                <w:sz w:val="20"/>
                <w:szCs w:val="20"/>
              </w:rPr>
              <w:t>3B.01</w:t>
            </w:r>
          </w:p>
        </w:tc>
        <w:tc>
          <w:tcPr>
            <w:tcW w:w="1167" w:type="dxa"/>
          </w:tcPr>
          <w:p w14:paraId="0C9FC57A" w14:textId="11A3CBE6" w:rsidR="00E13E4A" w:rsidRPr="00A67B2B" w:rsidRDefault="00E13E4A" w:rsidP="00E13E4A">
            <w:pPr>
              <w:jc w:val="center"/>
              <w:rPr>
                <w:rFonts w:ascii="Arial" w:hAnsi="Arial" w:cs="Arial"/>
                <w:sz w:val="20"/>
                <w:szCs w:val="20"/>
              </w:rPr>
            </w:pPr>
            <w:r w:rsidRPr="00A67B2B">
              <w:rPr>
                <w:rFonts w:ascii="Arial" w:hAnsi="Arial" w:cs="Arial"/>
                <w:sz w:val="20"/>
                <w:szCs w:val="20"/>
              </w:rPr>
              <w:t>YES</w:t>
            </w:r>
          </w:p>
        </w:tc>
        <w:tc>
          <w:tcPr>
            <w:tcW w:w="1183" w:type="dxa"/>
          </w:tcPr>
          <w:p w14:paraId="68679DE1" w14:textId="53D20441" w:rsidR="00E13E4A" w:rsidRPr="00A67B2B" w:rsidRDefault="00E13E4A" w:rsidP="00E13E4A">
            <w:pPr>
              <w:jc w:val="center"/>
              <w:rPr>
                <w:rFonts w:ascii="Arial" w:hAnsi="Arial" w:cs="Arial"/>
                <w:sz w:val="20"/>
                <w:szCs w:val="20"/>
              </w:rPr>
            </w:pPr>
            <w:r w:rsidRPr="00A67B2B">
              <w:rPr>
                <w:rFonts w:ascii="Arial" w:hAnsi="Arial" w:cs="Arial"/>
                <w:sz w:val="20"/>
                <w:szCs w:val="20"/>
              </w:rPr>
              <w:t>N/A</w:t>
            </w:r>
          </w:p>
        </w:tc>
        <w:tc>
          <w:tcPr>
            <w:tcW w:w="1017" w:type="dxa"/>
          </w:tcPr>
          <w:p w14:paraId="6A20A24B" w14:textId="3AFA1951" w:rsidR="00E13E4A" w:rsidRPr="00A67B2B" w:rsidRDefault="00E13E4A" w:rsidP="00E13E4A">
            <w:pPr>
              <w:jc w:val="center"/>
              <w:rPr>
                <w:rFonts w:ascii="Arial" w:hAnsi="Arial" w:cs="Arial"/>
                <w:sz w:val="20"/>
                <w:szCs w:val="20"/>
              </w:rPr>
            </w:pPr>
            <w:r w:rsidRPr="00A67B2B">
              <w:rPr>
                <w:rFonts w:ascii="Arial" w:hAnsi="Arial" w:cs="Arial"/>
                <w:sz w:val="20"/>
                <w:szCs w:val="20"/>
              </w:rPr>
              <w:t>N/A</w:t>
            </w:r>
          </w:p>
        </w:tc>
        <w:tc>
          <w:tcPr>
            <w:tcW w:w="6263" w:type="dxa"/>
          </w:tcPr>
          <w:p w14:paraId="00FF041F" w14:textId="448CABEC" w:rsidR="00E13E4A" w:rsidRPr="0008285B" w:rsidRDefault="00E13E4A" w:rsidP="00E13E4A">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w:t>
            </w:r>
            <w:r w:rsidR="00FA4263">
              <w:rPr>
                <w:rFonts w:ascii="Arial" w:hAnsi="Arial" w:cs="Arial"/>
                <w:sz w:val="20"/>
                <w:szCs w:val="20"/>
              </w:rPr>
              <w:t>B</w:t>
            </w:r>
            <w:r w:rsidRPr="0008285B">
              <w:rPr>
                <w:rFonts w:ascii="Arial" w:hAnsi="Arial" w:cs="Arial"/>
                <w:sz w:val="20"/>
                <w:szCs w:val="20"/>
              </w:rPr>
              <w:t>.</w:t>
            </w:r>
            <w:r>
              <w:rPr>
                <w:rFonts w:ascii="Arial" w:hAnsi="Arial" w:cs="Arial"/>
                <w:sz w:val="20"/>
                <w:szCs w:val="20"/>
              </w:rPr>
              <w:t>0</w:t>
            </w:r>
            <w:r w:rsidR="00FA4263">
              <w:rPr>
                <w:rFonts w:ascii="Arial" w:hAnsi="Arial" w:cs="Arial"/>
                <w:sz w:val="20"/>
                <w:szCs w:val="20"/>
              </w:rPr>
              <w:t>1</w:t>
            </w:r>
            <w:r w:rsidRPr="0008285B">
              <w:rPr>
                <w:rFonts w:ascii="Arial" w:hAnsi="Arial" w:cs="Arial"/>
                <w:sz w:val="20"/>
                <w:szCs w:val="20"/>
              </w:rPr>
              <w:t xml:space="preserve"> as presented in the NPA.</w:t>
            </w:r>
          </w:p>
        </w:tc>
      </w:tr>
      <w:tr w:rsidR="00621514" w14:paraId="3DB464D2" w14:textId="77777777" w:rsidTr="00FF21DF">
        <w:trPr>
          <w:cantSplit/>
        </w:trPr>
        <w:tc>
          <w:tcPr>
            <w:tcW w:w="1170" w:type="dxa"/>
          </w:tcPr>
          <w:p w14:paraId="123BB5E7" w14:textId="7120A4BD" w:rsidR="00621514" w:rsidRDefault="00621514" w:rsidP="00621514">
            <w:pPr>
              <w:rPr>
                <w:rFonts w:ascii="Arial" w:hAnsi="Arial" w:cs="Arial"/>
                <w:sz w:val="20"/>
                <w:szCs w:val="20"/>
              </w:rPr>
            </w:pPr>
            <w:r>
              <w:rPr>
                <w:rFonts w:ascii="Arial" w:hAnsi="Arial" w:cs="Arial"/>
                <w:sz w:val="20"/>
                <w:szCs w:val="20"/>
              </w:rPr>
              <w:t>Figure 3B-1</w:t>
            </w:r>
          </w:p>
        </w:tc>
        <w:tc>
          <w:tcPr>
            <w:tcW w:w="1167" w:type="dxa"/>
          </w:tcPr>
          <w:p w14:paraId="17BE249B" w14:textId="6B7E0E2F" w:rsidR="00621514" w:rsidRPr="00A67B2B" w:rsidRDefault="00621514" w:rsidP="00621514">
            <w:pPr>
              <w:jc w:val="center"/>
              <w:rPr>
                <w:rFonts w:ascii="Arial" w:hAnsi="Arial" w:cs="Arial"/>
                <w:sz w:val="20"/>
                <w:szCs w:val="20"/>
              </w:rPr>
            </w:pPr>
            <w:r>
              <w:rPr>
                <w:rFonts w:ascii="Arial" w:hAnsi="Arial" w:cs="Arial"/>
                <w:sz w:val="20"/>
                <w:szCs w:val="20"/>
              </w:rPr>
              <w:t>YES</w:t>
            </w:r>
          </w:p>
        </w:tc>
        <w:tc>
          <w:tcPr>
            <w:tcW w:w="1183" w:type="dxa"/>
          </w:tcPr>
          <w:p w14:paraId="748EFEEF" w14:textId="5DF3131D" w:rsidR="00621514" w:rsidRPr="00A67B2B" w:rsidRDefault="00621514" w:rsidP="00621514">
            <w:pPr>
              <w:jc w:val="center"/>
              <w:rPr>
                <w:rFonts w:ascii="Arial" w:hAnsi="Arial" w:cs="Arial"/>
                <w:sz w:val="20"/>
                <w:szCs w:val="20"/>
              </w:rPr>
            </w:pPr>
            <w:r>
              <w:rPr>
                <w:rFonts w:ascii="Arial" w:hAnsi="Arial" w:cs="Arial"/>
                <w:sz w:val="20"/>
                <w:szCs w:val="20"/>
              </w:rPr>
              <w:t>N/A</w:t>
            </w:r>
          </w:p>
        </w:tc>
        <w:tc>
          <w:tcPr>
            <w:tcW w:w="1017" w:type="dxa"/>
          </w:tcPr>
          <w:p w14:paraId="2CD7129B" w14:textId="51312B0E" w:rsidR="00621514" w:rsidRPr="00A67B2B" w:rsidRDefault="00621514" w:rsidP="00621514">
            <w:pPr>
              <w:jc w:val="center"/>
              <w:rPr>
                <w:rFonts w:ascii="Arial" w:hAnsi="Arial" w:cs="Arial"/>
                <w:sz w:val="20"/>
                <w:szCs w:val="20"/>
              </w:rPr>
            </w:pPr>
            <w:r>
              <w:rPr>
                <w:rFonts w:ascii="Arial" w:hAnsi="Arial" w:cs="Arial"/>
                <w:sz w:val="20"/>
                <w:szCs w:val="20"/>
              </w:rPr>
              <w:t>N/A</w:t>
            </w:r>
          </w:p>
        </w:tc>
        <w:tc>
          <w:tcPr>
            <w:tcW w:w="6263" w:type="dxa"/>
          </w:tcPr>
          <w:p w14:paraId="51F1A0D8" w14:textId="3DAE19BE" w:rsidR="00621514" w:rsidRPr="0008285B" w:rsidRDefault="00621514" w:rsidP="00621514">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1</w:t>
            </w:r>
            <w:r w:rsidRPr="00C4627D">
              <w:rPr>
                <w:rFonts w:ascii="Arial" w:hAnsi="Arial" w:cs="Arial"/>
                <w:sz w:val="20"/>
                <w:szCs w:val="20"/>
              </w:rPr>
              <w:t xml:space="preserve"> as presented in the NPA.</w:t>
            </w:r>
          </w:p>
        </w:tc>
      </w:tr>
      <w:tr w:rsidR="00C678C6" w14:paraId="76A96837" w14:textId="77777777" w:rsidTr="00FF21DF">
        <w:trPr>
          <w:cantSplit/>
        </w:trPr>
        <w:tc>
          <w:tcPr>
            <w:tcW w:w="1170" w:type="dxa"/>
          </w:tcPr>
          <w:p w14:paraId="2A59A592" w14:textId="1280B615" w:rsidR="00C678C6" w:rsidRDefault="00C678C6" w:rsidP="00C678C6">
            <w:pPr>
              <w:rPr>
                <w:rFonts w:ascii="Arial" w:hAnsi="Arial" w:cs="Arial"/>
                <w:sz w:val="20"/>
                <w:szCs w:val="20"/>
              </w:rPr>
            </w:pPr>
            <w:r>
              <w:rPr>
                <w:rFonts w:ascii="Arial" w:hAnsi="Arial" w:cs="Arial"/>
                <w:sz w:val="20"/>
                <w:szCs w:val="20"/>
              </w:rPr>
              <w:t>Figure 3B-2</w:t>
            </w:r>
          </w:p>
        </w:tc>
        <w:tc>
          <w:tcPr>
            <w:tcW w:w="1167" w:type="dxa"/>
          </w:tcPr>
          <w:p w14:paraId="4C319519" w14:textId="2BBE050B"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2531CFBA" w14:textId="33D4424D"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02FADEC7" w14:textId="71004C80"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6D41215A" w14:textId="50D18D43" w:rsidR="00C678C6" w:rsidRPr="0008285B" w:rsidRDefault="00C678C6" w:rsidP="00C678C6">
            <w:pPr>
              <w:rPr>
                <w:rFonts w:ascii="Arial" w:hAnsi="Arial" w:cs="Arial"/>
                <w:sz w:val="20"/>
                <w:szCs w:val="20"/>
              </w:rPr>
            </w:pPr>
            <w:r w:rsidRPr="00C678C6">
              <w:rPr>
                <w:rFonts w:ascii="Arial" w:hAnsi="Arial" w:cs="Arial"/>
                <w:sz w:val="20"/>
                <w:szCs w:val="20"/>
              </w:rPr>
              <w:t>NCUTCD generally agrees with Figure 3B-2</w:t>
            </w:r>
            <w:r w:rsidR="00F317FD">
              <w:rPr>
                <w:rFonts w:ascii="Arial" w:hAnsi="Arial" w:cs="Arial"/>
                <w:sz w:val="20"/>
                <w:szCs w:val="20"/>
              </w:rPr>
              <w:t xml:space="preserve"> as presented in the NPA,</w:t>
            </w:r>
            <w:r w:rsidRPr="00C678C6">
              <w:rPr>
                <w:rFonts w:ascii="Arial" w:hAnsi="Arial" w:cs="Arial"/>
                <w:sz w:val="20"/>
                <w:szCs w:val="20"/>
              </w:rPr>
              <w:t xml:space="preserve"> but recommends changing diagonal markings from “recommended” to “optional” to be consistent with NCUTCD recommendations to Section 3B.25.</w:t>
            </w:r>
          </w:p>
        </w:tc>
      </w:tr>
      <w:tr w:rsidR="00C678C6" w14:paraId="4FDB5482" w14:textId="77777777" w:rsidTr="00FF21DF">
        <w:trPr>
          <w:cantSplit/>
        </w:trPr>
        <w:tc>
          <w:tcPr>
            <w:tcW w:w="1170" w:type="dxa"/>
          </w:tcPr>
          <w:p w14:paraId="43572109" w14:textId="37E57A10" w:rsidR="00C678C6" w:rsidRDefault="00C678C6" w:rsidP="00C678C6">
            <w:pPr>
              <w:rPr>
                <w:rFonts w:ascii="Arial" w:hAnsi="Arial" w:cs="Arial"/>
                <w:sz w:val="20"/>
                <w:szCs w:val="20"/>
              </w:rPr>
            </w:pPr>
            <w:r>
              <w:rPr>
                <w:rFonts w:ascii="Arial" w:hAnsi="Arial" w:cs="Arial"/>
                <w:sz w:val="20"/>
                <w:szCs w:val="20"/>
              </w:rPr>
              <w:t>Figure 3B-3</w:t>
            </w:r>
          </w:p>
        </w:tc>
        <w:tc>
          <w:tcPr>
            <w:tcW w:w="1167" w:type="dxa"/>
          </w:tcPr>
          <w:p w14:paraId="009B3043" w14:textId="6D7D6465"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5C973395" w14:textId="7E817577"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2FA2D2A4" w14:textId="47846352"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1477B805" w14:textId="12CEA099"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3</w:t>
            </w:r>
            <w:r w:rsidRPr="00C4627D">
              <w:rPr>
                <w:rFonts w:ascii="Arial" w:hAnsi="Arial" w:cs="Arial"/>
                <w:sz w:val="20"/>
                <w:szCs w:val="20"/>
              </w:rPr>
              <w:t xml:space="preserve"> as presented in the NPA.</w:t>
            </w:r>
          </w:p>
        </w:tc>
      </w:tr>
      <w:tr w:rsidR="00C678C6" w14:paraId="0240BDCE" w14:textId="77777777" w:rsidTr="00FF21DF">
        <w:trPr>
          <w:cantSplit/>
        </w:trPr>
        <w:tc>
          <w:tcPr>
            <w:tcW w:w="1170" w:type="dxa"/>
          </w:tcPr>
          <w:p w14:paraId="3453E79D" w14:textId="2CCF9F23" w:rsidR="00C678C6" w:rsidRDefault="00C678C6" w:rsidP="00C678C6">
            <w:pPr>
              <w:rPr>
                <w:rFonts w:ascii="Arial" w:hAnsi="Arial" w:cs="Arial"/>
                <w:sz w:val="20"/>
                <w:szCs w:val="20"/>
              </w:rPr>
            </w:pPr>
            <w:r>
              <w:rPr>
                <w:rFonts w:ascii="Arial" w:hAnsi="Arial" w:cs="Arial"/>
                <w:sz w:val="20"/>
                <w:szCs w:val="20"/>
              </w:rPr>
              <w:t>3B.02</w:t>
            </w:r>
          </w:p>
        </w:tc>
        <w:tc>
          <w:tcPr>
            <w:tcW w:w="1167" w:type="dxa"/>
          </w:tcPr>
          <w:p w14:paraId="11E94775" w14:textId="538622DA"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3D6709AD" w14:textId="5BF3F596"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34EB1833" w14:textId="39216704"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3A0C3B03" w14:textId="36E1711B"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02</w:t>
            </w:r>
            <w:r w:rsidRPr="0008285B">
              <w:rPr>
                <w:rFonts w:ascii="Arial" w:hAnsi="Arial" w:cs="Arial"/>
                <w:sz w:val="20"/>
                <w:szCs w:val="20"/>
              </w:rPr>
              <w:t xml:space="preserve"> as presented in the NPA.</w:t>
            </w:r>
          </w:p>
        </w:tc>
      </w:tr>
      <w:tr w:rsidR="00C678C6" w14:paraId="50BF8957" w14:textId="77777777" w:rsidTr="00FF21DF">
        <w:trPr>
          <w:cantSplit/>
        </w:trPr>
        <w:tc>
          <w:tcPr>
            <w:tcW w:w="1170" w:type="dxa"/>
          </w:tcPr>
          <w:p w14:paraId="5046AB0A" w14:textId="360826A6" w:rsidR="00C678C6" w:rsidRDefault="00C678C6" w:rsidP="00C678C6">
            <w:pPr>
              <w:rPr>
                <w:rFonts w:ascii="Arial" w:hAnsi="Arial" w:cs="Arial"/>
                <w:sz w:val="20"/>
                <w:szCs w:val="20"/>
              </w:rPr>
            </w:pPr>
            <w:r>
              <w:rPr>
                <w:rFonts w:ascii="Arial" w:hAnsi="Arial" w:cs="Arial"/>
                <w:sz w:val="20"/>
                <w:szCs w:val="20"/>
              </w:rPr>
              <w:t>3B.03</w:t>
            </w:r>
          </w:p>
        </w:tc>
        <w:tc>
          <w:tcPr>
            <w:tcW w:w="1167" w:type="dxa"/>
          </w:tcPr>
          <w:p w14:paraId="421C7A45" w14:textId="7258E4B2"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598B8886" w14:textId="574A7D58"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59016641" w14:textId="5FB77C66"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25BCA2D5" w14:textId="6F9B4333"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03</w:t>
            </w:r>
            <w:r w:rsidRPr="0008285B">
              <w:rPr>
                <w:rFonts w:ascii="Arial" w:hAnsi="Arial" w:cs="Arial"/>
                <w:sz w:val="20"/>
                <w:szCs w:val="20"/>
              </w:rPr>
              <w:t xml:space="preserve"> as presented in the NPA.</w:t>
            </w:r>
          </w:p>
        </w:tc>
      </w:tr>
      <w:tr w:rsidR="00C678C6" w14:paraId="778383D5" w14:textId="77777777" w:rsidTr="00FF21DF">
        <w:trPr>
          <w:cantSplit/>
        </w:trPr>
        <w:tc>
          <w:tcPr>
            <w:tcW w:w="1170" w:type="dxa"/>
          </w:tcPr>
          <w:p w14:paraId="662D6677" w14:textId="3841E8B1" w:rsidR="00C678C6" w:rsidRDefault="00C678C6" w:rsidP="00C678C6">
            <w:pPr>
              <w:rPr>
                <w:rFonts w:ascii="Arial" w:hAnsi="Arial" w:cs="Arial"/>
                <w:sz w:val="20"/>
                <w:szCs w:val="20"/>
              </w:rPr>
            </w:pPr>
            <w:r>
              <w:rPr>
                <w:rFonts w:ascii="Arial" w:hAnsi="Arial" w:cs="Arial"/>
                <w:sz w:val="20"/>
                <w:szCs w:val="20"/>
              </w:rPr>
              <w:t>Table 3B-1</w:t>
            </w:r>
          </w:p>
        </w:tc>
        <w:tc>
          <w:tcPr>
            <w:tcW w:w="1167" w:type="dxa"/>
          </w:tcPr>
          <w:p w14:paraId="76C0C78E" w14:textId="362F6A22"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5CB49B1B" w14:textId="54077876"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17AF32DA" w14:textId="3DA5261A"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373E9915" w14:textId="098A7F90" w:rsidR="00C678C6" w:rsidRPr="0008285B" w:rsidRDefault="00C678C6" w:rsidP="00C678C6">
            <w:pPr>
              <w:rPr>
                <w:rFonts w:ascii="Arial" w:hAnsi="Arial" w:cs="Arial"/>
                <w:sz w:val="20"/>
                <w:szCs w:val="20"/>
              </w:rPr>
            </w:pPr>
            <w:r w:rsidRPr="005F5C26">
              <w:rPr>
                <w:rFonts w:ascii="Arial" w:hAnsi="Arial" w:cs="Arial"/>
                <w:sz w:val="20"/>
                <w:szCs w:val="20"/>
              </w:rPr>
              <w:t>NCUTCD generally agrees with Table 3B-1</w:t>
            </w:r>
            <w:r w:rsidR="00F317FD">
              <w:rPr>
                <w:rFonts w:ascii="Arial" w:hAnsi="Arial" w:cs="Arial"/>
                <w:sz w:val="20"/>
                <w:szCs w:val="20"/>
              </w:rPr>
              <w:t xml:space="preserve"> as presented in the NPA,</w:t>
            </w:r>
            <w:r w:rsidRPr="005F5C26">
              <w:rPr>
                <w:rFonts w:ascii="Arial" w:hAnsi="Arial" w:cs="Arial"/>
                <w:sz w:val="20"/>
                <w:szCs w:val="20"/>
              </w:rPr>
              <w:t xml:space="preserve"> but recommends removing “posted or statutory” for consistency.</w:t>
            </w:r>
          </w:p>
        </w:tc>
      </w:tr>
      <w:tr w:rsidR="00C678C6" w14:paraId="25724170" w14:textId="77777777" w:rsidTr="00FF21DF">
        <w:trPr>
          <w:cantSplit/>
        </w:trPr>
        <w:tc>
          <w:tcPr>
            <w:tcW w:w="1170" w:type="dxa"/>
          </w:tcPr>
          <w:p w14:paraId="20D61CEB" w14:textId="57E0576C" w:rsidR="00C678C6" w:rsidRDefault="00C678C6" w:rsidP="00C678C6">
            <w:pPr>
              <w:rPr>
                <w:rFonts w:ascii="Arial" w:hAnsi="Arial" w:cs="Arial"/>
                <w:sz w:val="20"/>
                <w:szCs w:val="20"/>
              </w:rPr>
            </w:pPr>
            <w:r>
              <w:rPr>
                <w:rFonts w:ascii="Arial" w:hAnsi="Arial" w:cs="Arial"/>
                <w:sz w:val="20"/>
                <w:szCs w:val="20"/>
              </w:rPr>
              <w:t>Figure 3B-4</w:t>
            </w:r>
          </w:p>
        </w:tc>
        <w:tc>
          <w:tcPr>
            <w:tcW w:w="1167" w:type="dxa"/>
          </w:tcPr>
          <w:p w14:paraId="512021B6" w14:textId="1979A41E"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58BA21C0" w14:textId="6A99D5BB"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77ADAC65" w14:textId="2AA96809"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5CBBA33D" w14:textId="14408050" w:rsidR="00C678C6" w:rsidRPr="0008285B" w:rsidRDefault="00C678C6" w:rsidP="00C678C6">
            <w:pPr>
              <w:rPr>
                <w:rFonts w:ascii="Arial" w:hAnsi="Arial" w:cs="Arial"/>
                <w:sz w:val="20"/>
                <w:szCs w:val="20"/>
              </w:rPr>
            </w:pPr>
            <w:r w:rsidRPr="00532A8A">
              <w:rPr>
                <w:rFonts w:ascii="Arial" w:hAnsi="Arial" w:cs="Arial"/>
                <w:sz w:val="20"/>
                <w:szCs w:val="20"/>
              </w:rPr>
              <w:t xml:space="preserve">NCUTCD generally agrees with Figure 3B-4 </w:t>
            </w:r>
            <w:r w:rsidR="00F317FD">
              <w:rPr>
                <w:rFonts w:ascii="Arial" w:hAnsi="Arial" w:cs="Arial"/>
                <w:sz w:val="20"/>
                <w:szCs w:val="20"/>
              </w:rPr>
              <w:t>as presented in the NPA,</w:t>
            </w:r>
            <w:r w:rsidR="00F317FD">
              <w:rPr>
                <w:rFonts w:ascii="Arial" w:hAnsi="Arial" w:cs="Arial"/>
                <w:sz w:val="20"/>
                <w:szCs w:val="20"/>
              </w:rPr>
              <w:t xml:space="preserve"> </w:t>
            </w:r>
            <w:r w:rsidRPr="00532A8A">
              <w:rPr>
                <w:rFonts w:ascii="Arial" w:hAnsi="Arial" w:cs="Arial"/>
                <w:sz w:val="20"/>
                <w:szCs w:val="20"/>
              </w:rPr>
              <w:t xml:space="preserve">but recommends replacing “posted or statutory speed” with “speed limit” </w:t>
            </w:r>
            <w:r w:rsidR="00F317FD">
              <w:rPr>
                <w:rFonts w:ascii="Arial" w:hAnsi="Arial" w:cs="Arial"/>
                <w:sz w:val="20"/>
                <w:szCs w:val="20"/>
              </w:rPr>
              <w:t>for</w:t>
            </w:r>
            <w:r w:rsidRPr="00532A8A">
              <w:rPr>
                <w:rFonts w:ascii="Arial" w:hAnsi="Arial" w:cs="Arial"/>
                <w:sz w:val="20"/>
                <w:szCs w:val="20"/>
              </w:rPr>
              <w:t xml:space="preserve"> both </w:t>
            </w:r>
            <w:r w:rsidR="00F317FD">
              <w:rPr>
                <w:rFonts w:ascii="Arial" w:hAnsi="Arial" w:cs="Arial"/>
                <w:sz w:val="20"/>
                <w:szCs w:val="20"/>
              </w:rPr>
              <w:t>examples</w:t>
            </w:r>
            <w:r w:rsidRPr="00532A8A">
              <w:rPr>
                <w:rFonts w:ascii="Arial" w:hAnsi="Arial" w:cs="Arial"/>
                <w:sz w:val="20"/>
                <w:szCs w:val="20"/>
              </w:rPr>
              <w:t>.</w:t>
            </w:r>
          </w:p>
        </w:tc>
      </w:tr>
      <w:tr w:rsidR="00C678C6" w14:paraId="16D63E85" w14:textId="77777777" w:rsidTr="00FF21DF">
        <w:trPr>
          <w:cantSplit/>
        </w:trPr>
        <w:tc>
          <w:tcPr>
            <w:tcW w:w="1170" w:type="dxa"/>
          </w:tcPr>
          <w:p w14:paraId="12F8BD23" w14:textId="5F53BEB9" w:rsidR="00C678C6" w:rsidRDefault="00C678C6" w:rsidP="00C678C6">
            <w:pPr>
              <w:rPr>
                <w:rFonts w:ascii="Arial" w:hAnsi="Arial" w:cs="Arial"/>
                <w:sz w:val="20"/>
                <w:szCs w:val="20"/>
              </w:rPr>
            </w:pPr>
            <w:r>
              <w:rPr>
                <w:rFonts w:ascii="Arial" w:hAnsi="Arial" w:cs="Arial"/>
                <w:sz w:val="20"/>
                <w:szCs w:val="20"/>
              </w:rPr>
              <w:t>Figure 3B-5</w:t>
            </w:r>
          </w:p>
        </w:tc>
        <w:tc>
          <w:tcPr>
            <w:tcW w:w="1167" w:type="dxa"/>
          </w:tcPr>
          <w:p w14:paraId="6B7C9139" w14:textId="3365550B"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24DC29AD" w14:textId="517C59B7"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2D378FF7" w14:textId="2A8AAFB4"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479AC076" w14:textId="24DEF2F8" w:rsidR="00C678C6" w:rsidRPr="0008285B" w:rsidRDefault="00C678C6" w:rsidP="00C678C6">
            <w:pPr>
              <w:rPr>
                <w:rFonts w:ascii="Arial" w:hAnsi="Arial" w:cs="Arial"/>
                <w:sz w:val="20"/>
                <w:szCs w:val="20"/>
              </w:rPr>
            </w:pPr>
            <w:r w:rsidRPr="00B30F9B">
              <w:rPr>
                <w:rFonts w:ascii="Arial" w:hAnsi="Arial" w:cs="Arial"/>
                <w:sz w:val="20"/>
                <w:szCs w:val="20"/>
              </w:rPr>
              <w:t xml:space="preserve">NCUTCD generally agrees with Figure 3B-5 </w:t>
            </w:r>
            <w:r w:rsidR="00F317FD">
              <w:rPr>
                <w:rFonts w:ascii="Arial" w:hAnsi="Arial" w:cs="Arial"/>
                <w:sz w:val="20"/>
                <w:szCs w:val="20"/>
              </w:rPr>
              <w:t>as presented in the NPA,</w:t>
            </w:r>
            <w:r w:rsidR="00F317FD">
              <w:rPr>
                <w:rFonts w:ascii="Arial" w:hAnsi="Arial" w:cs="Arial"/>
                <w:sz w:val="20"/>
                <w:szCs w:val="20"/>
              </w:rPr>
              <w:t xml:space="preserve"> </w:t>
            </w:r>
            <w:r w:rsidRPr="00B30F9B">
              <w:rPr>
                <w:rFonts w:ascii="Arial" w:hAnsi="Arial" w:cs="Arial"/>
                <w:sz w:val="20"/>
                <w:szCs w:val="20"/>
              </w:rPr>
              <w:t>but recommends changing diagonal markings from “recommended” to “optional” to be consistent with NCUTCD recommendations to Section 3B.25.</w:t>
            </w:r>
          </w:p>
        </w:tc>
      </w:tr>
      <w:tr w:rsidR="00C678C6" w14:paraId="0FFECE46" w14:textId="77777777" w:rsidTr="00FF21DF">
        <w:trPr>
          <w:cantSplit/>
        </w:trPr>
        <w:tc>
          <w:tcPr>
            <w:tcW w:w="1170" w:type="dxa"/>
          </w:tcPr>
          <w:p w14:paraId="76605714" w14:textId="5D2CD5B9" w:rsidR="00C678C6" w:rsidRDefault="00C678C6" w:rsidP="00C678C6">
            <w:pPr>
              <w:rPr>
                <w:rFonts w:ascii="Arial" w:hAnsi="Arial" w:cs="Arial"/>
                <w:sz w:val="20"/>
                <w:szCs w:val="20"/>
              </w:rPr>
            </w:pPr>
            <w:r>
              <w:rPr>
                <w:rFonts w:ascii="Arial" w:hAnsi="Arial" w:cs="Arial"/>
                <w:sz w:val="20"/>
                <w:szCs w:val="20"/>
              </w:rPr>
              <w:t>3B.04</w:t>
            </w:r>
          </w:p>
        </w:tc>
        <w:tc>
          <w:tcPr>
            <w:tcW w:w="1167" w:type="dxa"/>
          </w:tcPr>
          <w:p w14:paraId="68F99ED0" w14:textId="38528C85"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4B4E77D7" w14:textId="51E58B5A"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1C584AA0" w14:textId="6E1FEF02"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02339599" w14:textId="6803AF09"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04</w:t>
            </w:r>
            <w:r w:rsidRPr="0008285B">
              <w:rPr>
                <w:rFonts w:ascii="Arial" w:hAnsi="Arial" w:cs="Arial"/>
                <w:sz w:val="20"/>
                <w:szCs w:val="20"/>
              </w:rPr>
              <w:t xml:space="preserve"> as presented in the NPA.</w:t>
            </w:r>
          </w:p>
        </w:tc>
      </w:tr>
      <w:tr w:rsidR="00C678C6" w14:paraId="43054FC1" w14:textId="77777777" w:rsidTr="00FF21DF">
        <w:trPr>
          <w:cantSplit/>
        </w:trPr>
        <w:tc>
          <w:tcPr>
            <w:tcW w:w="1170" w:type="dxa"/>
          </w:tcPr>
          <w:p w14:paraId="5B5CFC0B" w14:textId="25D0D575" w:rsidR="00C678C6" w:rsidRDefault="00C678C6" w:rsidP="00C678C6">
            <w:pPr>
              <w:rPr>
                <w:rFonts w:ascii="Arial" w:hAnsi="Arial" w:cs="Arial"/>
                <w:sz w:val="20"/>
                <w:szCs w:val="20"/>
              </w:rPr>
            </w:pPr>
            <w:r>
              <w:rPr>
                <w:rFonts w:ascii="Arial" w:hAnsi="Arial" w:cs="Arial"/>
                <w:sz w:val="20"/>
                <w:szCs w:val="20"/>
              </w:rPr>
              <w:t>Figure 3B-6</w:t>
            </w:r>
          </w:p>
        </w:tc>
        <w:tc>
          <w:tcPr>
            <w:tcW w:w="1167" w:type="dxa"/>
          </w:tcPr>
          <w:p w14:paraId="193E0C23" w14:textId="2950635D"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7C6461E5" w14:textId="0C00B371"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320C7D76" w14:textId="11F0A290"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2435E7AB" w14:textId="555F47AA"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6</w:t>
            </w:r>
            <w:r w:rsidRPr="00C4627D">
              <w:rPr>
                <w:rFonts w:ascii="Arial" w:hAnsi="Arial" w:cs="Arial"/>
                <w:sz w:val="20"/>
                <w:szCs w:val="20"/>
              </w:rPr>
              <w:t xml:space="preserve"> as presented in the NPA.</w:t>
            </w:r>
          </w:p>
        </w:tc>
      </w:tr>
      <w:tr w:rsidR="00C678C6" w14:paraId="5EBBF01F" w14:textId="77777777" w:rsidTr="00FF21DF">
        <w:trPr>
          <w:cantSplit/>
        </w:trPr>
        <w:tc>
          <w:tcPr>
            <w:tcW w:w="1170" w:type="dxa"/>
          </w:tcPr>
          <w:p w14:paraId="70F16890" w14:textId="2C42F453" w:rsidR="00C678C6" w:rsidRDefault="00C678C6" w:rsidP="00C678C6">
            <w:pPr>
              <w:rPr>
                <w:rFonts w:ascii="Arial" w:hAnsi="Arial" w:cs="Arial"/>
                <w:sz w:val="20"/>
                <w:szCs w:val="20"/>
              </w:rPr>
            </w:pPr>
            <w:r>
              <w:rPr>
                <w:rFonts w:ascii="Arial" w:hAnsi="Arial" w:cs="Arial"/>
                <w:sz w:val="20"/>
                <w:szCs w:val="20"/>
              </w:rPr>
              <w:lastRenderedPageBreak/>
              <w:t>3B.05</w:t>
            </w:r>
          </w:p>
        </w:tc>
        <w:tc>
          <w:tcPr>
            <w:tcW w:w="1167" w:type="dxa"/>
          </w:tcPr>
          <w:p w14:paraId="78453F97" w14:textId="1D7AF1D9"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13A5779F" w14:textId="109CC2EA"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4DEADAAA" w14:textId="68EE3D82"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19A8EE76" w14:textId="77777777" w:rsidR="00C247CB" w:rsidRPr="00C247CB" w:rsidRDefault="00C247CB" w:rsidP="00C247CB">
            <w:pPr>
              <w:rPr>
                <w:rFonts w:ascii="Arial" w:hAnsi="Arial" w:cs="Arial"/>
                <w:sz w:val="20"/>
                <w:szCs w:val="20"/>
              </w:rPr>
            </w:pPr>
            <w:r w:rsidRPr="00C247CB">
              <w:rPr>
                <w:rFonts w:ascii="Arial" w:hAnsi="Arial" w:cs="Arial"/>
                <w:sz w:val="20"/>
                <w:szCs w:val="20"/>
              </w:rPr>
              <w:t>NCUTCD generally agrees with 3B.05 as presented in the NPA, but recommends revising as follows:</w:t>
            </w:r>
          </w:p>
          <w:p w14:paraId="00D0E708" w14:textId="3918748A" w:rsidR="00C247CB" w:rsidRPr="00C247CB" w:rsidRDefault="00C247CB" w:rsidP="00C247CB">
            <w:pPr>
              <w:pStyle w:val="ListParagraph"/>
              <w:numPr>
                <w:ilvl w:val="0"/>
                <w:numId w:val="4"/>
              </w:numPr>
              <w:rPr>
                <w:rFonts w:ascii="Arial" w:hAnsi="Arial" w:cs="Arial"/>
                <w:sz w:val="20"/>
                <w:szCs w:val="20"/>
              </w:rPr>
            </w:pPr>
            <w:r w:rsidRPr="00C247CB">
              <w:rPr>
                <w:rFonts w:ascii="Arial" w:hAnsi="Arial" w:cs="Arial"/>
                <w:sz w:val="20"/>
                <w:szCs w:val="20"/>
              </w:rPr>
              <w:t xml:space="preserve">Revise the second Guidance statement to note that the restriction on marking two-way left-turn lanes to intersections should apply specifically to signalized intersections. </w:t>
            </w:r>
          </w:p>
          <w:p w14:paraId="45D385AC" w14:textId="7A3BA886" w:rsidR="00C678C6" w:rsidRPr="00C247CB" w:rsidRDefault="00C247CB" w:rsidP="00C247CB">
            <w:pPr>
              <w:pStyle w:val="ListParagraph"/>
              <w:numPr>
                <w:ilvl w:val="0"/>
                <w:numId w:val="4"/>
              </w:numPr>
              <w:rPr>
                <w:rFonts w:ascii="Arial" w:hAnsi="Arial" w:cs="Arial"/>
                <w:sz w:val="20"/>
                <w:szCs w:val="20"/>
              </w:rPr>
            </w:pPr>
            <w:r w:rsidRPr="00C247CB">
              <w:rPr>
                <w:rFonts w:ascii="Arial" w:hAnsi="Arial" w:cs="Arial"/>
                <w:sz w:val="20"/>
                <w:szCs w:val="20"/>
              </w:rPr>
              <w:t>Revise the second Support statement to be consistent with Section 8A.06.</w:t>
            </w:r>
          </w:p>
        </w:tc>
      </w:tr>
      <w:tr w:rsidR="00C678C6" w14:paraId="0B4D3B4F" w14:textId="77777777" w:rsidTr="00FF21DF">
        <w:trPr>
          <w:cantSplit/>
        </w:trPr>
        <w:tc>
          <w:tcPr>
            <w:tcW w:w="1170" w:type="dxa"/>
          </w:tcPr>
          <w:p w14:paraId="3CCF9FA4" w14:textId="6FD871A8" w:rsidR="00C678C6" w:rsidRDefault="00C678C6" w:rsidP="00C678C6">
            <w:pPr>
              <w:rPr>
                <w:rFonts w:ascii="Arial" w:hAnsi="Arial" w:cs="Arial"/>
                <w:sz w:val="20"/>
                <w:szCs w:val="20"/>
              </w:rPr>
            </w:pPr>
            <w:r>
              <w:rPr>
                <w:rFonts w:ascii="Arial" w:hAnsi="Arial" w:cs="Arial"/>
                <w:sz w:val="20"/>
                <w:szCs w:val="20"/>
              </w:rPr>
              <w:t>Figure 3B-7</w:t>
            </w:r>
          </w:p>
        </w:tc>
        <w:tc>
          <w:tcPr>
            <w:tcW w:w="1167" w:type="dxa"/>
          </w:tcPr>
          <w:p w14:paraId="042C1A8B" w14:textId="16BA8E67"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2B02F04F" w14:textId="0DF5C7A8"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2AC9C7D0" w14:textId="28F94163"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1A034A7C" w14:textId="584207E8" w:rsidR="00C678C6" w:rsidRPr="0008285B" w:rsidRDefault="00C678C6" w:rsidP="00C678C6">
            <w:pPr>
              <w:rPr>
                <w:rFonts w:ascii="Arial" w:hAnsi="Arial" w:cs="Arial"/>
                <w:sz w:val="20"/>
                <w:szCs w:val="20"/>
              </w:rPr>
            </w:pPr>
            <w:r w:rsidRPr="00BF5414">
              <w:rPr>
                <w:rFonts w:ascii="Arial" w:hAnsi="Arial" w:cs="Arial"/>
                <w:sz w:val="20"/>
                <w:szCs w:val="20"/>
              </w:rPr>
              <w:t xml:space="preserve">NCUTCD generally agrees with Figure 3B-7 </w:t>
            </w:r>
            <w:r w:rsidR="00F317FD">
              <w:rPr>
                <w:rFonts w:ascii="Arial" w:hAnsi="Arial" w:cs="Arial"/>
                <w:sz w:val="20"/>
                <w:szCs w:val="20"/>
              </w:rPr>
              <w:t>as presented in the NPA,</w:t>
            </w:r>
            <w:r w:rsidR="00F317FD">
              <w:rPr>
                <w:rFonts w:ascii="Arial" w:hAnsi="Arial" w:cs="Arial"/>
                <w:sz w:val="20"/>
                <w:szCs w:val="20"/>
              </w:rPr>
              <w:t xml:space="preserve"> </w:t>
            </w:r>
            <w:r w:rsidRPr="00BF5414">
              <w:rPr>
                <w:rFonts w:ascii="Arial" w:hAnsi="Arial" w:cs="Arial"/>
                <w:sz w:val="20"/>
                <w:szCs w:val="20"/>
              </w:rPr>
              <w:t>but recommends changing diagonal markings from “recommended” to “optional” to be consistent with NCUTCD recommendations to Section 3B.25</w:t>
            </w:r>
            <w:r>
              <w:rPr>
                <w:rFonts w:ascii="Arial" w:hAnsi="Arial" w:cs="Arial"/>
                <w:sz w:val="20"/>
                <w:szCs w:val="20"/>
              </w:rPr>
              <w:t>.</w:t>
            </w:r>
          </w:p>
        </w:tc>
      </w:tr>
      <w:tr w:rsidR="00C678C6" w14:paraId="3F6E15CA" w14:textId="77777777" w:rsidTr="00FF21DF">
        <w:trPr>
          <w:cantSplit/>
        </w:trPr>
        <w:tc>
          <w:tcPr>
            <w:tcW w:w="1170" w:type="dxa"/>
          </w:tcPr>
          <w:p w14:paraId="18E0F00D" w14:textId="77E62753" w:rsidR="00C678C6" w:rsidRDefault="00C678C6" w:rsidP="00C678C6">
            <w:pPr>
              <w:rPr>
                <w:rFonts w:ascii="Arial" w:hAnsi="Arial" w:cs="Arial"/>
                <w:sz w:val="20"/>
                <w:szCs w:val="20"/>
              </w:rPr>
            </w:pPr>
            <w:r>
              <w:rPr>
                <w:rFonts w:ascii="Arial" w:hAnsi="Arial" w:cs="Arial"/>
                <w:sz w:val="20"/>
                <w:szCs w:val="20"/>
              </w:rPr>
              <w:t>3B.06</w:t>
            </w:r>
          </w:p>
        </w:tc>
        <w:tc>
          <w:tcPr>
            <w:tcW w:w="1167" w:type="dxa"/>
          </w:tcPr>
          <w:p w14:paraId="0865E7F6" w14:textId="38C16453"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4880758C" w14:textId="6E328EA1"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032A6A02" w14:textId="2496A576"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0D3182A8" w14:textId="4B3EC13A"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06</w:t>
            </w:r>
            <w:r w:rsidRPr="0008285B">
              <w:rPr>
                <w:rFonts w:ascii="Arial" w:hAnsi="Arial" w:cs="Arial"/>
                <w:sz w:val="20"/>
                <w:szCs w:val="20"/>
              </w:rPr>
              <w:t xml:space="preserve"> as presented in the NPA.</w:t>
            </w:r>
          </w:p>
        </w:tc>
      </w:tr>
      <w:tr w:rsidR="00C678C6" w14:paraId="749AA264" w14:textId="77777777" w:rsidTr="00FF21DF">
        <w:trPr>
          <w:cantSplit/>
        </w:trPr>
        <w:tc>
          <w:tcPr>
            <w:tcW w:w="1170" w:type="dxa"/>
          </w:tcPr>
          <w:p w14:paraId="5FD2FDE6" w14:textId="5BAC14D2" w:rsidR="00C678C6" w:rsidRDefault="00C678C6" w:rsidP="00C678C6">
            <w:pPr>
              <w:rPr>
                <w:rFonts w:ascii="Arial" w:hAnsi="Arial" w:cs="Arial"/>
                <w:sz w:val="20"/>
                <w:szCs w:val="20"/>
              </w:rPr>
            </w:pPr>
            <w:r>
              <w:rPr>
                <w:rFonts w:ascii="Arial" w:hAnsi="Arial" w:cs="Arial"/>
                <w:sz w:val="20"/>
                <w:szCs w:val="20"/>
              </w:rPr>
              <w:t>Figure 3B-8</w:t>
            </w:r>
          </w:p>
        </w:tc>
        <w:tc>
          <w:tcPr>
            <w:tcW w:w="1167" w:type="dxa"/>
          </w:tcPr>
          <w:p w14:paraId="3C633DB1" w14:textId="08F90048"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464280AC" w14:textId="538C917D"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004F2A5E" w14:textId="52B63F40"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7819107E" w14:textId="52838889" w:rsidR="00C678C6" w:rsidRPr="0008285B" w:rsidRDefault="00C678C6" w:rsidP="00C678C6">
            <w:pPr>
              <w:rPr>
                <w:rFonts w:ascii="Arial" w:hAnsi="Arial" w:cs="Arial"/>
                <w:sz w:val="20"/>
                <w:szCs w:val="20"/>
              </w:rPr>
            </w:pPr>
            <w:r w:rsidRPr="0081177E">
              <w:rPr>
                <w:rFonts w:ascii="Arial" w:hAnsi="Arial" w:cs="Arial"/>
                <w:sz w:val="20"/>
                <w:szCs w:val="20"/>
              </w:rPr>
              <w:t xml:space="preserve">NCUTCD generally agrees with Figure 3B-8 </w:t>
            </w:r>
            <w:r w:rsidR="00F317FD">
              <w:rPr>
                <w:rFonts w:ascii="Arial" w:hAnsi="Arial" w:cs="Arial"/>
                <w:sz w:val="20"/>
                <w:szCs w:val="20"/>
              </w:rPr>
              <w:t>as presented in the NPA,</w:t>
            </w:r>
            <w:r w:rsidR="00F317FD">
              <w:rPr>
                <w:rFonts w:ascii="Arial" w:hAnsi="Arial" w:cs="Arial"/>
                <w:sz w:val="20"/>
                <w:szCs w:val="20"/>
              </w:rPr>
              <w:t xml:space="preserve"> </w:t>
            </w:r>
            <w:r w:rsidRPr="0081177E">
              <w:rPr>
                <w:rFonts w:ascii="Arial" w:hAnsi="Arial" w:cs="Arial"/>
                <w:sz w:val="20"/>
                <w:szCs w:val="20"/>
              </w:rPr>
              <w:t>but recommends changing diagonal markings from “recommended” to “optional” to be consistent with NCUTCD recommendations to Section 3B.25.</w:t>
            </w:r>
          </w:p>
        </w:tc>
      </w:tr>
      <w:tr w:rsidR="00C678C6" w14:paraId="1A8B7C13" w14:textId="77777777" w:rsidTr="00FF21DF">
        <w:trPr>
          <w:cantSplit/>
        </w:trPr>
        <w:tc>
          <w:tcPr>
            <w:tcW w:w="1170" w:type="dxa"/>
          </w:tcPr>
          <w:p w14:paraId="0C811670" w14:textId="6B2D4CBA" w:rsidR="00C678C6" w:rsidRDefault="00C678C6" w:rsidP="00C678C6">
            <w:pPr>
              <w:rPr>
                <w:rFonts w:ascii="Arial" w:hAnsi="Arial" w:cs="Arial"/>
                <w:sz w:val="20"/>
                <w:szCs w:val="20"/>
              </w:rPr>
            </w:pPr>
            <w:r>
              <w:rPr>
                <w:rFonts w:ascii="Arial" w:hAnsi="Arial" w:cs="Arial"/>
                <w:sz w:val="20"/>
                <w:szCs w:val="20"/>
              </w:rPr>
              <w:t>Figure 3B-9</w:t>
            </w:r>
          </w:p>
        </w:tc>
        <w:tc>
          <w:tcPr>
            <w:tcW w:w="1167" w:type="dxa"/>
          </w:tcPr>
          <w:p w14:paraId="4F468BD9" w14:textId="34A56819"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606FD068" w14:textId="4897457F"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3C9B180C" w14:textId="6E51FEBD"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6F263853" w14:textId="77777777" w:rsidR="00BB2352" w:rsidRPr="00BB2352" w:rsidRDefault="00BB2352" w:rsidP="00BB2352">
            <w:pPr>
              <w:rPr>
                <w:rFonts w:ascii="Arial" w:hAnsi="Arial" w:cs="Arial"/>
                <w:sz w:val="20"/>
                <w:szCs w:val="20"/>
              </w:rPr>
            </w:pPr>
            <w:r w:rsidRPr="00BB2352">
              <w:rPr>
                <w:rFonts w:ascii="Arial" w:hAnsi="Arial" w:cs="Arial"/>
                <w:sz w:val="20"/>
                <w:szCs w:val="20"/>
              </w:rPr>
              <w:t>NCUTCD generally agrees with Figure 3B-9 as presented in the NPA, but recommends revisions as follows:</w:t>
            </w:r>
          </w:p>
          <w:p w14:paraId="284BBC2E" w14:textId="2C958C0B" w:rsidR="00BB2352" w:rsidRPr="00BB2352" w:rsidRDefault="00BB2352" w:rsidP="00BB2352">
            <w:pPr>
              <w:pStyle w:val="ListParagraph"/>
              <w:numPr>
                <w:ilvl w:val="0"/>
                <w:numId w:val="8"/>
              </w:numPr>
              <w:rPr>
                <w:rFonts w:ascii="Arial" w:hAnsi="Arial" w:cs="Arial"/>
                <w:sz w:val="20"/>
                <w:szCs w:val="20"/>
              </w:rPr>
            </w:pPr>
            <w:r w:rsidRPr="00BB2352">
              <w:rPr>
                <w:rFonts w:ascii="Arial" w:hAnsi="Arial" w:cs="Arial"/>
                <w:sz w:val="20"/>
                <w:szCs w:val="20"/>
              </w:rPr>
              <w:t>Delete callouts referencing “0.5 A min” length for the normal width dotted white line in example A</w:t>
            </w:r>
          </w:p>
          <w:p w14:paraId="24F65E46" w14:textId="0D15E3CB" w:rsidR="00C678C6" w:rsidRPr="00BB2352" w:rsidRDefault="00BB2352" w:rsidP="00BB2352">
            <w:pPr>
              <w:pStyle w:val="ListParagraph"/>
              <w:numPr>
                <w:ilvl w:val="0"/>
                <w:numId w:val="8"/>
              </w:numPr>
              <w:rPr>
                <w:rFonts w:ascii="Arial" w:hAnsi="Arial" w:cs="Arial"/>
                <w:sz w:val="20"/>
                <w:szCs w:val="20"/>
              </w:rPr>
            </w:pPr>
            <w:r w:rsidRPr="00BB2352">
              <w:rPr>
                <w:rFonts w:ascii="Arial" w:hAnsi="Arial" w:cs="Arial"/>
                <w:sz w:val="20"/>
                <w:szCs w:val="20"/>
              </w:rPr>
              <w:t>Change diagonal markings from “recommended” to “optional” to be consistent with NCUTCD recommendations to Section 3B.25</w:t>
            </w:r>
          </w:p>
        </w:tc>
      </w:tr>
      <w:tr w:rsidR="00C678C6" w14:paraId="060CA664" w14:textId="77777777" w:rsidTr="00FF21DF">
        <w:trPr>
          <w:cantSplit/>
        </w:trPr>
        <w:tc>
          <w:tcPr>
            <w:tcW w:w="1170" w:type="dxa"/>
          </w:tcPr>
          <w:p w14:paraId="03802F24" w14:textId="526E9966" w:rsidR="00C678C6" w:rsidRDefault="00C678C6" w:rsidP="00C678C6">
            <w:pPr>
              <w:rPr>
                <w:rFonts w:ascii="Arial" w:hAnsi="Arial" w:cs="Arial"/>
                <w:sz w:val="20"/>
                <w:szCs w:val="20"/>
              </w:rPr>
            </w:pPr>
            <w:r>
              <w:rPr>
                <w:rFonts w:ascii="Arial" w:hAnsi="Arial" w:cs="Arial"/>
                <w:sz w:val="20"/>
                <w:szCs w:val="20"/>
              </w:rPr>
              <w:t>Figure 3B-10</w:t>
            </w:r>
          </w:p>
        </w:tc>
        <w:tc>
          <w:tcPr>
            <w:tcW w:w="1167" w:type="dxa"/>
          </w:tcPr>
          <w:p w14:paraId="679D2E8D" w14:textId="5AA67E30"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140FB316" w14:textId="4043D612"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395620FE" w14:textId="05785A31"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745279BD" w14:textId="77777777" w:rsidR="002B050F" w:rsidRPr="002B050F" w:rsidRDefault="002B050F" w:rsidP="002B050F">
            <w:pPr>
              <w:rPr>
                <w:rFonts w:ascii="Arial" w:hAnsi="Arial" w:cs="Arial"/>
                <w:sz w:val="20"/>
                <w:szCs w:val="20"/>
              </w:rPr>
            </w:pPr>
            <w:r w:rsidRPr="002B050F">
              <w:rPr>
                <w:rFonts w:ascii="Arial" w:hAnsi="Arial" w:cs="Arial"/>
                <w:sz w:val="20"/>
                <w:szCs w:val="20"/>
              </w:rPr>
              <w:t>NCUTCD generally agrees with Figure 3B-10 as presented in the NPA, but recommends revisions as follows:</w:t>
            </w:r>
          </w:p>
          <w:p w14:paraId="1B153775" w14:textId="4325A750" w:rsidR="002B050F" w:rsidRPr="002B050F" w:rsidRDefault="002B050F" w:rsidP="002B050F">
            <w:pPr>
              <w:pStyle w:val="ListParagraph"/>
              <w:numPr>
                <w:ilvl w:val="0"/>
                <w:numId w:val="5"/>
              </w:numPr>
              <w:rPr>
                <w:rFonts w:ascii="Arial" w:hAnsi="Arial" w:cs="Arial"/>
                <w:sz w:val="20"/>
                <w:szCs w:val="20"/>
              </w:rPr>
            </w:pPr>
            <w:r w:rsidRPr="002B050F">
              <w:rPr>
                <w:rFonts w:ascii="Arial" w:hAnsi="Arial" w:cs="Arial"/>
                <w:sz w:val="20"/>
                <w:szCs w:val="20"/>
              </w:rPr>
              <w:t>Change diagonal markings from “recommended” to “optional” to be consistent with NCUTCD recommendations to Section 3B.25</w:t>
            </w:r>
          </w:p>
          <w:p w14:paraId="17FD3748" w14:textId="16908C18" w:rsidR="002B050F" w:rsidRPr="002B050F" w:rsidRDefault="002B050F" w:rsidP="002B050F">
            <w:pPr>
              <w:pStyle w:val="ListParagraph"/>
              <w:numPr>
                <w:ilvl w:val="0"/>
                <w:numId w:val="5"/>
              </w:numPr>
              <w:rPr>
                <w:rFonts w:ascii="Arial" w:hAnsi="Arial" w:cs="Arial"/>
                <w:sz w:val="20"/>
                <w:szCs w:val="20"/>
              </w:rPr>
            </w:pPr>
            <w:r w:rsidRPr="002B050F">
              <w:rPr>
                <w:rFonts w:ascii="Arial" w:hAnsi="Arial" w:cs="Arial"/>
                <w:sz w:val="20"/>
                <w:szCs w:val="20"/>
              </w:rPr>
              <w:t>Add “variable length” text to examples B, C and E to be consistent with other examples</w:t>
            </w:r>
          </w:p>
          <w:p w14:paraId="683E8C56" w14:textId="425B3B00" w:rsidR="002B050F" w:rsidRPr="002B050F" w:rsidRDefault="002B050F" w:rsidP="002B050F">
            <w:pPr>
              <w:pStyle w:val="ListParagraph"/>
              <w:numPr>
                <w:ilvl w:val="0"/>
                <w:numId w:val="5"/>
              </w:numPr>
              <w:rPr>
                <w:rFonts w:ascii="Arial" w:hAnsi="Arial" w:cs="Arial"/>
                <w:sz w:val="20"/>
                <w:szCs w:val="20"/>
              </w:rPr>
            </w:pPr>
            <w:r w:rsidRPr="002B050F">
              <w:rPr>
                <w:rFonts w:ascii="Arial" w:hAnsi="Arial" w:cs="Arial"/>
                <w:sz w:val="20"/>
                <w:szCs w:val="20"/>
              </w:rPr>
              <w:t xml:space="preserve">Remove “Varies” dimension in example E to be consistent with other examples </w:t>
            </w:r>
          </w:p>
          <w:p w14:paraId="383C8D7C" w14:textId="40F35760" w:rsidR="00C678C6" w:rsidRPr="002B050F" w:rsidRDefault="002B050F" w:rsidP="002B050F">
            <w:pPr>
              <w:pStyle w:val="ListParagraph"/>
              <w:numPr>
                <w:ilvl w:val="0"/>
                <w:numId w:val="5"/>
              </w:numPr>
              <w:rPr>
                <w:rFonts w:ascii="Arial" w:hAnsi="Arial" w:cs="Arial"/>
                <w:sz w:val="20"/>
                <w:szCs w:val="20"/>
              </w:rPr>
            </w:pPr>
            <w:r w:rsidRPr="002B050F">
              <w:rPr>
                <w:rFonts w:ascii="Arial" w:hAnsi="Arial" w:cs="Arial"/>
                <w:sz w:val="20"/>
                <w:szCs w:val="20"/>
              </w:rPr>
              <w:t>Modify the number of sheets in the title from 5 to 6</w:t>
            </w:r>
          </w:p>
        </w:tc>
      </w:tr>
      <w:tr w:rsidR="00C678C6" w14:paraId="39FD85CD" w14:textId="77777777" w:rsidTr="00FF21DF">
        <w:trPr>
          <w:cantSplit/>
        </w:trPr>
        <w:tc>
          <w:tcPr>
            <w:tcW w:w="1170" w:type="dxa"/>
          </w:tcPr>
          <w:p w14:paraId="1D24F538" w14:textId="75487E38" w:rsidR="00C678C6" w:rsidRDefault="00C678C6" w:rsidP="00C678C6">
            <w:pPr>
              <w:rPr>
                <w:rFonts w:ascii="Arial" w:hAnsi="Arial" w:cs="Arial"/>
                <w:sz w:val="20"/>
                <w:szCs w:val="20"/>
              </w:rPr>
            </w:pPr>
            <w:r>
              <w:rPr>
                <w:rFonts w:ascii="Arial" w:hAnsi="Arial" w:cs="Arial"/>
                <w:sz w:val="20"/>
                <w:szCs w:val="20"/>
              </w:rPr>
              <w:t>Figure 3B-11</w:t>
            </w:r>
          </w:p>
        </w:tc>
        <w:tc>
          <w:tcPr>
            <w:tcW w:w="1167" w:type="dxa"/>
          </w:tcPr>
          <w:p w14:paraId="2DE0154D" w14:textId="07B9F6B4"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089DE80B" w14:textId="043A0819"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2CDBA2E6" w14:textId="41555D1B"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01050E2D" w14:textId="1A68BF73"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11</w:t>
            </w:r>
            <w:r w:rsidRPr="00C4627D">
              <w:rPr>
                <w:rFonts w:ascii="Arial" w:hAnsi="Arial" w:cs="Arial"/>
                <w:sz w:val="20"/>
                <w:szCs w:val="20"/>
              </w:rPr>
              <w:t xml:space="preserve"> as presented in the NPA.</w:t>
            </w:r>
          </w:p>
        </w:tc>
      </w:tr>
      <w:tr w:rsidR="00C678C6" w14:paraId="3B0F4A4A" w14:textId="77777777" w:rsidTr="00FF21DF">
        <w:trPr>
          <w:cantSplit/>
        </w:trPr>
        <w:tc>
          <w:tcPr>
            <w:tcW w:w="1170" w:type="dxa"/>
          </w:tcPr>
          <w:p w14:paraId="1A1D6199" w14:textId="6B787F59" w:rsidR="00C678C6" w:rsidRDefault="00C678C6" w:rsidP="00C678C6">
            <w:pPr>
              <w:rPr>
                <w:rFonts w:ascii="Arial" w:hAnsi="Arial" w:cs="Arial"/>
                <w:sz w:val="20"/>
                <w:szCs w:val="20"/>
              </w:rPr>
            </w:pPr>
            <w:r>
              <w:rPr>
                <w:rFonts w:ascii="Arial" w:hAnsi="Arial" w:cs="Arial"/>
                <w:sz w:val="20"/>
                <w:szCs w:val="20"/>
              </w:rPr>
              <w:t>Figure 3B-12</w:t>
            </w:r>
          </w:p>
        </w:tc>
        <w:tc>
          <w:tcPr>
            <w:tcW w:w="1167" w:type="dxa"/>
          </w:tcPr>
          <w:p w14:paraId="7435F7E8" w14:textId="4E282035"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55746A81" w14:textId="74687C2C"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6E26AE01" w14:textId="6770ABE7"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5CEE3FB7" w14:textId="3F856DFA"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12</w:t>
            </w:r>
            <w:r w:rsidRPr="00C4627D">
              <w:rPr>
                <w:rFonts w:ascii="Arial" w:hAnsi="Arial" w:cs="Arial"/>
                <w:sz w:val="20"/>
                <w:szCs w:val="20"/>
              </w:rPr>
              <w:t xml:space="preserve"> as presented in the NPA.</w:t>
            </w:r>
          </w:p>
        </w:tc>
      </w:tr>
      <w:tr w:rsidR="00C678C6" w14:paraId="0784260C" w14:textId="77777777" w:rsidTr="00FF21DF">
        <w:trPr>
          <w:cantSplit/>
        </w:trPr>
        <w:tc>
          <w:tcPr>
            <w:tcW w:w="1170" w:type="dxa"/>
          </w:tcPr>
          <w:p w14:paraId="602DD607" w14:textId="363AF07D" w:rsidR="00C678C6" w:rsidRDefault="00C678C6" w:rsidP="00C678C6">
            <w:pPr>
              <w:rPr>
                <w:rFonts w:ascii="Arial" w:hAnsi="Arial" w:cs="Arial"/>
                <w:sz w:val="20"/>
                <w:szCs w:val="20"/>
              </w:rPr>
            </w:pPr>
            <w:r>
              <w:rPr>
                <w:rFonts w:ascii="Arial" w:hAnsi="Arial" w:cs="Arial"/>
                <w:sz w:val="20"/>
                <w:szCs w:val="20"/>
              </w:rPr>
              <w:t>Figure 3B-13</w:t>
            </w:r>
          </w:p>
        </w:tc>
        <w:tc>
          <w:tcPr>
            <w:tcW w:w="1167" w:type="dxa"/>
          </w:tcPr>
          <w:p w14:paraId="5978AE32" w14:textId="5004431E"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05BFA456" w14:textId="4E8FACAA"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2410277F" w14:textId="78DFDCA2"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1AC80C14" w14:textId="19C9D372" w:rsidR="00C678C6" w:rsidRPr="0008285B" w:rsidRDefault="00C678C6" w:rsidP="00C678C6">
            <w:pPr>
              <w:rPr>
                <w:rFonts w:ascii="Arial" w:hAnsi="Arial" w:cs="Arial"/>
                <w:sz w:val="20"/>
                <w:szCs w:val="20"/>
              </w:rPr>
            </w:pPr>
            <w:r w:rsidRPr="009C1F63">
              <w:rPr>
                <w:rFonts w:ascii="Arial" w:hAnsi="Arial" w:cs="Arial"/>
                <w:sz w:val="20"/>
                <w:szCs w:val="20"/>
              </w:rPr>
              <w:t>NCUTCD agrees with Figure 3B-13 sheet 2 of 2 as presented in the NPA.  Figure 3B-13 sheet 1 of 2 was missing from the NPA, therefore NCUTCD could not provide comments regarding this figure. NCUTCD recommends adding the figure</w:t>
            </w:r>
            <w:r w:rsidR="00F317FD">
              <w:rPr>
                <w:rFonts w:ascii="Arial" w:hAnsi="Arial" w:cs="Arial"/>
                <w:sz w:val="20"/>
                <w:szCs w:val="20"/>
              </w:rPr>
              <w:t>.</w:t>
            </w:r>
          </w:p>
        </w:tc>
      </w:tr>
      <w:tr w:rsidR="00C678C6" w14:paraId="4574B825" w14:textId="77777777" w:rsidTr="00FF21DF">
        <w:trPr>
          <w:cantSplit/>
        </w:trPr>
        <w:tc>
          <w:tcPr>
            <w:tcW w:w="1170" w:type="dxa"/>
          </w:tcPr>
          <w:p w14:paraId="5B0B4DF1" w14:textId="2CFD5368" w:rsidR="00C678C6" w:rsidRDefault="00C678C6" w:rsidP="00C678C6">
            <w:pPr>
              <w:rPr>
                <w:rFonts w:ascii="Arial" w:hAnsi="Arial" w:cs="Arial"/>
                <w:sz w:val="20"/>
                <w:szCs w:val="20"/>
              </w:rPr>
            </w:pPr>
            <w:r>
              <w:rPr>
                <w:rFonts w:ascii="Arial" w:hAnsi="Arial" w:cs="Arial"/>
                <w:sz w:val="20"/>
                <w:szCs w:val="20"/>
              </w:rPr>
              <w:t>3B.07</w:t>
            </w:r>
          </w:p>
        </w:tc>
        <w:tc>
          <w:tcPr>
            <w:tcW w:w="1167" w:type="dxa"/>
          </w:tcPr>
          <w:p w14:paraId="5BB9F2C9" w14:textId="3F201BC0"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07A3F9DE" w14:textId="4DD579FA"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38B55BE4" w14:textId="11B554DF"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6B0D8714" w14:textId="77777777" w:rsidR="00880FF6" w:rsidRPr="00880FF6" w:rsidRDefault="00880FF6" w:rsidP="00880FF6">
            <w:pPr>
              <w:rPr>
                <w:rFonts w:ascii="Arial" w:hAnsi="Arial" w:cs="Arial"/>
                <w:sz w:val="20"/>
                <w:szCs w:val="20"/>
              </w:rPr>
            </w:pPr>
            <w:r w:rsidRPr="00880FF6">
              <w:rPr>
                <w:rFonts w:ascii="Arial" w:hAnsi="Arial" w:cs="Arial"/>
                <w:sz w:val="20"/>
                <w:szCs w:val="20"/>
              </w:rPr>
              <w:t>NCUTCD generally agrees with 3B.07 as presented in the NPA, but recommends revisions per NCUTCD recommendation 19B-MKG-02 as follows:</w:t>
            </w:r>
          </w:p>
          <w:p w14:paraId="0103F917" w14:textId="6487E953" w:rsidR="00880FF6" w:rsidRPr="00880FF6" w:rsidRDefault="00880FF6" w:rsidP="00880FF6">
            <w:pPr>
              <w:pStyle w:val="ListParagraph"/>
              <w:numPr>
                <w:ilvl w:val="0"/>
                <w:numId w:val="6"/>
              </w:numPr>
              <w:rPr>
                <w:rFonts w:ascii="Arial" w:hAnsi="Arial" w:cs="Arial"/>
                <w:sz w:val="20"/>
                <w:szCs w:val="20"/>
              </w:rPr>
            </w:pPr>
            <w:r w:rsidRPr="00880FF6">
              <w:rPr>
                <w:rFonts w:ascii="Arial" w:hAnsi="Arial" w:cs="Arial"/>
                <w:sz w:val="20"/>
                <w:szCs w:val="20"/>
              </w:rPr>
              <w:t>Revise the second Standard paragraph to note that this Standard refers to a normal width dotted white lane line extension from the upstream end of a taper to the theoretical gore</w:t>
            </w:r>
          </w:p>
          <w:p w14:paraId="10778D59" w14:textId="5277667C" w:rsidR="00880FF6" w:rsidRPr="00880FF6" w:rsidRDefault="00880FF6" w:rsidP="00880FF6">
            <w:pPr>
              <w:pStyle w:val="ListParagraph"/>
              <w:numPr>
                <w:ilvl w:val="0"/>
                <w:numId w:val="6"/>
              </w:numPr>
              <w:rPr>
                <w:rFonts w:ascii="Arial" w:hAnsi="Arial" w:cs="Arial"/>
                <w:sz w:val="20"/>
                <w:szCs w:val="20"/>
              </w:rPr>
            </w:pPr>
            <w:r w:rsidRPr="00880FF6">
              <w:rPr>
                <w:rFonts w:ascii="Arial" w:hAnsi="Arial" w:cs="Arial"/>
                <w:sz w:val="20"/>
                <w:szCs w:val="20"/>
              </w:rPr>
              <w:t>Delete the third Standard paragraph, as it duplicates the content of the second Standard paragraph as revised</w:t>
            </w:r>
          </w:p>
          <w:p w14:paraId="55764654" w14:textId="22C6A1F0" w:rsidR="00880FF6" w:rsidRPr="00880FF6" w:rsidRDefault="00880FF6" w:rsidP="00880FF6">
            <w:pPr>
              <w:pStyle w:val="ListParagraph"/>
              <w:numPr>
                <w:ilvl w:val="0"/>
                <w:numId w:val="6"/>
              </w:numPr>
              <w:rPr>
                <w:rFonts w:ascii="Arial" w:hAnsi="Arial" w:cs="Arial"/>
                <w:sz w:val="20"/>
                <w:szCs w:val="20"/>
              </w:rPr>
            </w:pPr>
            <w:r w:rsidRPr="00880FF6">
              <w:rPr>
                <w:rFonts w:ascii="Arial" w:hAnsi="Arial" w:cs="Arial"/>
                <w:sz w:val="20"/>
                <w:szCs w:val="20"/>
              </w:rPr>
              <w:t xml:space="preserve">Revise the fifth Standard paragraph to delete “to a point at least one-half the distance from the theoretical gore” so the marking extends the length of the acceleration lane </w:t>
            </w:r>
          </w:p>
          <w:p w14:paraId="2093140B" w14:textId="48430686" w:rsidR="00C678C6" w:rsidRPr="00880FF6" w:rsidRDefault="00880FF6" w:rsidP="00880FF6">
            <w:pPr>
              <w:pStyle w:val="ListParagraph"/>
              <w:numPr>
                <w:ilvl w:val="0"/>
                <w:numId w:val="6"/>
              </w:numPr>
              <w:rPr>
                <w:rFonts w:ascii="Arial" w:hAnsi="Arial" w:cs="Arial"/>
                <w:sz w:val="20"/>
                <w:szCs w:val="20"/>
              </w:rPr>
            </w:pPr>
            <w:r w:rsidRPr="00880FF6">
              <w:rPr>
                <w:rFonts w:ascii="Arial" w:hAnsi="Arial" w:cs="Arial"/>
                <w:sz w:val="20"/>
                <w:szCs w:val="20"/>
              </w:rPr>
              <w:t>Delete the sixth Standard paragraph, as it duplicates the content of the fifth Standard paragraph as revised</w:t>
            </w:r>
          </w:p>
        </w:tc>
      </w:tr>
      <w:tr w:rsidR="00C678C6" w14:paraId="0ACA2EA0" w14:textId="77777777" w:rsidTr="00FF21DF">
        <w:trPr>
          <w:cantSplit/>
        </w:trPr>
        <w:tc>
          <w:tcPr>
            <w:tcW w:w="1170" w:type="dxa"/>
          </w:tcPr>
          <w:p w14:paraId="0F8F8D5B" w14:textId="6E299C98" w:rsidR="00C678C6" w:rsidRDefault="00C678C6" w:rsidP="00C678C6">
            <w:pPr>
              <w:rPr>
                <w:rFonts w:ascii="Arial" w:hAnsi="Arial" w:cs="Arial"/>
                <w:sz w:val="20"/>
                <w:szCs w:val="20"/>
              </w:rPr>
            </w:pPr>
            <w:r>
              <w:rPr>
                <w:rFonts w:ascii="Arial" w:hAnsi="Arial" w:cs="Arial"/>
                <w:sz w:val="20"/>
                <w:szCs w:val="20"/>
              </w:rPr>
              <w:lastRenderedPageBreak/>
              <w:t>3B.08</w:t>
            </w:r>
          </w:p>
        </w:tc>
        <w:tc>
          <w:tcPr>
            <w:tcW w:w="1167" w:type="dxa"/>
          </w:tcPr>
          <w:p w14:paraId="112E8B7E" w14:textId="7485BBCF"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41AA136D" w14:textId="4982FB5F"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34B80E58" w14:textId="40F23910"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7D1A7604" w14:textId="77777777" w:rsidR="00C678C6" w:rsidRDefault="00C678C6" w:rsidP="00C678C6">
            <w:pPr>
              <w:rPr>
                <w:rFonts w:ascii="Arial" w:hAnsi="Arial" w:cs="Arial"/>
                <w:sz w:val="20"/>
                <w:szCs w:val="20"/>
              </w:rPr>
            </w:pPr>
            <w:r w:rsidRPr="00053D7B">
              <w:rPr>
                <w:rFonts w:ascii="Arial" w:hAnsi="Arial" w:cs="Arial"/>
                <w:sz w:val="20"/>
                <w:szCs w:val="20"/>
              </w:rPr>
              <w:t>NCUTCD generally agrees with 3B.08</w:t>
            </w:r>
            <w:r w:rsidR="00F317FD">
              <w:rPr>
                <w:rFonts w:ascii="Arial" w:hAnsi="Arial" w:cs="Arial"/>
                <w:sz w:val="20"/>
                <w:szCs w:val="20"/>
              </w:rPr>
              <w:t xml:space="preserve"> </w:t>
            </w:r>
            <w:r w:rsidR="00F317FD">
              <w:rPr>
                <w:rFonts w:ascii="Arial" w:hAnsi="Arial" w:cs="Arial"/>
                <w:sz w:val="20"/>
                <w:szCs w:val="20"/>
              </w:rPr>
              <w:t>as presented in the NPA,</w:t>
            </w:r>
            <w:r w:rsidRPr="00053D7B">
              <w:rPr>
                <w:rFonts w:ascii="Arial" w:hAnsi="Arial" w:cs="Arial"/>
                <w:sz w:val="20"/>
                <w:szCs w:val="20"/>
              </w:rPr>
              <w:t xml:space="preserve"> but recommends revising the first Support statement by replacing the second “entrance” with “exit” and correcting the Figure 2B.11 reference.</w:t>
            </w:r>
          </w:p>
          <w:p w14:paraId="425206F3" w14:textId="77777777" w:rsidR="005D3AC9" w:rsidRPr="005D3AC9" w:rsidRDefault="005D3AC9" w:rsidP="005D3AC9">
            <w:pPr>
              <w:rPr>
                <w:rFonts w:ascii="Arial" w:hAnsi="Arial" w:cs="Arial"/>
                <w:sz w:val="20"/>
                <w:szCs w:val="20"/>
              </w:rPr>
            </w:pPr>
          </w:p>
          <w:p w14:paraId="69451F27" w14:textId="77777777" w:rsidR="005D3AC9" w:rsidRDefault="005D3AC9" w:rsidP="005D3AC9">
            <w:pPr>
              <w:rPr>
                <w:rFonts w:ascii="Arial" w:hAnsi="Arial" w:cs="Arial"/>
                <w:sz w:val="20"/>
                <w:szCs w:val="20"/>
              </w:rPr>
            </w:pPr>
          </w:p>
          <w:p w14:paraId="140B2654" w14:textId="1BC8FD40" w:rsidR="005D3AC9" w:rsidRPr="005D3AC9" w:rsidRDefault="005D3AC9" w:rsidP="005D3AC9">
            <w:pPr>
              <w:tabs>
                <w:tab w:val="left" w:pos="4903"/>
              </w:tabs>
              <w:rPr>
                <w:rFonts w:ascii="Arial" w:hAnsi="Arial" w:cs="Arial"/>
                <w:sz w:val="20"/>
                <w:szCs w:val="20"/>
              </w:rPr>
            </w:pPr>
            <w:r>
              <w:rPr>
                <w:rFonts w:ascii="Arial" w:hAnsi="Arial" w:cs="Arial"/>
                <w:sz w:val="20"/>
                <w:szCs w:val="20"/>
              </w:rPr>
              <w:tab/>
            </w:r>
          </w:p>
        </w:tc>
      </w:tr>
      <w:tr w:rsidR="00C678C6" w14:paraId="7B8D9A9A" w14:textId="77777777" w:rsidTr="00FF21DF">
        <w:trPr>
          <w:cantSplit/>
        </w:trPr>
        <w:tc>
          <w:tcPr>
            <w:tcW w:w="1170" w:type="dxa"/>
          </w:tcPr>
          <w:p w14:paraId="56D49B56" w14:textId="5E6FEB28" w:rsidR="00C678C6" w:rsidRDefault="00C678C6" w:rsidP="00C678C6">
            <w:pPr>
              <w:rPr>
                <w:rFonts w:ascii="Arial" w:hAnsi="Arial" w:cs="Arial"/>
                <w:sz w:val="20"/>
                <w:szCs w:val="20"/>
              </w:rPr>
            </w:pPr>
            <w:r>
              <w:rPr>
                <w:rFonts w:ascii="Arial" w:hAnsi="Arial" w:cs="Arial"/>
                <w:sz w:val="20"/>
                <w:szCs w:val="20"/>
              </w:rPr>
              <w:t>3B.09</w:t>
            </w:r>
          </w:p>
        </w:tc>
        <w:tc>
          <w:tcPr>
            <w:tcW w:w="1167" w:type="dxa"/>
          </w:tcPr>
          <w:p w14:paraId="355808C9" w14:textId="2783F494"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0D55D8FF" w14:textId="0C4A9C79"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3172572D" w14:textId="2561851B"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0A871718" w14:textId="0865150D" w:rsidR="00C678C6" w:rsidRPr="0008285B" w:rsidRDefault="005D3AC9" w:rsidP="00C678C6">
            <w:pPr>
              <w:rPr>
                <w:rFonts w:ascii="Arial" w:hAnsi="Arial" w:cs="Arial"/>
                <w:sz w:val="20"/>
                <w:szCs w:val="20"/>
              </w:rPr>
            </w:pPr>
            <w:r w:rsidRPr="005D3AC9">
              <w:rPr>
                <w:rFonts w:ascii="Arial" w:hAnsi="Arial" w:cs="Arial"/>
                <w:sz w:val="20"/>
                <w:szCs w:val="20"/>
              </w:rPr>
              <w:t xml:space="preserve">NCUTCD generally agrees with 3B.09 as presented in the NPA, but recommends deleting the Guidance statement calling for </w:t>
            </w:r>
            <w:proofErr w:type="gramStart"/>
            <w:r w:rsidRPr="005D3AC9">
              <w:rPr>
                <w:rFonts w:ascii="Arial" w:hAnsi="Arial" w:cs="Arial"/>
                <w:sz w:val="20"/>
                <w:szCs w:val="20"/>
              </w:rPr>
              <w:t>6 inch wide</w:t>
            </w:r>
            <w:proofErr w:type="gramEnd"/>
            <w:r w:rsidRPr="005D3AC9">
              <w:rPr>
                <w:rFonts w:ascii="Arial" w:hAnsi="Arial" w:cs="Arial"/>
                <w:sz w:val="20"/>
                <w:szCs w:val="20"/>
              </w:rPr>
              <w:t xml:space="preserve"> edge lines on two-way roadways. Although </w:t>
            </w:r>
            <w:proofErr w:type="gramStart"/>
            <w:r w:rsidRPr="005D3AC9">
              <w:rPr>
                <w:rFonts w:ascii="Arial" w:hAnsi="Arial" w:cs="Arial"/>
                <w:sz w:val="20"/>
                <w:szCs w:val="20"/>
              </w:rPr>
              <w:t>6 inch</w:t>
            </w:r>
            <w:proofErr w:type="gramEnd"/>
            <w:r w:rsidRPr="005D3AC9">
              <w:rPr>
                <w:rFonts w:ascii="Arial" w:hAnsi="Arial" w:cs="Arial"/>
                <w:sz w:val="20"/>
                <w:szCs w:val="20"/>
              </w:rPr>
              <w:t xml:space="preserve"> edge lines can show operational and safety benefits, resource and funding limitations may restrict an agency from the ability to consistently install and maintain wider lines, and could result in agencies choosing to omit edge lines entirely on some roadways, which would be counterproductive. NCUTCD also recommends revising a Section reference in the Guidance statement.</w:t>
            </w:r>
          </w:p>
        </w:tc>
      </w:tr>
      <w:tr w:rsidR="00C678C6" w14:paraId="21F4F014" w14:textId="77777777" w:rsidTr="00FF21DF">
        <w:trPr>
          <w:cantSplit/>
        </w:trPr>
        <w:tc>
          <w:tcPr>
            <w:tcW w:w="1170" w:type="dxa"/>
          </w:tcPr>
          <w:p w14:paraId="7DE4B9F4" w14:textId="5A9E0F72" w:rsidR="00C678C6" w:rsidRDefault="00C678C6" w:rsidP="00C678C6">
            <w:pPr>
              <w:rPr>
                <w:rFonts w:ascii="Arial" w:hAnsi="Arial" w:cs="Arial"/>
                <w:sz w:val="20"/>
                <w:szCs w:val="20"/>
              </w:rPr>
            </w:pPr>
            <w:r>
              <w:rPr>
                <w:rFonts w:ascii="Arial" w:hAnsi="Arial" w:cs="Arial"/>
                <w:sz w:val="20"/>
                <w:szCs w:val="20"/>
              </w:rPr>
              <w:t>3B.10</w:t>
            </w:r>
          </w:p>
        </w:tc>
        <w:tc>
          <w:tcPr>
            <w:tcW w:w="1167" w:type="dxa"/>
          </w:tcPr>
          <w:p w14:paraId="4ABECB16" w14:textId="393D50C6"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1481F82A" w14:textId="00508A62"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591A2FAF" w14:textId="2CD98BE6"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5CA430E7" w14:textId="43869262"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10</w:t>
            </w:r>
            <w:r w:rsidRPr="0008285B">
              <w:rPr>
                <w:rFonts w:ascii="Arial" w:hAnsi="Arial" w:cs="Arial"/>
                <w:sz w:val="20"/>
                <w:szCs w:val="20"/>
              </w:rPr>
              <w:t xml:space="preserve"> as presented in the NPA.</w:t>
            </w:r>
          </w:p>
        </w:tc>
      </w:tr>
      <w:tr w:rsidR="00C678C6" w14:paraId="4AEB6B07" w14:textId="77777777" w:rsidTr="00FF21DF">
        <w:trPr>
          <w:cantSplit/>
        </w:trPr>
        <w:tc>
          <w:tcPr>
            <w:tcW w:w="1170" w:type="dxa"/>
          </w:tcPr>
          <w:p w14:paraId="6E4F8314" w14:textId="4F517049" w:rsidR="00C678C6" w:rsidRDefault="00C678C6" w:rsidP="00C678C6">
            <w:pPr>
              <w:rPr>
                <w:rFonts w:ascii="Arial" w:hAnsi="Arial" w:cs="Arial"/>
                <w:sz w:val="20"/>
                <w:szCs w:val="20"/>
              </w:rPr>
            </w:pPr>
            <w:r>
              <w:rPr>
                <w:rFonts w:ascii="Arial" w:hAnsi="Arial" w:cs="Arial"/>
                <w:sz w:val="20"/>
                <w:szCs w:val="20"/>
              </w:rPr>
              <w:t>3B.11</w:t>
            </w:r>
          </w:p>
        </w:tc>
        <w:tc>
          <w:tcPr>
            <w:tcW w:w="1167" w:type="dxa"/>
          </w:tcPr>
          <w:p w14:paraId="7B649724" w14:textId="4BDB7EB3"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5D072A1A" w14:textId="3E986C7F"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76E7022E" w14:textId="78872B4F"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174B9DA4" w14:textId="745206A7" w:rsidR="00C678C6" w:rsidRPr="0008285B" w:rsidRDefault="00C678C6" w:rsidP="00C678C6">
            <w:pPr>
              <w:rPr>
                <w:rFonts w:ascii="Arial" w:hAnsi="Arial" w:cs="Arial"/>
                <w:sz w:val="20"/>
                <w:szCs w:val="20"/>
              </w:rPr>
            </w:pPr>
            <w:r w:rsidRPr="007B02AD">
              <w:rPr>
                <w:rFonts w:ascii="Arial" w:hAnsi="Arial" w:cs="Arial"/>
                <w:sz w:val="20"/>
                <w:szCs w:val="20"/>
              </w:rPr>
              <w:t>NCUTCD generally agrees with 3B.11</w:t>
            </w:r>
            <w:r w:rsidR="00F317FD">
              <w:rPr>
                <w:rFonts w:ascii="Arial" w:hAnsi="Arial" w:cs="Arial"/>
                <w:sz w:val="20"/>
                <w:szCs w:val="20"/>
              </w:rPr>
              <w:t xml:space="preserve"> </w:t>
            </w:r>
            <w:r w:rsidR="00F317FD">
              <w:rPr>
                <w:rFonts w:ascii="Arial" w:hAnsi="Arial" w:cs="Arial"/>
                <w:sz w:val="20"/>
                <w:szCs w:val="20"/>
              </w:rPr>
              <w:t>as presented in the NPA,</w:t>
            </w:r>
            <w:r w:rsidRPr="007B02AD">
              <w:rPr>
                <w:rFonts w:ascii="Arial" w:hAnsi="Arial" w:cs="Arial"/>
                <w:sz w:val="20"/>
                <w:szCs w:val="20"/>
              </w:rPr>
              <w:t xml:space="preserve"> but recommends </w:t>
            </w:r>
            <w:r w:rsidR="005D3AC9">
              <w:rPr>
                <w:rFonts w:ascii="Arial" w:hAnsi="Arial" w:cs="Arial"/>
                <w:sz w:val="20"/>
                <w:szCs w:val="20"/>
              </w:rPr>
              <w:t>revising</w:t>
            </w:r>
            <w:r w:rsidRPr="007B02AD">
              <w:rPr>
                <w:rFonts w:ascii="Arial" w:hAnsi="Arial" w:cs="Arial"/>
                <w:sz w:val="20"/>
                <w:szCs w:val="20"/>
              </w:rPr>
              <w:t xml:space="preserve"> the definition number in the second Support statement.</w:t>
            </w:r>
          </w:p>
        </w:tc>
      </w:tr>
      <w:tr w:rsidR="00C678C6" w14:paraId="28222EC0" w14:textId="77777777" w:rsidTr="00FF21DF">
        <w:trPr>
          <w:cantSplit/>
        </w:trPr>
        <w:tc>
          <w:tcPr>
            <w:tcW w:w="1170" w:type="dxa"/>
          </w:tcPr>
          <w:p w14:paraId="73EECDFF" w14:textId="7220E0CE" w:rsidR="00C678C6" w:rsidRDefault="00C678C6" w:rsidP="00C678C6">
            <w:pPr>
              <w:rPr>
                <w:rFonts w:ascii="Arial" w:hAnsi="Arial" w:cs="Arial"/>
                <w:sz w:val="20"/>
                <w:szCs w:val="20"/>
              </w:rPr>
            </w:pPr>
            <w:r>
              <w:rPr>
                <w:rFonts w:ascii="Arial" w:hAnsi="Arial" w:cs="Arial"/>
                <w:sz w:val="20"/>
                <w:szCs w:val="20"/>
              </w:rPr>
              <w:t>3B.12</w:t>
            </w:r>
          </w:p>
        </w:tc>
        <w:tc>
          <w:tcPr>
            <w:tcW w:w="1167" w:type="dxa"/>
          </w:tcPr>
          <w:p w14:paraId="2B61A37A" w14:textId="74957A78"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5BC95244" w14:textId="258848B4"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5565D777" w14:textId="7859E5A6"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3F07C520" w14:textId="6B287F39" w:rsidR="00C678C6" w:rsidRPr="0008285B" w:rsidRDefault="00C678C6" w:rsidP="00C678C6">
            <w:pPr>
              <w:rPr>
                <w:rFonts w:ascii="Arial" w:hAnsi="Arial" w:cs="Arial"/>
                <w:sz w:val="20"/>
                <w:szCs w:val="20"/>
              </w:rPr>
            </w:pPr>
            <w:r w:rsidRPr="00624999">
              <w:rPr>
                <w:rFonts w:ascii="Arial" w:hAnsi="Arial" w:cs="Arial"/>
                <w:sz w:val="20"/>
                <w:szCs w:val="20"/>
              </w:rPr>
              <w:t xml:space="preserve">NCUTCD generally agrees with 3B.12 </w:t>
            </w:r>
            <w:r w:rsidR="00F317FD">
              <w:rPr>
                <w:rFonts w:ascii="Arial" w:hAnsi="Arial" w:cs="Arial"/>
                <w:sz w:val="20"/>
                <w:szCs w:val="20"/>
              </w:rPr>
              <w:t>as presented in the NPA,</w:t>
            </w:r>
            <w:r w:rsidR="00F317FD">
              <w:rPr>
                <w:rFonts w:ascii="Arial" w:hAnsi="Arial" w:cs="Arial"/>
                <w:sz w:val="20"/>
                <w:szCs w:val="20"/>
              </w:rPr>
              <w:t xml:space="preserve"> </w:t>
            </w:r>
            <w:r w:rsidRPr="00624999">
              <w:rPr>
                <w:rFonts w:ascii="Arial" w:hAnsi="Arial" w:cs="Arial"/>
                <w:sz w:val="20"/>
                <w:szCs w:val="20"/>
              </w:rPr>
              <w:t xml:space="preserve">but recommends revising Item “A” of the Guidance statement to </w:t>
            </w:r>
            <w:r w:rsidR="005D3AC9">
              <w:rPr>
                <w:rFonts w:ascii="Arial" w:hAnsi="Arial" w:cs="Arial"/>
                <w:sz w:val="20"/>
                <w:szCs w:val="20"/>
              </w:rPr>
              <w:t>be</w:t>
            </w:r>
            <w:r w:rsidRPr="00624999">
              <w:rPr>
                <w:rFonts w:ascii="Arial" w:hAnsi="Arial" w:cs="Arial"/>
                <w:sz w:val="20"/>
                <w:szCs w:val="20"/>
              </w:rPr>
              <w:t xml:space="preserve"> consistent with Section 3G.04.</w:t>
            </w:r>
          </w:p>
        </w:tc>
      </w:tr>
      <w:tr w:rsidR="00C678C6" w14:paraId="399C6A2C" w14:textId="77777777" w:rsidTr="00FF21DF">
        <w:trPr>
          <w:cantSplit/>
        </w:trPr>
        <w:tc>
          <w:tcPr>
            <w:tcW w:w="1170" w:type="dxa"/>
          </w:tcPr>
          <w:p w14:paraId="43A2A3F9" w14:textId="583777F2" w:rsidR="00C678C6" w:rsidRDefault="00C678C6" w:rsidP="00C678C6">
            <w:pPr>
              <w:rPr>
                <w:rFonts w:ascii="Arial" w:hAnsi="Arial" w:cs="Arial"/>
                <w:sz w:val="20"/>
                <w:szCs w:val="20"/>
              </w:rPr>
            </w:pPr>
            <w:r>
              <w:rPr>
                <w:rFonts w:ascii="Arial" w:hAnsi="Arial" w:cs="Arial"/>
                <w:sz w:val="20"/>
                <w:szCs w:val="20"/>
              </w:rPr>
              <w:t>Figure 3B-14</w:t>
            </w:r>
          </w:p>
        </w:tc>
        <w:tc>
          <w:tcPr>
            <w:tcW w:w="1167" w:type="dxa"/>
          </w:tcPr>
          <w:p w14:paraId="51796232" w14:textId="76134656"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38B8F0BB" w14:textId="5C7E3BDD"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29F8043C" w14:textId="71CB7967"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2AC74485" w14:textId="0296F023"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14</w:t>
            </w:r>
            <w:r w:rsidRPr="00C4627D">
              <w:rPr>
                <w:rFonts w:ascii="Arial" w:hAnsi="Arial" w:cs="Arial"/>
                <w:sz w:val="20"/>
                <w:szCs w:val="20"/>
              </w:rPr>
              <w:t xml:space="preserve"> as presented in the NPA.</w:t>
            </w:r>
          </w:p>
        </w:tc>
      </w:tr>
      <w:tr w:rsidR="00C678C6" w14:paraId="04F8C22E" w14:textId="77777777" w:rsidTr="00FF21DF">
        <w:trPr>
          <w:cantSplit/>
        </w:trPr>
        <w:tc>
          <w:tcPr>
            <w:tcW w:w="1170" w:type="dxa"/>
          </w:tcPr>
          <w:p w14:paraId="3BEC01ED" w14:textId="7AA4DE47" w:rsidR="00C678C6" w:rsidRDefault="00C678C6" w:rsidP="00C678C6">
            <w:pPr>
              <w:rPr>
                <w:rFonts w:ascii="Arial" w:hAnsi="Arial" w:cs="Arial"/>
                <w:sz w:val="20"/>
                <w:szCs w:val="20"/>
              </w:rPr>
            </w:pPr>
            <w:r>
              <w:rPr>
                <w:rFonts w:ascii="Arial" w:hAnsi="Arial" w:cs="Arial"/>
                <w:sz w:val="20"/>
                <w:szCs w:val="20"/>
              </w:rPr>
              <w:t>3B.13</w:t>
            </w:r>
          </w:p>
        </w:tc>
        <w:tc>
          <w:tcPr>
            <w:tcW w:w="1167" w:type="dxa"/>
          </w:tcPr>
          <w:p w14:paraId="6812C3C7" w14:textId="6AEF0D7D"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32ED8B9A" w14:textId="6FE55E6E"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5E115268" w14:textId="4D64A310"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59935A36" w14:textId="3D350F52"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13</w:t>
            </w:r>
            <w:r w:rsidRPr="0008285B">
              <w:rPr>
                <w:rFonts w:ascii="Arial" w:hAnsi="Arial" w:cs="Arial"/>
                <w:sz w:val="20"/>
                <w:szCs w:val="20"/>
              </w:rPr>
              <w:t xml:space="preserve"> as presented in the NPA.</w:t>
            </w:r>
          </w:p>
        </w:tc>
      </w:tr>
      <w:tr w:rsidR="00C678C6" w14:paraId="336A8DD7" w14:textId="77777777" w:rsidTr="00FF21DF">
        <w:trPr>
          <w:cantSplit/>
        </w:trPr>
        <w:tc>
          <w:tcPr>
            <w:tcW w:w="1170" w:type="dxa"/>
          </w:tcPr>
          <w:p w14:paraId="4A1AE0FD" w14:textId="1087853B" w:rsidR="00C678C6" w:rsidRDefault="00C678C6" w:rsidP="00C678C6">
            <w:pPr>
              <w:rPr>
                <w:rFonts w:ascii="Arial" w:hAnsi="Arial" w:cs="Arial"/>
                <w:sz w:val="20"/>
                <w:szCs w:val="20"/>
              </w:rPr>
            </w:pPr>
            <w:r>
              <w:rPr>
                <w:rFonts w:ascii="Arial" w:hAnsi="Arial" w:cs="Arial"/>
                <w:sz w:val="20"/>
                <w:szCs w:val="20"/>
              </w:rPr>
              <w:t>Figure 3B-15</w:t>
            </w:r>
          </w:p>
        </w:tc>
        <w:tc>
          <w:tcPr>
            <w:tcW w:w="1167" w:type="dxa"/>
          </w:tcPr>
          <w:p w14:paraId="043626AD" w14:textId="4E371A56"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2C766961" w14:textId="32FA27F7"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55B5805C" w14:textId="41DBF696"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2F0A2642" w14:textId="6F2AF221"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15</w:t>
            </w:r>
            <w:r w:rsidRPr="00C4627D">
              <w:rPr>
                <w:rFonts w:ascii="Arial" w:hAnsi="Arial" w:cs="Arial"/>
                <w:sz w:val="20"/>
                <w:szCs w:val="20"/>
              </w:rPr>
              <w:t xml:space="preserve"> as presented in the NPA.</w:t>
            </w:r>
          </w:p>
        </w:tc>
      </w:tr>
      <w:tr w:rsidR="00C678C6" w14:paraId="7FEB40E4" w14:textId="77777777" w:rsidTr="00FF21DF">
        <w:trPr>
          <w:cantSplit/>
        </w:trPr>
        <w:tc>
          <w:tcPr>
            <w:tcW w:w="1170" w:type="dxa"/>
          </w:tcPr>
          <w:p w14:paraId="244E1B5B" w14:textId="1A310EF0" w:rsidR="00C678C6" w:rsidRDefault="00C678C6" w:rsidP="00C678C6">
            <w:pPr>
              <w:rPr>
                <w:rFonts w:ascii="Arial" w:hAnsi="Arial" w:cs="Arial"/>
                <w:sz w:val="20"/>
                <w:szCs w:val="20"/>
              </w:rPr>
            </w:pPr>
            <w:r>
              <w:rPr>
                <w:rFonts w:ascii="Arial" w:hAnsi="Arial" w:cs="Arial"/>
                <w:sz w:val="20"/>
                <w:szCs w:val="20"/>
              </w:rPr>
              <w:t>3B.14</w:t>
            </w:r>
          </w:p>
        </w:tc>
        <w:tc>
          <w:tcPr>
            <w:tcW w:w="1167" w:type="dxa"/>
          </w:tcPr>
          <w:p w14:paraId="637C4514" w14:textId="75FAD898"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3172F3FF" w14:textId="33542F03"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22074E69" w14:textId="3F9C603B"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0D57E4A5" w14:textId="0E8BB014" w:rsidR="00C678C6" w:rsidRPr="0008285B" w:rsidRDefault="0076292A" w:rsidP="00C678C6">
            <w:pPr>
              <w:rPr>
                <w:rFonts w:ascii="Arial" w:hAnsi="Arial" w:cs="Arial"/>
                <w:sz w:val="20"/>
                <w:szCs w:val="20"/>
              </w:rPr>
            </w:pPr>
            <w:r w:rsidRPr="0076292A">
              <w:rPr>
                <w:rFonts w:ascii="Arial" w:hAnsi="Arial" w:cs="Arial"/>
                <w:sz w:val="20"/>
                <w:szCs w:val="20"/>
              </w:rPr>
              <w:t>NCUTCD generally agrees with Figure 3B-14 as presented in the NPA, but recommends showing all signs and dimensions consistently with other Figures in other chapters of the MUTCD related to lane ends signing and markings.</w:t>
            </w:r>
          </w:p>
        </w:tc>
      </w:tr>
      <w:tr w:rsidR="00C678C6" w14:paraId="1283303E" w14:textId="77777777" w:rsidTr="00FF21DF">
        <w:trPr>
          <w:cantSplit/>
        </w:trPr>
        <w:tc>
          <w:tcPr>
            <w:tcW w:w="1170" w:type="dxa"/>
          </w:tcPr>
          <w:p w14:paraId="5C2C73CF" w14:textId="718D8D09" w:rsidR="00C678C6" w:rsidRDefault="00C678C6" w:rsidP="00C678C6">
            <w:pPr>
              <w:rPr>
                <w:rFonts w:ascii="Arial" w:hAnsi="Arial" w:cs="Arial"/>
                <w:sz w:val="20"/>
                <w:szCs w:val="20"/>
              </w:rPr>
            </w:pPr>
            <w:r>
              <w:rPr>
                <w:rFonts w:ascii="Arial" w:hAnsi="Arial" w:cs="Arial"/>
                <w:sz w:val="20"/>
                <w:szCs w:val="20"/>
              </w:rPr>
              <w:t>3B.15</w:t>
            </w:r>
          </w:p>
        </w:tc>
        <w:tc>
          <w:tcPr>
            <w:tcW w:w="1167" w:type="dxa"/>
          </w:tcPr>
          <w:p w14:paraId="3063A0A5" w14:textId="002F0023"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7916A89D" w14:textId="2624E262"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754F8498" w14:textId="700D8EC2"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069EBB46" w14:textId="0D0BE2D5"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15</w:t>
            </w:r>
            <w:r w:rsidRPr="0008285B">
              <w:rPr>
                <w:rFonts w:ascii="Arial" w:hAnsi="Arial" w:cs="Arial"/>
                <w:sz w:val="20"/>
                <w:szCs w:val="20"/>
              </w:rPr>
              <w:t xml:space="preserve"> as presented in the NPA.</w:t>
            </w:r>
          </w:p>
        </w:tc>
      </w:tr>
      <w:tr w:rsidR="00C678C6" w14:paraId="1AF4C622" w14:textId="77777777" w:rsidTr="00FF21DF">
        <w:trPr>
          <w:cantSplit/>
        </w:trPr>
        <w:tc>
          <w:tcPr>
            <w:tcW w:w="1170" w:type="dxa"/>
          </w:tcPr>
          <w:p w14:paraId="6BF3BA21" w14:textId="27330210" w:rsidR="00C678C6" w:rsidRDefault="00C678C6" w:rsidP="00C678C6">
            <w:pPr>
              <w:rPr>
                <w:rFonts w:ascii="Arial" w:hAnsi="Arial" w:cs="Arial"/>
                <w:sz w:val="20"/>
                <w:szCs w:val="20"/>
              </w:rPr>
            </w:pPr>
            <w:r>
              <w:rPr>
                <w:rFonts w:ascii="Arial" w:hAnsi="Arial" w:cs="Arial"/>
                <w:sz w:val="20"/>
                <w:szCs w:val="20"/>
              </w:rPr>
              <w:t>3B.16</w:t>
            </w:r>
          </w:p>
        </w:tc>
        <w:tc>
          <w:tcPr>
            <w:tcW w:w="1167" w:type="dxa"/>
          </w:tcPr>
          <w:p w14:paraId="00387DE7" w14:textId="40E5E0D3"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1242A86A" w14:textId="4DEEE12F"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2243A568" w14:textId="60419C71"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182D3FC9" w14:textId="5CA96EEF"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16</w:t>
            </w:r>
            <w:r w:rsidRPr="0008285B">
              <w:rPr>
                <w:rFonts w:ascii="Arial" w:hAnsi="Arial" w:cs="Arial"/>
                <w:sz w:val="20"/>
                <w:szCs w:val="20"/>
              </w:rPr>
              <w:t xml:space="preserve"> as presented in the NPA.</w:t>
            </w:r>
          </w:p>
        </w:tc>
      </w:tr>
      <w:tr w:rsidR="00C678C6" w14:paraId="221DED4C" w14:textId="77777777" w:rsidTr="00FF21DF">
        <w:trPr>
          <w:cantSplit/>
        </w:trPr>
        <w:tc>
          <w:tcPr>
            <w:tcW w:w="1170" w:type="dxa"/>
          </w:tcPr>
          <w:p w14:paraId="1ECF5488" w14:textId="11CB6FA9" w:rsidR="00C678C6" w:rsidRDefault="00C678C6" w:rsidP="00C678C6">
            <w:pPr>
              <w:rPr>
                <w:rFonts w:ascii="Arial" w:hAnsi="Arial" w:cs="Arial"/>
                <w:sz w:val="20"/>
                <w:szCs w:val="20"/>
              </w:rPr>
            </w:pPr>
            <w:r>
              <w:rPr>
                <w:rFonts w:ascii="Arial" w:hAnsi="Arial" w:cs="Arial"/>
                <w:sz w:val="20"/>
                <w:szCs w:val="20"/>
              </w:rPr>
              <w:t>3B.17</w:t>
            </w:r>
          </w:p>
        </w:tc>
        <w:tc>
          <w:tcPr>
            <w:tcW w:w="1167" w:type="dxa"/>
          </w:tcPr>
          <w:p w14:paraId="12EAA446" w14:textId="4641E194"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4EACD41E" w14:textId="6877CA09"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57524FB3" w14:textId="568EA691"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0BC866D7" w14:textId="3A950EB5"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17</w:t>
            </w:r>
            <w:r w:rsidRPr="0008285B">
              <w:rPr>
                <w:rFonts w:ascii="Arial" w:hAnsi="Arial" w:cs="Arial"/>
                <w:sz w:val="20"/>
                <w:szCs w:val="20"/>
              </w:rPr>
              <w:t xml:space="preserve"> as presented in the NPA.</w:t>
            </w:r>
          </w:p>
        </w:tc>
      </w:tr>
      <w:tr w:rsidR="00C678C6" w14:paraId="642C7E07" w14:textId="77777777" w:rsidTr="00FF21DF">
        <w:trPr>
          <w:cantSplit/>
        </w:trPr>
        <w:tc>
          <w:tcPr>
            <w:tcW w:w="1170" w:type="dxa"/>
          </w:tcPr>
          <w:p w14:paraId="52A623A2" w14:textId="1B162914" w:rsidR="00C678C6" w:rsidRDefault="00C678C6" w:rsidP="00C678C6">
            <w:pPr>
              <w:rPr>
                <w:rFonts w:ascii="Arial" w:hAnsi="Arial" w:cs="Arial"/>
                <w:sz w:val="20"/>
                <w:szCs w:val="20"/>
              </w:rPr>
            </w:pPr>
            <w:r>
              <w:rPr>
                <w:rFonts w:ascii="Arial" w:hAnsi="Arial" w:cs="Arial"/>
                <w:sz w:val="20"/>
                <w:szCs w:val="20"/>
              </w:rPr>
              <w:t>3B.18</w:t>
            </w:r>
          </w:p>
        </w:tc>
        <w:tc>
          <w:tcPr>
            <w:tcW w:w="1167" w:type="dxa"/>
          </w:tcPr>
          <w:p w14:paraId="4AB1F13E" w14:textId="0788D0B1"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2780A6E0" w14:textId="26BAC223"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0D8EA091" w14:textId="65B67627"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33B28F34" w14:textId="246586F2"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18</w:t>
            </w:r>
            <w:r w:rsidRPr="0008285B">
              <w:rPr>
                <w:rFonts w:ascii="Arial" w:hAnsi="Arial" w:cs="Arial"/>
                <w:sz w:val="20"/>
                <w:szCs w:val="20"/>
              </w:rPr>
              <w:t xml:space="preserve"> as presented in the NPA.</w:t>
            </w:r>
          </w:p>
        </w:tc>
      </w:tr>
      <w:tr w:rsidR="00C678C6" w14:paraId="0A87779B" w14:textId="77777777" w:rsidTr="00FF21DF">
        <w:trPr>
          <w:cantSplit/>
        </w:trPr>
        <w:tc>
          <w:tcPr>
            <w:tcW w:w="1170" w:type="dxa"/>
          </w:tcPr>
          <w:p w14:paraId="71312E3F" w14:textId="7D6F949F" w:rsidR="00C678C6" w:rsidRDefault="00C678C6" w:rsidP="00C678C6">
            <w:pPr>
              <w:rPr>
                <w:rFonts w:ascii="Arial" w:hAnsi="Arial" w:cs="Arial"/>
                <w:sz w:val="20"/>
                <w:szCs w:val="20"/>
              </w:rPr>
            </w:pPr>
            <w:r>
              <w:rPr>
                <w:rFonts w:ascii="Arial" w:hAnsi="Arial" w:cs="Arial"/>
                <w:sz w:val="20"/>
                <w:szCs w:val="20"/>
              </w:rPr>
              <w:t>3B.19</w:t>
            </w:r>
          </w:p>
        </w:tc>
        <w:tc>
          <w:tcPr>
            <w:tcW w:w="1167" w:type="dxa"/>
          </w:tcPr>
          <w:p w14:paraId="06C82C1D" w14:textId="07CFE0C5"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48510683" w14:textId="4CEE9196"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6773AF59" w14:textId="77540988"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5C1AC86A" w14:textId="32C11902"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19</w:t>
            </w:r>
            <w:r w:rsidRPr="0008285B">
              <w:rPr>
                <w:rFonts w:ascii="Arial" w:hAnsi="Arial" w:cs="Arial"/>
                <w:sz w:val="20"/>
                <w:szCs w:val="20"/>
              </w:rPr>
              <w:t xml:space="preserve"> as presented in the NPA.</w:t>
            </w:r>
          </w:p>
        </w:tc>
      </w:tr>
      <w:tr w:rsidR="00C678C6" w14:paraId="30F28080" w14:textId="77777777" w:rsidTr="00FF21DF">
        <w:trPr>
          <w:cantSplit/>
        </w:trPr>
        <w:tc>
          <w:tcPr>
            <w:tcW w:w="1170" w:type="dxa"/>
          </w:tcPr>
          <w:p w14:paraId="0524FD97" w14:textId="558A9F53" w:rsidR="00C678C6" w:rsidRDefault="00C678C6" w:rsidP="00C678C6">
            <w:pPr>
              <w:rPr>
                <w:rFonts w:ascii="Arial" w:hAnsi="Arial" w:cs="Arial"/>
                <w:sz w:val="20"/>
                <w:szCs w:val="20"/>
              </w:rPr>
            </w:pPr>
            <w:r>
              <w:rPr>
                <w:rFonts w:ascii="Arial" w:hAnsi="Arial" w:cs="Arial"/>
                <w:sz w:val="20"/>
                <w:szCs w:val="20"/>
              </w:rPr>
              <w:t>Figure 3B-16</w:t>
            </w:r>
          </w:p>
        </w:tc>
        <w:tc>
          <w:tcPr>
            <w:tcW w:w="1167" w:type="dxa"/>
          </w:tcPr>
          <w:p w14:paraId="772143B2" w14:textId="02D9BB90"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522F0C8F" w14:textId="75FD40FA"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72019E64" w14:textId="0FB2A379"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4326575E" w14:textId="32B7F7F8"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16</w:t>
            </w:r>
            <w:r w:rsidRPr="00C4627D">
              <w:rPr>
                <w:rFonts w:ascii="Arial" w:hAnsi="Arial" w:cs="Arial"/>
                <w:sz w:val="20"/>
                <w:szCs w:val="20"/>
              </w:rPr>
              <w:t xml:space="preserve"> as presented in the NPA.</w:t>
            </w:r>
          </w:p>
        </w:tc>
      </w:tr>
      <w:tr w:rsidR="00C678C6" w14:paraId="7B76BBEF" w14:textId="77777777" w:rsidTr="00FF21DF">
        <w:trPr>
          <w:cantSplit/>
        </w:trPr>
        <w:tc>
          <w:tcPr>
            <w:tcW w:w="1170" w:type="dxa"/>
          </w:tcPr>
          <w:p w14:paraId="17640386" w14:textId="63C6E171" w:rsidR="00C678C6" w:rsidRDefault="00C678C6" w:rsidP="00C678C6">
            <w:pPr>
              <w:rPr>
                <w:rFonts w:ascii="Arial" w:hAnsi="Arial" w:cs="Arial"/>
                <w:sz w:val="20"/>
                <w:szCs w:val="20"/>
              </w:rPr>
            </w:pPr>
            <w:r>
              <w:rPr>
                <w:rFonts w:ascii="Arial" w:hAnsi="Arial" w:cs="Arial"/>
                <w:sz w:val="20"/>
                <w:szCs w:val="20"/>
              </w:rPr>
              <w:t>3B.20</w:t>
            </w:r>
          </w:p>
        </w:tc>
        <w:tc>
          <w:tcPr>
            <w:tcW w:w="1167" w:type="dxa"/>
          </w:tcPr>
          <w:p w14:paraId="72E7EDEA" w14:textId="763694B9"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469F19BA" w14:textId="26F46522"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60AAC7D0" w14:textId="08D8A0CC"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12C06F33" w14:textId="2CB59FD4" w:rsidR="00C678C6" w:rsidRPr="0008285B" w:rsidRDefault="0076292A" w:rsidP="00C678C6">
            <w:pPr>
              <w:rPr>
                <w:rFonts w:ascii="Arial" w:hAnsi="Arial" w:cs="Arial"/>
                <w:sz w:val="20"/>
                <w:szCs w:val="20"/>
              </w:rPr>
            </w:pPr>
            <w:r w:rsidRPr="0076292A">
              <w:rPr>
                <w:rFonts w:ascii="Arial" w:hAnsi="Arial" w:cs="Arial"/>
                <w:sz w:val="20"/>
                <w:szCs w:val="20"/>
              </w:rPr>
              <w:t>NCUTCD generally agrees with 3B.20 as presented in the NPA, but recommends restoring wording from the 2009 MUTCD on marking color that appears to have been erroneously deleted.</w:t>
            </w:r>
          </w:p>
        </w:tc>
      </w:tr>
      <w:tr w:rsidR="00C678C6" w14:paraId="535EFD13" w14:textId="77777777" w:rsidTr="00FF21DF">
        <w:trPr>
          <w:cantSplit/>
        </w:trPr>
        <w:tc>
          <w:tcPr>
            <w:tcW w:w="1170" w:type="dxa"/>
          </w:tcPr>
          <w:p w14:paraId="3ECC3093" w14:textId="36FF6B5C" w:rsidR="00C678C6" w:rsidRDefault="00C678C6" w:rsidP="00C678C6">
            <w:pPr>
              <w:rPr>
                <w:rFonts w:ascii="Arial" w:hAnsi="Arial" w:cs="Arial"/>
                <w:sz w:val="20"/>
                <w:szCs w:val="20"/>
              </w:rPr>
            </w:pPr>
            <w:r>
              <w:rPr>
                <w:rFonts w:ascii="Arial" w:hAnsi="Arial" w:cs="Arial"/>
                <w:sz w:val="20"/>
                <w:szCs w:val="20"/>
              </w:rPr>
              <w:t>3B.21</w:t>
            </w:r>
          </w:p>
        </w:tc>
        <w:tc>
          <w:tcPr>
            <w:tcW w:w="1167" w:type="dxa"/>
          </w:tcPr>
          <w:p w14:paraId="3A705A88" w14:textId="561CEA4C"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034DF92A" w14:textId="2E555926"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615C66FE" w14:textId="1B49E418"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30E81AF5" w14:textId="58342159"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21</w:t>
            </w:r>
            <w:r w:rsidRPr="0008285B">
              <w:rPr>
                <w:rFonts w:ascii="Arial" w:hAnsi="Arial" w:cs="Arial"/>
                <w:sz w:val="20"/>
                <w:szCs w:val="20"/>
              </w:rPr>
              <w:t xml:space="preserve"> as presented in the NPA.</w:t>
            </w:r>
          </w:p>
        </w:tc>
      </w:tr>
      <w:tr w:rsidR="00C678C6" w14:paraId="061DF9A7" w14:textId="77777777" w:rsidTr="00FF21DF">
        <w:trPr>
          <w:cantSplit/>
        </w:trPr>
        <w:tc>
          <w:tcPr>
            <w:tcW w:w="1170" w:type="dxa"/>
          </w:tcPr>
          <w:p w14:paraId="489E1D99" w14:textId="40D282DC" w:rsidR="00C678C6" w:rsidRDefault="00C678C6" w:rsidP="00C678C6">
            <w:pPr>
              <w:rPr>
                <w:rFonts w:ascii="Arial" w:hAnsi="Arial" w:cs="Arial"/>
                <w:sz w:val="20"/>
                <w:szCs w:val="20"/>
              </w:rPr>
            </w:pPr>
            <w:r>
              <w:rPr>
                <w:rFonts w:ascii="Arial" w:hAnsi="Arial" w:cs="Arial"/>
                <w:sz w:val="20"/>
                <w:szCs w:val="20"/>
              </w:rPr>
              <w:t>Figure 3B-17</w:t>
            </w:r>
          </w:p>
        </w:tc>
        <w:tc>
          <w:tcPr>
            <w:tcW w:w="1167" w:type="dxa"/>
          </w:tcPr>
          <w:p w14:paraId="74E2567D" w14:textId="3C8E5BD2"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2A1CE66F" w14:textId="3C65689F"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31C0EEE4" w14:textId="196B73BB"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51996E01" w14:textId="62F8EA41"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17</w:t>
            </w:r>
            <w:r w:rsidRPr="00C4627D">
              <w:rPr>
                <w:rFonts w:ascii="Arial" w:hAnsi="Arial" w:cs="Arial"/>
                <w:sz w:val="20"/>
                <w:szCs w:val="20"/>
              </w:rPr>
              <w:t xml:space="preserve"> as presented in the NPA.</w:t>
            </w:r>
          </w:p>
        </w:tc>
      </w:tr>
      <w:tr w:rsidR="00C678C6" w14:paraId="319315E9" w14:textId="77777777" w:rsidTr="00FF21DF">
        <w:trPr>
          <w:cantSplit/>
        </w:trPr>
        <w:tc>
          <w:tcPr>
            <w:tcW w:w="1170" w:type="dxa"/>
          </w:tcPr>
          <w:p w14:paraId="6C2EDA4D" w14:textId="625446E8" w:rsidR="00C678C6" w:rsidRDefault="00C678C6" w:rsidP="00C678C6">
            <w:pPr>
              <w:rPr>
                <w:rFonts w:ascii="Arial" w:hAnsi="Arial" w:cs="Arial"/>
                <w:sz w:val="20"/>
                <w:szCs w:val="20"/>
              </w:rPr>
            </w:pPr>
            <w:r>
              <w:rPr>
                <w:rFonts w:ascii="Arial" w:hAnsi="Arial" w:cs="Arial"/>
                <w:sz w:val="20"/>
                <w:szCs w:val="20"/>
              </w:rPr>
              <w:t>3B.22</w:t>
            </w:r>
          </w:p>
        </w:tc>
        <w:tc>
          <w:tcPr>
            <w:tcW w:w="1167" w:type="dxa"/>
          </w:tcPr>
          <w:p w14:paraId="5C79AE76" w14:textId="018ADBE4"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4326D3B0" w14:textId="47227C4A"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4393D337" w14:textId="11070CA5"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191ABB60" w14:textId="11BF5C24"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22</w:t>
            </w:r>
            <w:r w:rsidRPr="0008285B">
              <w:rPr>
                <w:rFonts w:ascii="Arial" w:hAnsi="Arial" w:cs="Arial"/>
                <w:sz w:val="20"/>
                <w:szCs w:val="20"/>
              </w:rPr>
              <w:t xml:space="preserve"> as presented in the NPA.</w:t>
            </w:r>
          </w:p>
        </w:tc>
      </w:tr>
      <w:tr w:rsidR="00C678C6" w14:paraId="38694148" w14:textId="77777777" w:rsidTr="00FF21DF">
        <w:trPr>
          <w:cantSplit/>
        </w:trPr>
        <w:tc>
          <w:tcPr>
            <w:tcW w:w="1170" w:type="dxa"/>
          </w:tcPr>
          <w:p w14:paraId="5CBE7CD1" w14:textId="51F5F62B" w:rsidR="00C678C6" w:rsidRDefault="00C678C6" w:rsidP="00C678C6">
            <w:pPr>
              <w:rPr>
                <w:rFonts w:ascii="Arial" w:hAnsi="Arial" w:cs="Arial"/>
                <w:sz w:val="20"/>
                <w:szCs w:val="20"/>
              </w:rPr>
            </w:pPr>
            <w:r>
              <w:rPr>
                <w:rFonts w:ascii="Arial" w:hAnsi="Arial" w:cs="Arial"/>
                <w:sz w:val="20"/>
                <w:szCs w:val="20"/>
              </w:rPr>
              <w:t>Figure 3B-18</w:t>
            </w:r>
          </w:p>
        </w:tc>
        <w:tc>
          <w:tcPr>
            <w:tcW w:w="1167" w:type="dxa"/>
          </w:tcPr>
          <w:p w14:paraId="12C75178" w14:textId="6A76666E"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038D1F85" w14:textId="5B448B4A"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57FEEA43" w14:textId="6FA06B60"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696DE7FA" w14:textId="3E1D1300"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18</w:t>
            </w:r>
            <w:r w:rsidRPr="00C4627D">
              <w:rPr>
                <w:rFonts w:ascii="Arial" w:hAnsi="Arial" w:cs="Arial"/>
                <w:sz w:val="20"/>
                <w:szCs w:val="20"/>
              </w:rPr>
              <w:t xml:space="preserve"> as presented in the NPA.</w:t>
            </w:r>
          </w:p>
        </w:tc>
      </w:tr>
      <w:tr w:rsidR="00C678C6" w14:paraId="3995A637" w14:textId="77777777" w:rsidTr="00FF21DF">
        <w:trPr>
          <w:cantSplit/>
        </w:trPr>
        <w:tc>
          <w:tcPr>
            <w:tcW w:w="1170" w:type="dxa"/>
          </w:tcPr>
          <w:p w14:paraId="1F7ABFB0" w14:textId="2B0F5D8D" w:rsidR="00C678C6" w:rsidRDefault="00C678C6" w:rsidP="00C678C6">
            <w:pPr>
              <w:rPr>
                <w:rFonts w:ascii="Arial" w:hAnsi="Arial" w:cs="Arial"/>
                <w:sz w:val="20"/>
                <w:szCs w:val="20"/>
              </w:rPr>
            </w:pPr>
            <w:r>
              <w:rPr>
                <w:rFonts w:ascii="Arial" w:hAnsi="Arial" w:cs="Arial"/>
                <w:sz w:val="20"/>
                <w:szCs w:val="20"/>
              </w:rPr>
              <w:t>Figure 3B-19</w:t>
            </w:r>
          </w:p>
        </w:tc>
        <w:tc>
          <w:tcPr>
            <w:tcW w:w="1167" w:type="dxa"/>
          </w:tcPr>
          <w:p w14:paraId="431887DF" w14:textId="36218F6D"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1F21540D" w14:textId="40880D88"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5CA228A0" w14:textId="3E7BF871"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53FD5AEA" w14:textId="59D49710"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19</w:t>
            </w:r>
            <w:r w:rsidRPr="00C4627D">
              <w:rPr>
                <w:rFonts w:ascii="Arial" w:hAnsi="Arial" w:cs="Arial"/>
                <w:sz w:val="20"/>
                <w:szCs w:val="20"/>
              </w:rPr>
              <w:t xml:space="preserve"> as presented in the NPA.</w:t>
            </w:r>
          </w:p>
        </w:tc>
      </w:tr>
      <w:tr w:rsidR="00C678C6" w14:paraId="032EAF5F" w14:textId="77777777" w:rsidTr="00FF21DF">
        <w:trPr>
          <w:cantSplit/>
        </w:trPr>
        <w:tc>
          <w:tcPr>
            <w:tcW w:w="1170" w:type="dxa"/>
          </w:tcPr>
          <w:p w14:paraId="3E07917D" w14:textId="557A8007" w:rsidR="00C678C6" w:rsidRDefault="00C678C6" w:rsidP="00C678C6">
            <w:pPr>
              <w:rPr>
                <w:rFonts w:ascii="Arial" w:hAnsi="Arial" w:cs="Arial"/>
                <w:sz w:val="20"/>
                <w:szCs w:val="20"/>
              </w:rPr>
            </w:pPr>
            <w:r>
              <w:rPr>
                <w:rFonts w:ascii="Arial" w:hAnsi="Arial" w:cs="Arial"/>
                <w:sz w:val="20"/>
                <w:szCs w:val="20"/>
              </w:rPr>
              <w:t>Figure 3B-20</w:t>
            </w:r>
          </w:p>
        </w:tc>
        <w:tc>
          <w:tcPr>
            <w:tcW w:w="1167" w:type="dxa"/>
          </w:tcPr>
          <w:p w14:paraId="436545C5" w14:textId="1663112F"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1F327CD9" w14:textId="7196FFDB"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6EEC41FC" w14:textId="48E265DA"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78AC4061" w14:textId="277974A0"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20</w:t>
            </w:r>
            <w:r w:rsidRPr="00C4627D">
              <w:rPr>
                <w:rFonts w:ascii="Arial" w:hAnsi="Arial" w:cs="Arial"/>
                <w:sz w:val="20"/>
                <w:szCs w:val="20"/>
              </w:rPr>
              <w:t xml:space="preserve"> as presented in the NPA.</w:t>
            </w:r>
          </w:p>
        </w:tc>
      </w:tr>
      <w:tr w:rsidR="00C678C6" w14:paraId="2D775C8F" w14:textId="77777777" w:rsidTr="00FF21DF">
        <w:trPr>
          <w:cantSplit/>
        </w:trPr>
        <w:tc>
          <w:tcPr>
            <w:tcW w:w="1170" w:type="dxa"/>
          </w:tcPr>
          <w:p w14:paraId="5D9461CC" w14:textId="7FE29253" w:rsidR="00C678C6" w:rsidRDefault="00C678C6" w:rsidP="00C678C6">
            <w:pPr>
              <w:rPr>
                <w:rFonts w:ascii="Arial" w:hAnsi="Arial" w:cs="Arial"/>
                <w:sz w:val="20"/>
                <w:szCs w:val="20"/>
              </w:rPr>
            </w:pPr>
            <w:r>
              <w:rPr>
                <w:rFonts w:ascii="Arial" w:hAnsi="Arial" w:cs="Arial"/>
                <w:sz w:val="20"/>
                <w:szCs w:val="20"/>
              </w:rPr>
              <w:t>3B.23</w:t>
            </w:r>
          </w:p>
        </w:tc>
        <w:tc>
          <w:tcPr>
            <w:tcW w:w="1167" w:type="dxa"/>
          </w:tcPr>
          <w:p w14:paraId="2078BD8E" w14:textId="0A6EC652"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530CC062" w14:textId="56BAE139"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2B3D5A9A" w14:textId="5A5F32B4"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6BC9881B" w14:textId="3D9F9517"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23</w:t>
            </w:r>
            <w:r w:rsidRPr="0008285B">
              <w:rPr>
                <w:rFonts w:ascii="Arial" w:hAnsi="Arial" w:cs="Arial"/>
                <w:sz w:val="20"/>
                <w:szCs w:val="20"/>
              </w:rPr>
              <w:t xml:space="preserve"> as presented in the NPA.</w:t>
            </w:r>
          </w:p>
        </w:tc>
      </w:tr>
      <w:tr w:rsidR="00C678C6" w14:paraId="025CE3E1" w14:textId="77777777" w:rsidTr="00FF21DF">
        <w:trPr>
          <w:cantSplit/>
        </w:trPr>
        <w:tc>
          <w:tcPr>
            <w:tcW w:w="1170" w:type="dxa"/>
          </w:tcPr>
          <w:p w14:paraId="03A9DB6F" w14:textId="76CCE975" w:rsidR="00C678C6" w:rsidRDefault="00C678C6" w:rsidP="00C678C6">
            <w:pPr>
              <w:rPr>
                <w:rFonts w:ascii="Arial" w:hAnsi="Arial" w:cs="Arial"/>
                <w:sz w:val="20"/>
                <w:szCs w:val="20"/>
              </w:rPr>
            </w:pPr>
            <w:r>
              <w:rPr>
                <w:rFonts w:ascii="Arial" w:hAnsi="Arial" w:cs="Arial"/>
                <w:sz w:val="20"/>
                <w:szCs w:val="20"/>
              </w:rPr>
              <w:t>Figure 3B-21</w:t>
            </w:r>
          </w:p>
        </w:tc>
        <w:tc>
          <w:tcPr>
            <w:tcW w:w="1167" w:type="dxa"/>
          </w:tcPr>
          <w:p w14:paraId="2653F510" w14:textId="24978DAC"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7DED2214" w14:textId="6522B38F"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0D414D1C" w14:textId="7F4F5800"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1D37D7C2" w14:textId="2A48A387"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21</w:t>
            </w:r>
            <w:r w:rsidRPr="00C4627D">
              <w:rPr>
                <w:rFonts w:ascii="Arial" w:hAnsi="Arial" w:cs="Arial"/>
                <w:sz w:val="20"/>
                <w:szCs w:val="20"/>
              </w:rPr>
              <w:t xml:space="preserve"> as presented in the NPA.</w:t>
            </w:r>
          </w:p>
        </w:tc>
      </w:tr>
      <w:tr w:rsidR="00C678C6" w14:paraId="01936A3D" w14:textId="77777777" w:rsidTr="00FF21DF">
        <w:trPr>
          <w:cantSplit/>
        </w:trPr>
        <w:tc>
          <w:tcPr>
            <w:tcW w:w="1170" w:type="dxa"/>
          </w:tcPr>
          <w:p w14:paraId="6787E4B3" w14:textId="57873D79" w:rsidR="00C678C6" w:rsidRDefault="00C678C6" w:rsidP="00C678C6">
            <w:pPr>
              <w:rPr>
                <w:rFonts w:ascii="Arial" w:hAnsi="Arial" w:cs="Arial"/>
                <w:sz w:val="20"/>
                <w:szCs w:val="20"/>
              </w:rPr>
            </w:pPr>
            <w:r>
              <w:rPr>
                <w:rFonts w:ascii="Arial" w:hAnsi="Arial" w:cs="Arial"/>
                <w:sz w:val="20"/>
                <w:szCs w:val="20"/>
              </w:rPr>
              <w:t>Figure 3B-22</w:t>
            </w:r>
          </w:p>
        </w:tc>
        <w:tc>
          <w:tcPr>
            <w:tcW w:w="1167" w:type="dxa"/>
          </w:tcPr>
          <w:p w14:paraId="635DA74E" w14:textId="4F13BC04"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1AE833FB" w14:textId="4320CA4F"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591ED316" w14:textId="5BFDFEE8"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0E94E7F5" w14:textId="0560AB07"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22</w:t>
            </w:r>
            <w:r w:rsidRPr="00C4627D">
              <w:rPr>
                <w:rFonts w:ascii="Arial" w:hAnsi="Arial" w:cs="Arial"/>
                <w:sz w:val="20"/>
                <w:szCs w:val="20"/>
              </w:rPr>
              <w:t xml:space="preserve"> as presented in the NPA.</w:t>
            </w:r>
          </w:p>
        </w:tc>
      </w:tr>
      <w:tr w:rsidR="00C678C6" w14:paraId="40FB664D" w14:textId="77777777" w:rsidTr="00FF21DF">
        <w:trPr>
          <w:cantSplit/>
        </w:trPr>
        <w:tc>
          <w:tcPr>
            <w:tcW w:w="1170" w:type="dxa"/>
          </w:tcPr>
          <w:p w14:paraId="76A04E89" w14:textId="55004ECE" w:rsidR="00C678C6" w:rsidRDefault="00C678C6" w:rsidP="00C678C6">
            <w:pPr>
              <w:rPr>
                <w:rFonts w:ascii="Arial" w:hAnsi="Arial" w:cs="Arial"/>
                <w:sz w:val="20"/>
                <w:szCs w:val="20"/>
              </w:rPr>
            </w:pPr>
            <w:r>
              <w:rPr>
                <w:rFonts w:ascii="Arial" w:hAnsi="Arial" w:cs="Arial"/>
                <w:sz w:val="20"/>
                <w:szCs w:val="20"/>
              </w:rPr>
              <w:t>3B.24</w:t>
            </w:r>
          </w:p>
        </w:tc>
        <w:tc>
          <w:tcPr>
            <w:tcW w:w="1167" w:type="dxa"/>
          </w:tcPr>
          <w:p w14:paraId="7EF1D2CE" w14:textId="64744EBE"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1E311E8D" w14:textId="5CFDBFCA"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5D6DC87C" w14:textId="0DB39063"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57B11EE7" w14:textId="1730E048"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24</w:t>
            </w:r>
            <w:r w:rsidRPr="0008285B">
              <w:rPr>
                <w:rFonts w:ascii="Arial" w:hAnsi="Arial" w:cs="Arial"/>
                <w:sz w:val="20"/>
                <w:szCs w:val="20"/>
              </w:rPr>
              <w:t xml:space="preserve"> as presented in the NPA.</w:t>
            </w:r>
          </w:p>
        </w:tc>
      </w:tr>
      <w:tr w:rsidR="00C678C6" w14:paraId="5F809FA7" w14:textId="77777777" w:rsidTr="00FF21DF">
        <w:trPr>
          <w:cantSplit/>
        </w:trPr>
        <w:tc>
          <w:tcPr>
            <w:tcW w:w="1170" w:type="dxa"/>
          </w:tcPr>
          <w:p w14:paraId="4101CF67" w14:textId="7F614277" w:rsidR="00C678C6" w:rsidRDefault="00C678C6" w:rsidP="00C678C6">
            <w:pPr>
              <w:rPr>
                <w:rFonts w:ascii="Arial" w:hAnsi="Arial" w:cs="Arial"/>
                <w:sz w:val="20"/>
                <w:szCs w:val="20"/>
              </w:rPr>
            </w:pPr>
            <w:r>
              <w:rPr>
                <w:rFonts w:ascii="Arial" w:hAnsi="Arial" w:cs="Arial"/>
                <w:sz w:val="20"/>
                <w:szCs w:val="20"/>
              </w:rPr>
              <w:lastRenderedPageBreak/>
              <w:t>3B.25</w:t>
            </w:r>
          </w:p>
        </w:tc>
        <w:tc>
          <w:tcPr>
            <w:tcW w:w="1167" w:type="dxa"/>
          </w:tcPr>
          <w:p w14:paraId="7D7E6B3F" w14:textId="73AD0D9F"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75E53F01" w14:textId="50F08A31"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76AEF196" w14:textId="36F25657"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36E37D4A" w14:textId="77777777" w:rsidR="00207A24" w:rsidRPr="00207A24" w:rsidRDefault="00207A24" w:rsidP="00207A24">
            <w:pPr>
              <w:rPr>
                <w:rFonts w:ascii="Arial" w:hAnsi="Arial" w:cs="Arial"/>
                <w:sz w:val="20"/>
                <w:szCs w:val="20"/>
              </w:rPr>
            </w:pPr>
            <w:r w:rsidRPr="00207A24">
              <w:rPr>
                <w:rFonts w:ascii="Arial" w:hAnsi="Arial" w:cs="Arial"/>
                <w:sz w:val="20"/>
                <w:szCs w:val="20"/>
              </w:rPr>
              <w:t>NCUTCD recommends revising 3B.25 as follows:</w:t>
            </w:r>
          </w:p>
          <w:p w14:paraId="504A4E2F" w14:textId="1866F3A1"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 xml:space="preserve">Revise the first Guidance statement as an Option statement, because although chevron markings in some locations can show operational and safety benefits, resource and funding limitations may restrict an agency from the ability to consistently install and maintain these markings   </w:t>
            </w:r>
          </w:p>
          <w:p w14:paraId="4DA633CB" w14:textId="67D253DF"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Revise the first Guidance (recommended Option) statement to clarify and simplify wording</w:t>
            </w:r>
          </w:p>
          <w:p w14:paraId="7C1DE0F6" w14:textId="15E8090C"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Delete the final paragraph in the first Guidance (recommended Option) statement, as it is unnecessary</w:t>
            </w:r>
          </w:p>
          <w:p w14:paraId="214C44FD" w14:textId="4DCEC68B"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Revise the first Standard statement to simplify the wording, as chevron markings will always be white as they are placed between traffic in the same direction</w:t>
            </w:r>
          </w:p>
          <w:p w14:paraId="05FF6F10" w14:textId="72E4B30E"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Revise the second Guidance statement as an Option for consistency within the Section</w:t>
            </w:r>
          </w:p>
          <w:p w14:paraId="3354616D" w14:textId="48CABF94"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Delete the final paragraph in the second Guidance (recommended Option) statement, as it is unnecessary</w:t>
            </w:r>
          </w:p>
          <w:p w14:paraId="472A574F" w14:textId="7F180520"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Revise the second Option statement to delete redundant wording and consolidate material</w:t>
            </w:r>
          </w:p>
          <w:p w14:paraId="3E643AD4" w14:textId="5691547B"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Revise the second Standard statement to simplify the wording and consolidate material</w:t>
            </w:r>
          </w:p>
          <w:p w14:paraId="2631BBA5" w14:textId="0BC28608"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Revise the third Guidance statement to simplify the wording and consolidate material</w:t>
            </w:r>
          </w:p>
          <w:p w14:paraId="5CF8809B" w14:textId="549E869F" w:rsidR="00207A24"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Revise the final Option statement to simplify the wording and consolidate material</w:t>
            </w:r>
          </w:p>
          <w:p w14:paraId="3076FACF" w14:textId="5F94F191" w:rsidR="00C678C6" w:rsidRPr="00207A24" w:rsidRDefault="00207A24" w:rsidP="00207A24">
            <w:pPr>
              <w:pStyle w:val="ListParagraph"/>
              <w:numPr>
                <w:ilvl w:val="0"/>
                <w:numId w:val="7"/>
              </w:numPr>
              <w:rPr>
                <w:rFonts w:ascii="Arial" w:hAnsi="Arial" w:cs="Arial"/>
                <w:sz w:val="20"/>
                <w:szCs w:val="20"/>
              </w:rPr>
            </w:pPr>
            <w:r w:rsidRPr="00207A24">
              <w:rPr>
                <w:rFonts w:ascii="Arial" w:hAnsi="Arial" w:cs="Arial"/>
                <w:sz w:val="20"/>
                <w:szCs w:val="20"/>
              </w:rPr>
              <w:t>Revise figure references as needed throughout the Section</w:t>
            </w:r>
          </w:p>
        </w:tc>
      </w:tr>
      <w:tr w:rsidR="00C678C6" w14:paraId="02869873" w14:textId="77777777" w:rsidTr="00FF21DF">
        <w:trPr>
          <w:cantSplit/>
        </w:trPr>
        <w:tc>
          <w:tcPr>
            <w:tcW w:w="1170" w:type="dxa"/>
          </w:tcPr>
          <w:p w14:paraId="59002611" w14:textId="3456E25B" w:rsidR="00C678C6" w:rsidRDefault="00C678C6" w:rsidP="00C678C6">
            <w:pPr>
              <w:rPr>
                <w:rFonts w:ascii="Arial" w:hAnsi="Arial" w:cs="Arial"/>
                <w:sz w:val="20"/>
                <w:szCs w:val="20"/>
              </w:rPr>
            </w:pPr>
            <w:r>
              <w:rPr>
                <w:rFonts w:ascii="Arial" w:hAnsi="Arial" w:cs="Arial"/>
                <w:sz w:val="20"/>
                <w:szCs w:val="20"/>
              </w:rPr>
              <w:t>3B.26</w:t>
            </w:r>
          </w:p>
        </w:tc>
        <w:tc>
          <w:tcPr>
            <w:tcW w:w="1167" w:type="dxa"/>
          </w:tcPr>
          <w:p w14:paraId="75C14A7E" w14:textId="79C0E529"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1353A855" w14:textId="78245EEF"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0B6D6F5E" w14:textId="265AFF92"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00561C41" w14:textId="7E5A24C4"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26</w:t>
            </w:r>
            <w:r w:rsidRPr="0008285B">
              <w:rPr>
                <w:rFonts w:ascii="Arial" w:hAnsi="Arial" w:cs="Arial"/>
                <w:sz w:val="20"/>
                <w:szCs w:val="20"/>
              </w:rPr>
              <w:t xml:space="preserve"> as presented in the NPA.</w:t>
            </w:r>
          </w:p>
        </w:tc>
      </w:tr>
      <w:tr w:rsidR="00C678C6" w14:paraId="61707BF0" w14:textId="77777777" w:rsidTr="00FF21DF">
        <w:trPr>
          <w:cantSplit/>
        </w:trPr>
        <w:tc>
          <w:tcPr>
            <w:tcW w:w="1170" w:type="dxa"/>
          </w:tcPr>
          <w:p w14:paraId="669A9822" w14:textId="57AAEF85" w:rsidR="00C678C6" w:rsidRDefault="00C678C6" w:rsidP="00C678C6">
            <w:pPr>
              <w:rPr>
                <w:rFonts w:ascii="Arial" w:hAnsi="Arial" w:cs="Arial"/>
                <w:sz w:val="20"/>
                <w:szCs w:val="20"/>
              </w:rPr>
            </w:pPr>
            <w:r>
              <w:rPr>
                <w:rFonts w:ascii="Arial" w:hAnsi="Arial" w:cs="Arial"/>
                <w:sz w:val="20"/>
                <w:szCs w:val="20"/>
              </w:rPr>
              <w:t>Figure 3B-23</w:t>
            </w:r>
          </w:p>
        </w:tc>
        <w:tc>
          <w:tcPr>
            <w:tcW w:w="1167" w:type="dxa"/>
          </w:tcPr>
          <w:p w14:paraId="53CB2D7D" w14:textId="238E90F9"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349CE5C9" w14:textId="2F5C5415"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02280D8A" w14:textId="0412893E"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559C1F7A" w14:textId="1ED9AA45"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23</w:t>
            </w:r>
            <w:r w:rsidRPr="00C4627D">
              <w:rPr>
                <w:rFonts w:ascii="Arial" w:hAnsi="Arial" w:cs="Arial"/>
                <w:sz w:val="20"/>
                <w:szCs w:val="20"/>
              </w:rPr>
              <w:t xml:space="preserve"> as presented in the NPA.</w:t>
            </w:r>
          </w:p>
        </w:tc>
      </w:tr>
      <w:tr w:rsidR="00C678C6" w14:paraId="1E0E28BA" w14:textId="77777777" w:rsidTr="00FF21DF">
        <w:trPr>
          <w:cantSplit/>
        </w:trPr>
        <w:tc>
          <w:tcPr>
            <w:tcW w:w="1170" w:type="dxa"/>
          </w:tcPr>
          <w:p w14:paraId="318C14AF" w14:textId="3A6B722D" w:rsidR="00C678C6" w:rsidRDefault="00C678C6" w:rsidP="00C678C6">
            <w:pPr>
              <w:rPr>
                <w:rFonts w:ascii="Arial" w:hAnsi="Arial" w:cs="Arial"/>
                <w:sz w:val="20"/>
                <w:szCs w:val="20"/>
              </w:rPr>
            </w:pPr>
            <w:r>
              <w:rPr>
                <w:rFonts w:ascii="Arial" w:hAnsi="Arial" w:cs="Arial"/>
                <w:sz w:val="20"/>
                <w:szCs w:val="20"/>
              </w:rPr>
              <w:t>3B.27</w:t>
            </w:r>
          </w:p>
        </w:tc>
        <w:tc>
          <w:tcPr>
            <w:tcW w:w="1167" w:type="dxa"/>
          </w:tcPr>
          <w:p w14:paraId="66023DF0" w14:textId="64DB892D"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7F0EFB26" w14:textId="552A72EA"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7CC5CE46" w14:textId="5887669B"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4B873BCE" w14:textId="30EC3B53"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27</w:t>
            </w:r>
            <w:r w:rsidRPr="0008285B">
              <w:rPr>
                <w:rFonts w:ascii="Arial" w:hAnsi="Arial" w:cs="Arial"/>
                <w:sz w:val="20"/>
                <w:szCs w:val="20"/>
              </w:rPr>
              <w:t xml:space="preserve"> as presented in the NPA.</w:t>
            </w:r>
          </w:p>
        </w:tc>
      </w:tr>
      <w:tr w:rsidR="00C678C6" w14:paraId="7D9E7DFC" w14:textId="77777777" w:rsidTr="00FF21DF">
        <w:trPr>
          <w:cantSplit/>
        </w:trPr>
        <w:tc>
          <w:tcPr>
            <w:tcW w:w="1170" w:type="dxa"/>
          </w:tcPr>
          <w:p w14:paraId="5202CBAC" w14:textId="2BD5CB3D" w:rsidR="00C678C6" w:rsidRDefault="00C678C6" w:rsidP="00C678C6">
            <w:pPr>
              <w:rPr>
                <w:rFonts w:ascii="Arial" w:hAnsi="Arial" w:cs="Arial"/>
                <w:sz w:val="20"/>
                <w:szCs w:val="20"/>
              </w:rPr>
            </w:pPr>
            <w:r>
              <w:rPr>
                <w:rFonts w:ascii="Arial" w:hAnsi="Arial" w:cs="Arial"/>
                <w:sz w:val="20"/>
                <w:szCs w:val="20"/>
              </w:rPr>
              <w:t>Figure 3B-24</w:t>
            </w:r>
          </w:p>
        </w:tc>
        <w:tc>
          <w:tcPr>
            <w:tcW w:w="1167" w:type="dxa"/>
          </w:tcPr>
          <w:p w14:paraId="504C58BB" w14:textId="58AC20A3"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1BF4D035" w14:textId="5E6CEA80"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19E445AB" w14:textId="136D0FD0"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65515E60" w14:textId="6CEA8F0D"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24</w:t>
            </w:r>
            <w:r w:rsidRPr="00C4627D">
              <w:rPr>
                <w:rFonts w:ascii="Arial" w:hAnsi="Arial" w:cs="Arial"/>
                <w:sz w:val="20"/>
                <w:szCs w:val="20"/>
              </w:rPr>
              <w:t xml:space="preserve"> as presented in the NPA.</w:t>
            </w:r>
          </w:p>
        </w:tc>
      </w:tr>
      <w:tr w:rsidR="00C678C6" w14:paraId="3051EA4D" w14:textId="77777777" w:rsidTr="00FF21DF">
        <w:trPr>
          <w:cantSplit/>
        </w:trPr>
        <w:tc>
          <w:tcPr>
            <w:tcW w:w="1170" w:type="dxa"/>
          </w:tcPr>
          <w:p w14:paraId="1530BC26" w14:textId="4E96A228" w:rsidR="00C678C6" w:rsidRDefault="00C678C6" w:rsidP="00C678C6">
            <w:pPr>
              <w:rPr>
                <w:rFonts w:ascii="Arial" w:hAnsi="Arial" w:cs="Arial"/>
                <w:sz w:val="20"/>
                <w:szCs w:val="20"/>
              </w:rPr>
            </w:pPr>
            <w:r>
              <w:rPr>
                <w:rFonts w:ascii="Arial" w:hAnsi="Arial" w:cs="Arial"/>
                <w:sz w:val="20"/>
                <w:szCs w:val="20"/>
              </w:rPr>
              <w:t>3B.28</w:t>
            </w:r>
          </w:p>
        </w:tc>
        <w:tc>
          <w:tcPr>
            <w:tcW w:w="1167" w:type="dxa"/>
          </w:tcPr>
          <w:p w14:paraId="09AEB51B" w14:textId="1E03260B"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0E66823C" w14:textId="79D7369B"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0D9EFED5" w14:textId="5056C481"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27A2EC59" w14:textId="79C5882A"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28</w:t>
            </w:r>
            <w:r w:rsidRPr="0008285B">
              <w:rPr>
                <w:rFonts w:ascii="Arial" w:hAnsi="Arial" w:cs="Arial"/>
                <w:sz w:val="20"/>
                <w:szCs w:val="20"/>
              </w:rPr>
              <w:t xml:space="preserve"> as presented in the NPA.</w:t>
            </w:r>
          </w:p>
        </w:tc>
      </w:tr>
      <w:tr w:rsidR="00C678C6" w14:paraId="459F7C4B" w14:textId="77777777" w:rsidTr="00FF21DF">
        <w:trPr>
          <w:cantSplit/>
        </w:trPr>
        <w:tc>
          <w:tcPr>
            <w:tcW w:w="1170" w:type="dxa"/>
          </w:tcPr>
          <w:p w14:paraId="2B060927" w14:textId="5EC8C5F8" w:rsidR="00C678C6" w:rsidRDefault="00C678C6" w:rsidP="00C678C6">
            <w:pPr>
              <w:rPr>
                <w:rFonts w:ascii="Arial" w:hAnsi="Arial" w:cs="Arial"/>
                <w:sz w:val="20"/>
                <w:szCs w:val="20"/>
              </w:rPr>
            </w:pPr>
            <w:r>
              <w:rPr>
                <w:rFonts w:ascii="Arial" w:hAnsi="Arial" w:cs="Arial"/>
                <w:sz w:val="20"/>
                <w:szCs w:val="20"/>
              </w:rPr>
              <w:t>Figure 3B-25</w:t>
            </w:r>
          </w:p>
        </w:tc>
        <w:tc>
          <w:tcPr>
            <w:tcW w:w="1167" w:type="dxa"/>
          </w:tcPr>
          <w:p w14:paraId="2199F908" w14:textId="273B0EE1"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2AF375E9" w14:textId="1FB69F43"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58FF227E" w14:textId="3C0898CB"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4EDB141D" w14:textId="7B31744E"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25</w:t>
            </w:r>
            <w:r w:rsidRPr="00C4627D">
              <w:rPr>
                <w:rFonts w:ascii="Arial" w:hAnsi="Arial" w:cs="Arial"/>
                <w:sz w:val="20"/>
                <w:szCs w:val="20"/>
              </w:rPr>
              <w:t xml:space="preserve"> as presented in the NPA.</w:t>
            </w:r>
          </w:p>
        </w:tc>
      </w:tr>
      <w:tr w:rsidR="00C678C6" w14:paraId="4A768D3B" w14:textId="77777777" w:rsidTr="00FF21DF">
        <w:trPr>
          <w:cantSplit/>
        </w:trPr>
        <w:tc>
          <w:tcPr>
            <w:tcW w:w="1170" w:type="dxa"/>
          </w:tcPr>
          <w:p w14:paraId="5618677A" w14:textId="500888A4" w:rsidR="00C678C6" w:rsidRDefault="00C678C6" w:rsidP="00C678C6">
            <w:pPr>
              <w:rPr>
                <w:rFonts w:ascii="Arial" w:hAnsi="Arial" w:cs="Arial"/>
                <w:sz w:val="20"/>
                <w:szCs w:val="20"/>
              </w:rPr>
            </w:pPr>
            <w:r>
              <w:rPr>
                <w:rFonts w:ascii="Arial" w:hAnsi="Arial" w:cs="Arial"/>
                <w:sz w:val="20"/>
                <w:szCs w:val="20"/>
              </w:rPr>
              <w:t>3B.29</w:t>
            </w:r>
          </w:p>
        </w:tc>
        <w:tc>
          <w:tcPr>
            <w:tcW w:w="1167" w:type="dxa"/>
          </w:tcPr>
          <w:p w14:paraId="014687D8" w14:textId="2B25E7BA"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09D618C1" w14:textId="6837872F"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758048D4" w14:textId="354A1441"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5576D281" w14:textId="3488EFC0" w:rsidR="00C678C6" w:rsidRPr="0008285B" w:rsidRDefault="00C678C6" w:rsidP="00C678C6">
            <w:pPr>
              <w:rPr>
                <w:rFonts w:ascii="Arial" w:hAnsi="Arial" w:cs="Arial"/>
                <w:sz w:val="20"/>
                <w:szCs w:val="20"/>
              </w:rPr>
            </w:pPr>
            <w:r w:rsidRPr="009B4832">
              <w:rPr>
                <w:rFonts w:ascii="Arial" w:hAnsi="Arial" w:cs="Arial"/>
                <w:sz w:val="20"/>
                <w:szCs w:val="20"/>
              </w:rPr>
              <w:t xml:space="preserve">NCUTCD generally agrees with 3B.29 </w:t>
            </w:r>
            <w:r w:rsidR="00F317FD">
              <w:rPr>
                <w:rFonts w:ascii="Arial" w:hAnsi="Arial" w:cs="Arial"/>
                <w:sz w:val="20"/>
                <w:szCs w:val="20"/>
              </w:rPr>
              <w:t>as presented in the NPA,</w:t>
            </w:r>
            <w:r w:rsidR="00F317FD">
              <w:rPr>
                <w:rFonts w:ascii="Arial" w:hAnsi="Arial" w:cs="Arial"/>
                <w:sz w:val="20"/>
                <w:szCs w:val="20"/>
              </w:rPr>
              <w:t xml:space="preserve"> </w:t>
            </w:r>
            <w:r w:rsidRPr="009B4832">
              <w:rPr>
                <w:rFonts w:ascii="Arial" w:hAnsi="Arial" w:cs="Arial"/>
                <w:sz w:val="20"/>
                <w:szCs w:val="20"/>
              </w:rPr>
              <w:t xml:space="preserve">but recommends adding “speed table” in the Section title and second </w:t>
            </w:r>
            <w:r w:rsidR="00207A24">
              <w:rPr>
                <w:rFonts w:ascii="Arial" w:hAnsi="Arial" w:cs="Arial"/>
                <w:sz w:val="20"/>
                <w:szCs w:val="20"/>
              </w:rPr>
              <w:t>S</w:t>
            </w:r>
            <w:r w:rsidRPr="009B4832">
              <w:rPr>
                <w:rFonts w:ascii="Arial" w:hAnsi="Arial" w:cs="Arial"/>
                <w:sz w:val="20"/>
                <w:szCs w:val="20"/>
              </w:rPr>
              <w:t>tandard statement.</w:t>
            </w:r>
          </w:p>
        </w:tc>
      </w:tr>
      <w:tr w:rsidR="00C678C6" w14:paraId="59782AE9" w14:textId="77777777" w:rsidTr="00FF21DF">
        <w:trPr>
          <w:cantSplit/>
        </w:trPr>
        <w:tc>
          <w:tcPr>
            <w:tcW w:w="1170" w:type="dxa"/>
          </w:tcPr>
          <w:p w14:paraId="0FF782A7" w14:textId="79E14641" w:rsidR="00C678C6" w:rsidRDefault="00C678C6" w:rsidP="00C678C6">
            <w:pPr>
              <w:rPr>
                <w:rFonts w:ascii="Arial" w:hAnsi="Arial" w:cs="Arial"/>
                <w:sz w:val="20"/>
                <w:szCs w:val="20"/>
              </w:rPr>
            </w:pPr>
            <w:r>
              <w:rPr>
                <w:rFonts w:ascii="Arial" w:hAnsi="Arial" w:cs="Arial"/>
                <w:sz w:val="20"/>
                <w:szCs w:val="20"/>
              </w:rPr>
              <w:t>Figure 3B-26</w:t>
            </w:r>
          </w:p>
        </w:tc>
        <w:tc>
          <w:tcPr>
            <w:tcW w:w="1167" w:type="dxa"/>
          </w:tcPr>
          <w:p w14:paraId="255BFBDD" w14:textId="1030C4ED"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54DA13CB" w14:textId="39FF70F8"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4D3629AA" w14:textId="179DAEC4"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31E92D35" w14:textId="473F6154"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w:t>
            </w:r>
            <w:r w:rsidRPr="00C4627D">
              <w:rPr>
                <w:rFonts w:ascii="Arial" w:hAnsi="Arial" w:cs="Arial"/>
                <w:sz w:val="20"/>
                <w:szCs w:val="20"/>
              </w:rPr>
              <w:t>-</w:t>
            </w:r>
            <w:r>
              <w:rPr>
                <w:rFonts w:ascii="Arial" w:hAnsi="Arial" w:cs="Arial"/>
                <w:sz w:val="20"/>
                <w:szCs w:val="20"/>
              </w:rPr>
              <w:t>26</w:t>
            </w:r>
            <w:r w:rsidRPr="00C4627D">
              <w:rPr>
                <w:rFonts w:ascii="Arial" w:hAnsi="Arial" w:cs="Arial"/>
                <w:sz w:val="20"/>
                <w:szCs w:val="20"/>
              </w:rPr>
              <w:t xml:space="preserve"> as presented in the NPA.</w:t>
            </w:r>
          </w:p>
        </w:tc>
      </w:tr>
      <w:tr w:rsidR="00C678C6" w14:paraId="709B3842" w14:textId="77777777" w:rsidTr="00FF21DF">
        <w:trPr>
          <w:cantSplit/>
        </w:trPr>
        <w:tc>
          <w:tcPr>
            <w:tcW w:w="1170" w:type="dxa"/>
          </w:tcPr>
          <w:p w14:paraId="1877782A" w14:textId="32D1D946" w:rsidR="00C678C6" w:rsidRDefault="00C678C6" w:rsidP="00C678C6">
            <w:pPr>
              <w:rPr>
                <w:rFonts w:ascii="Arial" w:hAnsi="Arial" w:cs="Arial"/>
                <w:sz w:val="20"/>
                <w:szCs w:val="20"/>
              </w:rPr>
            </w:pPr>
            <w:r>
              <w:rPr>
                <w:rFonts w:ascii="Arial" w:hAnsi="Arial" w:cs="Arial"/>
                <w:sz w:val="20"/>
                <w:szCs w:val="20"/>
              </w:rPr>
              <w:t>Figure 3B-27</w:t>
            </w:r>
          </w:p>
        </w:tc>
        <w:tc>
          <w:tcPr>
            <w:tcW w:w="1167" w:type="dxa"/>
          </w:tcPr>
          <w:p w14:paraId="3A49AEB6" w14:textId="2BFDF371"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183" w:type="dxa"/>
          </w:tcPr>
          <w:p w14:paraId="37C05296" w14:textId="4870F6B7"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1017" w:type="dxa"/>
          </w:tcPr>
          <w:p w14:paraId="682D0F7E" w14:textId="30B59AF4" w:rsidR="00C678C6" w:rsidRPr="00A67B2B" w:rsidRDefault="00C678C6" w:rsidP="00C678C6">
            <w:pPr>
              <w:jc w:val="center"/>
              <w:rPr>
                <w:rFonts w:ascii="Arial" w:hAnsi="Arial" w:cs="Arial"/>
                <w:sz w:val="20"/>
                <w:szCs w:val="20"/>
              </w:rPr>
            </w:pPr>
            <w:r>
              <w:rPr>
                <w:rFonts w:ascii="Arial" w:hAnsi="Arial" w:cs="Arial"/>
                <w:sz w:val="20"/>
                <w:szCs w:val="20"/>
              </w:rPr>
              <w:t>N/A</w:t>
            </w:r>
          </w:p>
        </w:tc>
        <w:tc>
          <w:tcPr>
            <w:tcW w:w="6263" w:type="dxa"/>
          </w:tcPr>
          <w:p w14:paraId="23B84E29" w14:textId="748EE8A5" w:rsidR="00C678C6" w:rsidRPr="0008285B" w:rsidRDefault="00C678C6" w:rsidP="00C678C6">
            <w:pPr>
              <w:rPr>
                <w:rFonts w:ascii="Arial" w:hAnsi="Arial" w:cs="Arial"/>
                <w:sz w:val="20"/>
                <w:szCs w:val="20"/>
              </w:rPr>
            </w:pPr>
            <w:r w:rsidRPr="00C4627D">
              <w:rPr>
                <w:rFonts w:ascii="Arial" w:hAnsi="Arial" w:cs="Arial"/>
                <w:sz w:val="20"/>
                <w:szCs w:val="20"/>
              </w:rPr>
              <w:t>NCUTCD agrees with Figure 3</w:t>
            </w:r>
            <w:r>
              <w:rPr>
                <w:rFonts w:ascii="Arial" w:hAnsi="Arial" w:cs="Arial"/>
                <w:sz w:val="20"/>
                <w:szCs w:val="20"/>
              </w:rPr>
              <w:t>B-27</w:t>
            </w:r>
            <w:r w:rsidRPr="00C4627D">
              <w:rPr>
                <w:rFonts w:ascii="Arial" w:hAnsi="Arial" w:cs="Arial"/>
                <w:sz w:val="20"/>
                <w:szCs w:val="20"/>
              </w:rPr>
              <w:t xml:space="preserve"> as presented in the NPA.</w:t>
            </w:r>
          </w:p>
        </w:tc>
      </w:tr>
      <w:tr w:rsidR="00C678C6" w14:paraId="31E029F1" w14:textId="77777777" w:rsidTr="00FF21DF">
        <w:trPr>
          <w:cantSplit/>
        </w:trPr>
        <w:tc>
          <w:tcPr>
            <w:tcW w:w="1170" w:type="dxa"/>
          </w:tcPr>
          <w:p w14:paraId="30E6E11F" w14:textId="1ADC9F19" w:rsidR="00C678C6" w:rsidRDefault="00C678C6" w:rsidP="00C678C6">
            <w:pPr>
              <w:rPr>
                <w:rFonts w:ascii="Arial" w:hAnsi="Arial" w:cs="Arial"/>
                <w:sz w:val="20"/>
                <w:szCs w:val="20"/>
              </w:rPr>
            </w:pPr>
            <w:r>
              <w:rPr>
                <w:rFonts w:ascii="Arial" w:hAnsi="Arial" w:cs="Arial"/>
                <w:sz w:val="20"/>
                <w:szCs w:val="20"/>
              </w:rPr>
              <w:t>3B.30</w:t>
            </w:r>
          </w:p>
        </w:tc>
        <w:tc>
          <w:tcPr>
            <w:tcW w:w="1167" w:type="dxa"/>
          </w:tcPr>
          <w:p w14:paraId="245722ED" w14:textId="6CA128DB" w:rsidR="00C678C6" w:rsidRPr="00A67B2B" w:rsidRDefault="00C678C6" w:rsidP="00C678C6">
            <w:pPr>
              <w:jc w:val="center"/>
              <w:rPr>
                <w:rFonts w:ascii="Arial" w:hAnsi="Arial" w:cs="Arial"/>
                <w:sz w:val="20"/>
                <w:szCs w:val="20"/>
              </w:rPr>
            </w:pPr>
            <w:r w:rsidRPr="00A67B2B">
              <w:rPr>
                <w:rFonts w:ascii="Arial" w:hAnsi="Arial" w:cs="Arial"/>
                <w:sz w:val="20"/>
                <w:szCs w:val="20"/>
              </w:rPr>
              <w:t>YES</w:t>
            </w:r>
          </w:p>
        </w:tc>
        <w:tc>
          <w:tcPr>
            <w:tcW w:w="1183" w:type="dxa"/>
          </w:tcPr>
          <w:p w14:paraId="3DE3AE92" w14:textId="7DA9575C"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1017" w:type="dxa"/>
          </w:tcPr>
          <w:p w14:paraId="62ACF406" w14:textId="648963B9"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201A73FB" w14:textId="201F7B4E" w:rsidR="00C678C6" w:rsidRPr="0008285B" w:rsidRDefault="00C678C6" w:rsidP="00C678C6">
            <w:pPr>
              <w:rPr>
                <w:rFonts w:ascii="Arial" w:hAnsi="Arial" w:cs="Arial"/>
                <w:sz w:val="20"/>
                <w:szCs w:val="20"/>
              </w:rPr>
            </w:pPr>
            <w:r w:rsidRPr="0008285B">
              <w:rPr>
                <w:rFonts w:ascii="Arial" w:hAnsi="Arial" w:cs="Arial"/>
                <w:sz w:val="20"/>
                <w:szCs w:val="20"/>
              </w:rPr>
              <w:t xml:space="preserve">NCUTCD agrees with </w:t>
            </w:r>
            <w:r>
              <w:rPr>
                <w:rFonts w:ascii="Arial" w:hAnsi="Arial" w:cs="Arial"/>
                <w:sz w:val="20"/>
                <w:szCs w:val="20"/>
              </w:rPr>
              <w:t>3B</w:t>
            </w:r>
            <w:r w:rsidRPr="0008285B">
              <w:rPr>
                <w:rFonts w:ascii="Arial" w:hAnsi="Arial" w:cs="Arial"/>
                <w:sz w:val="20"/>
                <w:szCs w:val="20"/>
              </w:rPr>
              <w:t>.</w:t>
            </w:r>
            <w:r>
              <w:rPr>
                <w:rFonts w:ascii="Arial" w:hAnsi="Arial" w:cs="Arial"/>
                <w:sz w:val="20"/>
                <w:szCs w:val="20"/>
              </w:rPr>
              <w:t>30</w:t>
            </w:r>
            <w:r w:rsidRPr="0008285B">
              <w:rPr>
                <w:rFonts w:ascii="Arial" w:hAnsi="Arial" w:cs="Arial"/>
                <w:sz w:val="20"/>
                <w:szCs w:val="20"/>
              </w:rPr>
              <w:t xml:space="preserve"> as presented in the NPA.</w:t>
            </w:r>
          </w:p>
        </w:tc>
      </w:tr>
      <w:tr w:rsidR="00C678C6" w14:paraId="62FC3A3F" w14:textId="77777777" w:rsidTr="00FF21DF">
        <w:trPr>
          <w:cantSplit/>
        </w:trPr>
        <w:tc>
          <w:tcPr>
            <w:tcW w:w="1170" w:type="dxa"/>
          </w:tcPr>
          <w:p w14:paraId="09FF54F9" w14:textId="5CE0D060" w:rsidR="00C678C6" w:rsidRDefault="00C678C6" w:rsidP="00C678C6">
            <w:pPr>
              <w:rPr>
                <w:rFonts w:ascii="Arial" w:hAnsi="Arial" w:cs="Arial"/>
                <w:sz w:val="20"/>
                <w:szCs w:val="20"/>
              </w:rPr>
            </w:pPr>
            <w:r>
              <w:rPr>
                <w:rFonts w:ascii="Arial" w:hAnsi="Arial" w:cs="Arial"/>
                <w:sz w:val="20"/>
                <w:szCs w:val="20"/>
              </w:rPr>
              <w:t>Figure 3B-28</w:t>
            </w:r>
          </w:p>
        </w:tc>
        <w:tc>
          <w:tcPr>
            <w:tcW w:w="1167" w:type="dxa"/>
          </w:tcPr>
          <w:p w14:paraId="236B99EB" w14:textId="535C91E4"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71FC8E75" w14:textId="2155BC02"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00F2004A" w14:textId="711A6CF1"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5F01CC01" w14:textId="4CBA00C4" w:rsidR="00C678C6" w:rsidRPr="0008285B" w:rsidRDefault="00C678C6" w:rsidP="00C678C6">
            <w:pPr>
              <w:rPr>
                <w:rFonts w:ascii="Arial" w:hAnsi="Arial" w:cs="Arial"/>
                <w:sz w:val="20"/>
                <w:szCs w:val="20"/>
              </w:rPr>
            </w:pPr>
            <w:r w:rsidRPr="000D53A9">
              <w:rPr>
                <w:rFonts w:ascii="Arial" w:hAnsi="Arial" w:cs="Arial"/>
                <w:sz w:val="20"/>
                <w:szCs w:val="20"/>
              </w:rPr>
              <w:t>Figure 3B-28 was missing from the NPA, therefore NCUTCD could not provide comments regarding this figure. NCUTCD recommends adding the figure.</w:t>
            </w:r>
          </w:p>
        </w:tc>
      </w:tr>
      <w:tr w:rsidR="00C678C6" w14:paraId="29ED1EEC" w14:textId="77777777" w:rsidTr="00FF21DF">
        <w:trPr>
          <w:cantSplit/>
        </w:trPr>
        <w:tc>
          <w:tcPr>
            <w:tcW w:w="1170" w:type="dxa"/>
          </w:tcPr>
          <w:p w14:paraId="01CBFE44" w14:textId="5F830E1A" w:rsidR="00C678C6" w:rsidRDefault="00C678C6" w:rsidP="00C678C6">
            <w:pPr>
              <w:rPr>
                <w:rFonts w:ascii="Arial" w:hAnsi="Arial" w:cs="Arial"/>
                <w:sz w:val="20"/>
                <w:szCs w:val="20"/>
              </w:rPr>
            </w:pPr>
            <w:r>
              <w:rPr>
                <w:rFonts w:ascii="Arial" w:hAnsi="Arial" w:cs="Arial"/>
                <w:sz w:val="20"/>
                <w:szCs w:val="20"/>
              </w:rPr>
              <w:t>3B.31</w:t>
            </w:r>
          </w:p>
        </w:tc>
        <w:tc>
          <w:tcPr>
            <w:tcW w:w="1167" w:type="dxa"/>
          </w:tcPr>
          <w:p w14:paraId="09E63160" w14:textId="1DD2600D"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5F00EBF8" w14:textId="2ABB8800"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41696D7D" w14:textId="775D2118"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049A2E41" w14:textId="3350303D" w:rsidR="00C678C6" w:rsidRPr="0008285B" w:rsidRDefault="008914A4" w:rsidP="00C678C6">
            <w:pPr>
              <w:rPr>
                <w:rFonts w:ascii="Arial" w:hAnsi="Arial" w:cs="Arial"/>
                <w:sz w:val="20"/>
                <w:szCs w:val="20"/>
              </w:rPr>
            </w:pPr>
            <w:r w:rsidRPr="008914A4">
              <w:rPr>
                <w:rFonts w:ascii="Arial" w:hAnsi="Arial" w:cs="Arial"/>
                <w:sz w:val="20"/>
                <w:szCs w:val="20"/>
              </w:rPr>
              <w:t>NCUTCD generally agrees with 3B.31 as presented in the NPA, but recommends changing the term “Diamond Interchange with Transposed Alignment Crossroad” to the commonly-used “Diverging Diamond Interchange”.</w:t>
            </w:r>
          </w:p>
        </w:tc>
      </w:tr>
      <w:tr w:rsidR="00C678C6" w14:paraId="1DAB1B7F" w14:textId="77777777" w:rsidTr="00FF21DF">
        <w:trPr>
          <w:cantSplit/>
        </w:trPr>
        <w:tc>
          <w:tcPr>
            <w:tcW w:w="1170" w:type="dxa"/>
          </w:tcPr>
          <w:p w14:paraId="2B5D96FB" w14:textId="2AB997E1" w:rsidR="00C678C6" w:rsidRDefault="00C678C6" w:rsidP="00C678C6">
            <w:pPr>
              <w:rPr>
                <w:rFonts w:ascii="Arial" w:hAnsi="Arial" w:cs="Arial"/>
                <w:sz w:val="20"/>
                <w:szCs w:val="20"/>
              </w:rPr>
            </w:pPr>
            <w:r>
              <w:rPr>
                <w:rFonts w:ascii="Arial" w:hAnsi="Arial" w:cs="Arial"/>
                <w:sz w:val="20"/>
                <w:szCs w:val="20"/>
              </w:rPr>
              <w:t>Figure 3B-29</w:t>
            </w:r>
          </w:p>
        </w:tc>
        <w:tc>
          <w:tcPr>
            <w:tcW w:w="1167" w:type="dxa"/>
          </w:tcPr>
          <w:p w14:paraId="4075E896" w14:textId="4ACB7F4B" w:rsidR="00C678C6" w:rsidRPr="00A67B2B" w:rsidRDefault="00C678C6" w:rsidP="00C678C6">
            <w:pPr>
              <w:jc w:val="center"/>
              <w:rPr>
                <w:rFonts w:ascii="Arial" w:hAnsi="Arial" w:cs="Arial"/>
                <w:sz w:val="20"/>
                <w:szCs w:val="20"/>
              </w:rPr>
            </w:pPr>
            <w:r>
              <w:rPr>
                <w:rFonts w:ascii="Arial" w:hAnsi="Arial" w:cs="Arial"/>
                <w:sz w:val="20"/>
                <w:szCs w:val="20"/>
              </w:rPr>
              <w:t>NO</w:t>
            </w:r>
          </w:p>
        </w:tc>
        <w:tc>
          <w:tcPr>
            <w:tcW w:w="1183" w:type="dxa"/>
          </w:tcPr>
          <w:p w14:paraId="06688E53" w14:textId="7BDF3789" w:rsidR="00C678C6" w:rsidRPr="00A67B2B" w:rsidRDefault="00C678C6" w:rsidP="00C678C6">
            <w:pPr>
              <w:jc w:val="center"/>
              <w:rPr>
                <w:rFonts w:ascii="Arial" w:hAnsi="Arial" w:cs="Arial"/>
                <w:sz w:val="20"/>
                <w:szCs w:val="20"/>
              </w:rPr>
            </w:pPr>
            <w:r>
              <w:rPr>
                <w:rFonts w:ascii="Arial" w:hAnsi="Arial" w:cs="Arial"/>
                <w:sz w:val="20"/>
                <w:szCs w:val="20"/>
              </w:rPr>
              <w:t>YES</w:t>
            </w:r>
          </w:p>
        </w:tc>
        <w:tc>
          <w:tcPr>
            <w:tcW w:w="1017" w:type="dxa"/>
          </w:tcPr>
          <w:p w14:paraId="7428B2BB" w14:textId="3D627410" w:rsidR="00C678C6" w:rsidRPr="00A67B2B" w:rsidRDefault="00C678C6" w:rsidP="00C678C6">
            <w:pPr>
              <w:jc w:val="center"/>
              <w:rPr>
                <w:rFonts w:ascii="Arial" w:hAnsi="Arial" w:cs="Arial"/>
                <w:sz w:val="20"/>
                <w:szCs w:val="20"/>
              </w:rPr>
            </w:pPr>
            <w:r w:rsidRPr="00A67B2B">
              <w:rPr>
                <w:rFonts w:ascii="Arial" w:hAnsi="Arial" w:cs="Arial"/>
                <w:sz w:val="20"/>
                <w:szCs w:val="20"/>
              </w:rPr>
              <w:t>N/A</w:t>
            </w:r>
          </w:p>
        </w:tc>
        <w:tc>
          <w:tcPr>
            <w:tcW w:w="6263" w:type="dxa"/>
          </w:tcPr>
          <w:p w14:paraId="585DB30F" w14:textId="047942F3" w:rsidR="00C678C6" w:rsidRPr="0008285B" w:rsidRDefault="008914A4" w:rsidP="00C678C6">
            <w:pPr>
              <w:rPr>
                <w:rFonts w:ascii="Arial" w:hAnsi="Arial" w:cs="Arial"/>
                <w:sz w:val="20"/>
                <w:szCs w:val="20"/>
              </w:rPr>
            </w:pPr>
            <w:r w:rsidRPr="008914A4">
              <w:rPr>
                <w:rFonts w:ascii="Arial" w:hAnsi="Arial" w:cs="Arial"/>
                <w:sz w:val="20"/>
                <w:szCs w:val="20"/>
              </w:rPr>
              <w:t>Figure 3B-29 was missing from the NPA, therefore NCUTCD could not provide comments regarding this figure. NCUTCD recommends adding the figure and changing the figure title to be consistent with NCUTCD-recommended changes for Section 3B.31.</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lastRenderedPageBreak/>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1"/>
      <w:footerReference w:type="default" r:id="rId12"/>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071B3" w14:textId="77777777" w:rsidR="007E62DD" w:rsidRDefault="007E62DD" w:rsidP="00CA28CD">
      <w:pPr>
        <w:spacing w:after="0" w:line="240" w:lineRule="auto"/>
      </w:pPr>
      <w:r>
        <w:separator/>
      </w:r>
    </w:p>
  </w:endnote>
  <w:endnote w:type="continuationSeparator" w:id="0">
    <w:p w14:paraId="3A85961D" w14:textId="77777777" w:rsidR="007E62DD" w:rsidRDefault="007E62DD"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739653F1"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5D3AC9">
      <w:rPr>
        <w:rFonts w:ascii="Arial" w:hAnsi="Arial" w:cs="Arial"/>
        <w:sz w:val="21"/>
        <w:szCs w:val="21"/>
      </w:rPr>
      <w:t>3B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4112C" w14:textId="77777777" w:rsidR="007E62DD" w:rsidRDefault="007E62DD" w:rsidP="00CA28CD">
      <w:pPr>
        <w:spacing w:after="0" w:line="240" w:lineRule="auto"/>
      </w:pPr>
      <w:r>
        <w:separator/>
      </w:r>
    </w:p>
  </w:footnote>
  <w:footnote w:type="continuationSeparator" w:id="0">
    <w:p w14:paraId="339DFC9B" w14:textId="77777777" w:rsidR="007E62DD" w:rsidRDefault="007E62DD"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02BE8"/>
    <w:multiLevelType w:val="hybridMultilevel"/>
    <w:tmpl w:val="5B9E2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5D17B5"/>
    <w:multiLevelType w:val="hybridMultilevel"/>
    <w:tmpl w:val="6BC6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D0A2E"/>
    <w:multiLevelType w:val="hybridMultilevel"/>
    <w:tmpl w:val="5EC04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6B0E64"/>
    <w:multiLevelType w:val="hybridMultilevel"/>
    <w:tmpl w:val="91BC7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BC37C4"/>
    <w:multiLevelType w:val="hybridMultilevel"/>
    <w:tmpl w:val="546C1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036E90"/>
    <w:multiLevelType w:val="hybridMultilevel"/>
    <w:tmpl w:val="A998B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06EC7"/>
    <w:rsid w:val="000230CC"/>
    <w:rsid w:val="000532D5"/>
    <w:rsid w:val="00053D7B"/>
    <w:rsid w:val="00057668"/>
    <w:rsid w:val="000612A6"/>
    <w:rsid w:val="000620CE"/>
    <w:rsid w:val="00064834"/>
    <w:rsid w:val="0008285B"/>
    <w:rsid w:val="00090BCA"/>
    <w:rsid w:val="000A4C14"/>
    <w:rsid w:val="000B0CE1"/>
    <w:rsid w:val="000B28D3"/>
    <w:rsid w:val="000C12B2"/>
    <w:rsid w:val="000C3880"/>
    <w:rsid w:val="000C5ABA"/>
    <w:rsid w:val="000D53A9"/>
    <w:rsid w:val="000D7F45"/>
    <w:rsid w:val="000E0CDD"/>
    <w:rsid w:val="000E5FF2"/>
    <w:rsid w:val="000F6CA9"/>
    <w:rsid w:val="001177E6"/>
    <w:rsid w:val="00142413"/>
    <w:rsid w:val="001467C2"/>
    <w:rsid w:val="00147337"/>
    <w:rsid w:val="00147D7D"/>
    <w:rsid w:val="00152F6A"/>
    <w:rsid w:val="00160C94"/>
    <w:rsid w:val="00167C41"/>
    <w:rsid w:val="00185458"/>
    <w:rsid w:val="00187D5A"/>
    <w:rsid w:val="00192171"/>
    <w:rsid w:val="001B1B30"/>
    <w:rsid w:val="001B5156"/>
    <w:rsid w:val="001C3466"/>
    <w:rsid w:val="001C4A69"/>
    <w:rsid w:val="001C7E04"/>
    <w:rsid w:val="001E1EBD"/>
    <w:rsid w:val="001F40DE"/>
    <w:rsid w:val="00202E2C"/>
    <w:rsid w:val="002063CD"/>
    <w:rsid w:val="00207A24"/>
    <w:rsid w:val="00224C07"/>
    <w:rsid w:val="00225108"/>
    <w:rsid w:val="00234EFE"/>
    <w:rsid w:val="00236CDF"/>
    <w:rsid w:val="00242B8E"/>
    <w:rsid w:val="00251FB2"/>
    <w:rsid w:val="002573C3"/>
    <w:rsid w:val="00260856"/>
    <w:rsid w:val="002623E6"/>
    <w:rsid w:val="00263FE6"/>
    <w:rsid w:val="00266B46"/>
    <w:rsid w:val="002715A2"/>
    <w:rsid w:val="002715A7"/>
    <w:rsid w:val="00274538"/>
    <w:rsid w:val="00277785"/>
    <w:rsid w:val="00282226"/>
    <w:rsid w:val="00286AE2"/>
    <w:rsid w:val="00295CAE"/>
    <w:rsid w:val="002A11FF"/>
    <w:rsid w:val="002A1D98"/>
    <w:rsid w:val="002A2C13"/>
    <w:rsid w:val="002A50E5"/>
    <w:rsid w:val="002B050F"/>
    <w:rsid w:val="002C4CE5"/>
    <w:rsid w:val="002E0F73"/>
    <w:rsid w:val="002E2E5A"/>
    <w:rsid w:val="002F5FE2"/>
    <w:rsid w:val="003045A8"/>
    <w:rsid w:val="00336532"/>
    <w:rsid w:val="00340464"/>
    <w:rsid w:val="00354FE9"/>
    <w:rsid w:val="003609CC"/>
    <w:rsid w:val="003644B5"/>
    <w:rsid w:val="0036481B"/>
    <w:rsid w:val="00371935"/>
    <w:rsid w:val="003774EE"/>
    <w:rsid w:val="00393E82"/>
    <w:rsid w:val="00394743"/>
    <w:rsid w:val="00396819"/>
    <w:rsid w:val="003A68AB"/>
    <w:rsid w:val="003C0456"/>
    <w:rsid w:val="003C400F"/>
    <w:rsid w:val="003C748E"/>
    <w:rsid w:val="003C79CF"/>
    <w:rsid w:val="003D605E"/>
    <w:rsid w:val="003E0A6D"/>
    <w:rsid w:val="003F578E"/>
    <w:rsid w:val="00405A43"/>
    <w:rsid w:val="004100DF"/>
    <w:rsid w:val="004110FD"/>
    <w:rsid w:val="00412ED2"/>
    <w:rsid w:val="00417593"/>
    <w:rsid w:val="00423CF3"/>
    <w:rsid w:val="0043299E"/>
    <w:rsid w:val="00433326"/>
    <w:rsid w:val="004353AF"/>
    <w:rsid w:val="004430D7"/>
    <w:rsid w:val="004533ED"/>
    <w:rsid w:val="0045454C"/>
    <w:rsid w:val="00460EB9"/>
    <w:rsid w:val="00492569"/>
    <w:rsid w:val="004A03C4"/>
    <w:rsid w:val="004C43B1"/>
    <w:rsid w:val="004F0B47"/>
    <w:rsid w:val="004F0FF0"/>
    <w:rsid w:val="004F4B25"/>
    <w:rsid w:val="00505249"/>
    <w:rsid w:val="00520AAA"/>
    <w:rsid w:val="00525497"/>
    <w:rsid w:val="00525FE6"/>
    <w:rsid w:val="00532A8A"/>
    <w:rsid w:val="00552921"/>
    <w:rsid w:val="00581350"/>
    <w:rsid w:val="005B694A"/>
    <w:rsid w:val="005C7F50"/>
    <w:rsid w:val="005D3AC9"/>
    <w:rsid w:val="005F11B8"/>
    <w:rsid w:val="005F5C26"/>
    <w:rsid w:val="00611BB7"/>
    <w:rsid w:val="00621514"/>
    <w:rsid w:val="00624999"/>
    <w:rsid w:val="00634404"/>
    <w:rsid w:val="0064720D"/>
    <w:rsid w:val="00661B06"/>
    <w:rsid w:val="00673D62"/>
    <w:rsid w:val="00675E0A"/>
    <w:rsid w:val="006765CE"/>
    <w:rsid w:val="00681DDA"/>
    <w:rsid w:val="0068272B"/>
    <w:rsid w:val="006922DD"/>
    <w:rsid w:val="00692B40"/>
    <w:rsid w:val="00692BC8"/>
    <w:rsid w:val="006944BC"/>
    <w:rsid w:val="006957FF"/>
    <w:rsid w:val="006A2A89"/>
    <w:rsid w:val="006B07AA"/>
    <w:rsid w:val="006B3BEC"/>
    <w:rsid w:val="006C3DB6"/>
    <w:rsid w:val="006D1026"/>
    <w:rsid w:val="006E6A82"/>
    <w:rsid w:val="007062A7"/>
    <w:rsid w:val="007068F7"/>
    <w:rsid w:val="00712EC3"/>
    <w:rsid w:val="00723B95"/>
    <w:rsid w:val="007440DA"/>
    <w:rsid w:val="00755E4D"/>
    <w:rsid w:val="0076292A"/>
    <w:rsid w:val="00765D73"/>
    <w:rsid w:val="007746E2"/>
    <w:rsid w:val="00782C18"/>
    <w:rsid w:val="007864A1"/>
    <w:rsid w:val="007A2B2D"/>
    <w:rsid w:val="007A4AAB"/>
    <w:rsid w:val="007B02AD"/>
    <w:rsid w:val="007D2213"/>
    <w:rsid w:val="007D2681"/>
    <w:rsid w:val="007D7DF4"/>
    <w:rsid w:val="007E515A"/>
    <w:rsid w:val="007E62DD"/>
    <w:rsid w:val="007E669B"/>
    <w:rsid w:val="007E6FEB"/>
    <w:rsid w:val="007F64EB"/>
    <w:rsid w:val="00801DC8"/>
    <w:rsid w:val="0081177E"/>
    <w:rsid w:val="0083322F"/>
    <w:rsid w:val="00836E4A"/>
    <w:rsid w:val="00845000"/>
    <w:rsid w:val="008459B8"/>
    <w:rsid w:val="00866520"/>
    <w:rsid w:val="00880FF6"/>
    <w:rsid w:val="008827E3"/>
    <w:rsid w:val="00885A12"/>
    <w:rsid w:val="00885E70"/>
    <w:rsid w:val="00886FE4"/>
    <w:rsid w:val="008914A4"/>
    <w:rsid w:val="008A1D48"/>
    <w:rsid w:val="008A279D"/>
    <w:rsid w:val="008A6A5F"/>
    <w:rsid w:val="008B27C2"/>
    <w:rsid w:val="008B2A22"/>
    <w:rsid w:val="008B5B38"/>
    <w:rsid w:val="008F6A14"/>
    <w:rsid w:val="009155B7"/>
    <w:rsid w:val="00924717"/>
    <w:rsid w:val="009252C2"/>
    <w:rsid w:val="009272C9"/>
    <w:rsid w:val="00927EB7"/>
    <w:rsid w:val="00976739"/>
    <w:rsid w:val="009816AB"/>
    <w:rsid w:val="00986474"/>
    <w:rsid w:val="00986E47"/>
    <w:rsid w:val="00992399"/>
    <w:rsid w:val="009937CF"/>
    <w:rsid w:val="00997A49"/>
    <w:rsid w:val="009A121F"/>
    <w:rsid w:val="009B20E9"/>
    <w:rsid w:val="009B4832"/>
    <w:rsid w:val="009C1F63"/>
    <w:rsid w:val="009C49E3"/>
    <w:rsid w:val="009E0658"/>
    <w:rsid w:val="009E57F1"/>
    <w:rsid w:val="009E7130"/>
    <w:rsid w:val="00A02A11"/>
    <w:rsid w:val="00A22B79"/>
    <w:rsid w:val="00A23A3A"/>
    <w:rsid w:val="00A34D89"/>
    <w:rsid w:val="00A41A0B"/>
    <w:rsid w:val="00A42723"/>
    <w:rsid w:val="00A470F2"/>
    <w:rsid w:val="00A54333"/>
    <w:rsid w:val="00A60135"/>
    <w:rsid w:val="00A60166"/>
    <w:rsid w:val="00A66C4F"/>
    <w:rsid w:val="00A67B2B"/>
    <w:rsid w:val="00A80813"/>
    <w:rsid w:val="00A824EB"/>
    <w:rsid w:val="00A95DA2"/>
    <w:rsid w:val="00AA01D9"/>
    <w:rsid w:val="00AA5834"/>
    <w:rsid w:val="00AB1B4A"/>
    <w:rsid w:val="00AB519D"/>
    <w:rsid w:val="00AB6110"/>
    <w:rsid w:val="00AB62F6"/>
    <w:rsid w:val="00AC06C3"/>
    <w:rsid w:val="00AC2635"/>
    <w:rsid w:val="00AC2CBE"/>
    <w:rsid w:val="00AC4B74"/>
    <w:rsid w:val="00AF0E95"/>
    <w:rsid w:val="00B014CB"/>
    <w:rsid w:val="00B05EF8"/>
    <w:rsid w:val="00B06C0A"/>
    <w:rsid w:val="00B30F9B"/>
    <w:rsid w:val="00B377A3"/>
    <w:rsid w:val="00B5426D"/>
    <w:rsid w:val="00B570CF"/>
    <w:rsid w:val="00B64366"/>
    <w:rsid w:val="00B706BC"/>
    <w:rsid w:val="00B75998"/>
    <w:rsid w:val="00B80D10"/>
    <w:rsid w:val="00B824F8"/>
    <w:rsid w:val="00B8673B"/>
    <w:rsid w:val="00B87D2D"/>
    <w:rsid w:val="00BB0063"/>
    <w:rsid w:val="00BB104C"/>
    <w:rsid w:val="00BB2352"/>
    <w:rsid w:val="00BC3B64"/>
    <w:rsid w:val="00BC6E74"/>
    <w:rsid w:val="00BC72C2"/>
    <w:rsid w:val="00BD73F6"/>
    <w:rsid w:val="00BD7682"/>
    <w:rsid w:val="00BF5414"/>
    <w:rsid w:val="00C10529"/>
    <w:rsid w:val="00C1721D"/>
    <w:rsid w:val="00C172E8"/>
    <w:rsid w:val="00C247CB"/>
    <w:rsid w:val="00C25EA4"/>
    <w:rsid w:val="00C27DB3"/>
    <w:rsid w:val="00C4627D"/>
    <w:rsid w:val="00C4768F"/>
    <w:rsid w:val="00C52EA2"/>
    <w:rsid w:val="00C65E5F"/>
    <w:rsid w:val="00C678C6"/>
    <w:rsid w:val="00C73973"/>
    <w:rsid w:val="00C74042"/>
    <w:rsid w:val="00C77B28"/>
    <w:rsid w:val="00C77D56"/>
    <w:rsid w:val="00C855DC"/>
    <w:rsid w:val="00C94EA8"/>
    <w:rsid w:val="00CA28CD"/>
    <w:rsid w:val="00CB1EA5"/>
    <w:rsid w:val="00CB7CA6"/>
    <w:rsid w:val="00CC0DA7"/>
    <w:rsid w:val="00CC5386"/>
    <w:rsid w:val="00CC5670"/>
    <w:rsid w:val="00CD0FD3"/>
    <w:rsid w:val="00CE0F95"/>
    <w:rsid w:val="00CE11E5"/>
    <w:rsid w:val="00D008C4"/>
    <w:rsid w:val="00D015E1"/>
    <w:rsid w:val="00D019D2"/>
    <w:rsid w:val="00D13C53"/>
    <w:rsid w:val="00D2180F"/>
    <w:rsid w:val="00D22686"/>
    <w:rsid w:val="00D22B25"/>
    <w:rsid w:val="00D318AB"/>
    <w:rsid w:val="00D40A56"/>
    <w:rsid w:val="00D42DB2"/>
    <w:rsid w:val="00D543C1"/>
    <w:rsid w:val="00D66D26"/>
    <w:rsid w:val="00D67AB1"/>
    <w:rsid w:val="00D72EC6"/>
    <w:rsid w:val="00D74F3B"/>
    <w:rsid w:val="00D74FE4"/>
    <w:rsid w:val="00D85085"/>
    <w:rsid w:val="00D86280"/>
    <w:rsid w:val="00D96E80"/>
    <w:rsid w:val="00DA6D06"/>
    <w:rsid w:val="00DA7226"/>
    <w:rsid w:val="00DB0FBC"/>
    <w:rsid w:val="00DB37DB"/>
    <w:rsid w:val="00DD4B7D"/>
    <w:rsid w:val="00DD5387"/>
    <w:rsid w:val="00DF077A"/>
    <w:rsid w:val="00DF130A"/>
    <w:rsid w:val="00DF5B89"/>
    <w:rsid w:val="00E05258"/>
    <w:rsid w:val="00E05E1B"/>
    <w:rsid w:val="00E07BC7"/>
    <w:rsid w:val="00E13E4A"/>
    <w:rsid w:val="00E14F60"/>
    <w:rsid w:val="00E45B4C"/>
    <w:rsid w:val="00E5754E"/>
    <w:rsid w:val="00E739BC"/>
    <w:rsid w:val="00E75A26"/>
    <w:rsid w:val="00E80AD9"/>
    <w:rsid w:val="00E972AB"/>
    <w:rsid w:val="00EA2B2F"/>
    <w:rsid w:val="00EA5DC6"/>
    <w:rsid w:val="00EC1D08"/>
    <w:rsid w:val="00EC4265"/>
    <w:rsid w:val="00EC4A0F"/>
    <w:rsid w:val="00ED78AA"/>
    <w:rsid w:val="00EE246A"/>
    <w:rsid w:val="00EF645C"/>
    <w:rsid w:val="00F00D76"/>
    <w:rsid w:val="00F061E8"/>
    <w:rsid w:val="00F06647"/>
    <w:rsid w:val="00F127BF"/>
    <w:rsid w:val="00F1362C"/>
    <w:rsid w:val="00F13985"/>
    <w:rsid w:val="00F17C8E"/>
    <w:rsid w:val="00F317FD"/>
    <w:rsid w:val="00F427FE"/>
    <w:rsid w:val="00F43942"/>
    <w:rsid w:val="00F60B57"/>
    <w:rsid w:val="00F6717F"/>
    <w:rsid w:val="00F738BD"/>
    <w:rsid w:val="00F80644"/>
    <w:rsid w:val="00F858EA"/>
    <w:rsid w:val="00F910D5"/>
    <w:rsid w:val="00F926DD"/>
    <w:rsid w:val="00F96A74"/>
    <w:rsid w:val="00FA1E54"/>
    <w:rsid w:val="00FA3485"/>
    <w:rsid w:val="00FA4263"/>
    <w:rsid w:val="00FB721E"/>
    <w:rsid w:val="00FC696E"/>
    <w:rsid w:val="00FD1F4F"/>
    <w:rsid w:val="00FD632F"/>
    <w:rsid w:val="00FD6EA4"/>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3F5C1818D38749BD0030A32B05404B" ma:contentTypeVersion="13" ma:contentTypeDescription="Create a new document." ma:contentTypeScope="" ma:versionID="b86add2e9fa7639c3ef4dff52e67f3d5">
  <xsd:schema xmlns:xsd="http://www.w3.org/2001/XMLSchema" xmlns:xs="http://www.w3.org/2001/XMLSchema" xmlns:p="http://schemas.microsoft.com/office/2006/metadata/properties" xmlns:ns3="7cc639bc-30ae-4849-9f4c-38d483a0ed3a" xmlns:ns4="c4848fe4-7bb2-48ac-9539-d3b4b4679c5d" targetNamespace="http://schemas.microsoft.com/office/2006/metadata/properties" ma:root="true" ma:fieldsID="ebd19a7c1db34bd1800be8fbaacadab3" ns3:_="" ns4:_="">
    <xsd:import namespace="7cc639bc-30ae-4849-9f4c-38d483a0ed3a"/>
    <xsd:import namespace="c4848fe4-7bb2-48ac-9539-d3b4b4679c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639bc-30ae-4849-9f4c-38d483a0e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848fe4-7bb2-48ac-9539-d3b4b4679c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53094B45-654D-4FB0-833B-F165D69A4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639bc-30ae-4849-9f4c-38d483a0ed3a"/>
    <ds:schemaRef ds:uri="c4848fe4-7bb2-48ac-9539-d3b4b4679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8</cp:revision>
  <dcterms:created xsi:type="dcterms:W3CDTF">2021-05-10T15:58:00Z</dcterms:created>
  <dcterms:modified xsi:type="dcterms:W3CDTF">2021-05-10T21:32:00Z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0x0101007D3F5C1818D38749BD0030A32B05404B</vt:lpwstr>
  </property>
</Properties>
</file>