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CE599A" w14:paraId="69C35938" w14:textId="1A844DC7" w:rsidTr="00FF5FD1">
        <w:trPr>
          <w:cantSplit/>
        </w:trPr>
        <w:tc>
          <w:tcPr>
            <w:tcW w:w="1170" w:type="dxa"/>
          </w:tcPr>
          <w:p w14:paraId="51851293" w14:textId="01E8FC6D" w:rsidR="00A60135" w:rsidRPr="00CE599A" w:rsidRDefault="00A60135" w:rsidP="00A67B2B">
            <w:pPr>
              <w:spacing w:line="259" w:lineRule="auto"/>
              <w:rPr>
                <w:rFonts w:ascii="Arial" w:hAnsi="Arial" w:cs="Arial"/>
                <w:sz w:val="20"/>
                <w:szCs w:val="20"/>
              </w:rPr>
            </w:pPr>
            <w:r w:rsidRPr="00CE599A">
              <w:rPr>
                <w:rFonts w:ascii="Arial" w:hAnsi="Arial" w:cs="Arial"/>
                <w:sz w:val="20"/>
                <w:szCs w:val="20"/>
              </w:rPr>
              <w:t>Proposed</w:t>
            </w:r>
          </w:p>
          <w:p w14:paraId="3D3D21EA" w14:textId="552198FE" w:rsidR="00F06647" w:rsidRPr="00CE599A" w:rsidRDefault="00F06647" w:rsidP="00A67B2B">
            <w:pPr>
              <w:spacing w:line="259" w:lineRule="auto"/>
              <w:rPr>
                <w:rFonts w:ascii="Arial" w:hAnsi="Arial" w:cs="Arial"/>
                <w:sz w:val="20"/>
                <w:szCs w:val="20"/>
              </w:rPr>
            </w:pPr>
            <w:r w:rsidRPr="00CE599A">
              <w:rPr>
                <w:rFonts w:ascii="Arial" w:hAnsi="Arial" w:cs="Arial"/>
                <w:sz w:val="20"/>
                <w:szCs w:val="20"/>
              </w:rPr>
              <w:t>Section Number</w:t>
            </w:r>
            <w:r w:rsidR="00BB104C" w:rsidRPr="00CE599A">
              <w:rPr>
                <w:rFonts w:ascii="Arial" w:hAnsi="Arial" w:cs="Arial"/>
                <w:sz w:val="20"/>
                <w:szCs w:val="20"/>
              </w:rPr>
              <w:t>(s)</w:t>
            </w:r>
          </w:p>
        </w:tc>
        <w:tc>
          <w:tcPr>
            <w:tcW w:w="1167" w:type="dxa"/>
          </w:tcPr>
          <w:p w14:paraId="6D4AE67F" w14:textId="0CB31E7B" w:rsidR="00F06647" w:rsidRPr="00CE599A" w:rsidRDefault="00F06647" w:rsidP="00A67B2B">
            <w:pPr>
              <w:ind w:left="-14" w:right="-15"/>
              <w:rPr>
                <w:rFonts w:ascii="Arial" w:hAnsi="Arial" w:cs="Arial"/>
                <w:sz w:val="20"/>
                <w:szCs w:val="20"/>
              </w:rPr>
            </w:pPr>
            <w:r w:rsidRPr="00CE599A">
              <w:rPr>
                <w:rFonts w:ascii="Arial" w:hAnsi="Arial" w:cs="Arial"/>
                <w:sz w:val="20"/>
                <w:szCs w:val="20"/>
              </w:rPr>
              <w:t xml:space="preserve">Agree with </w:t>
            </w:r>
            <w:r w:rsidR="00C855DC" w:rsidRPr="00CE599A">
              <w:rPr>
                <w:rFonts w:ascii="Arial" w:hAnsi="Arial" w:cs="Arial"/>
                <w:sz w:val="20"/>
                <w:szCs w:val="20"/>
              </w:rPr>
              <w:t>c</w:t>
            </w:r>
            <w:r w:rsidR="00F17C8E" w:rsidRPr="00CE599A">
              <w:rPr>
                <w:rFonts w:ascii="Arial" w:hAnsi="Arial" w:cs="Arial"/>
                <w:sz w:val="20"/>
                <w:szCs w:val="20"/>
              </w:rPr>
              <w:t xml:space="preserve">oncept and </w:t>
            </w:r>
            <w:r w:rsidR="00C855DC" w:rsidRPr="00CE599A">
              <w:rPr>
                <w:rFonts w:ascii="Arial" w:hAnsi="Arial" w:cs="Arial"/>
                <w:sz w:val="20"/>
                <w:szCs w:val="20"/>
              </w:rPr>
              <w:t>t</w:t>
            </w:r>
            <w:r w:rsidR="00BB104C" w:rsidRPr="00CE599A">
              <w:rPr>
                <w:rFonts w:ascii="Arial" w:hAnsi="Arial" w:cs="Arial"/>
                <w:sz w:val="20"/>
                <w:szCs w:val="20"/>
              </w:rPr>
              <w:t>ext</w:t>
            </w:r>
            <w:r w:rsidRPr="00CE599A">
              <w:rPr>
                <w:rFonts w:ascii="Arial" w:hAnsi="Arial" w:cs="Arial"/>
                <w:sz w:val="20"/>
                <w:szCs w:val="20"/>
              </w:rPr>
              <w:t xml:space="preserve"> as </w:t>
            </w:r>
            <w:r w:rsidR="00782C18" w:rsidRPr="00CE599A">
              <w:rPr>
                <w:rFonts w:ascii="Arial" w:hAnsi="Arial" w:cs="Arial"/>
                <w:sz w:val="20"/>
                <w:szCs w:val="20"/>
              </w:rPr>
              <w:t>proposed</w:t>
            </w:r>
          </w:p>
        </w:tc>
        <w:tc>
          <w:tcPr>
            <w:tcW w:w="1183" w:type="dxa"/>
          </w:tcPr>
          <w:p w14:paraId="6D7983D4" w14:textId="091D0CB6" w:rsidR="00F06647" w:rsidRPr="00CE599A" w:rsidRDefault="00BB104C" w:rsidP="006957FF">
            <w:pPr>
              <w:rPr>
                <w:rFonts w:ascii="Arial" w:hAnsi="Arial" w:cs="Arial"/>
                <w:sz w:val="20"/>
                <w:szCs w:val="20"/>
              </w:rPr>
            </w:pPr>
            <w:r w:rsidRPr="00CE599A">
              <w:rPr>
                <w:rFonts w:ascii="Arial" w:hAnsi="Arial" w:cs="Arial"/>
                <w:sz w:val="20"/>
                <w:szCs w:val="20"/>
              </w:rPr>
              <w:t xml:space="preserve">Agree </w:t>
            </w:r>
            <w:proofErr w:type="gramStart"/>
            <w:r w:rsidRPr="00CE599A">
              <w:rPr>
                <w:rFonts w:ascii="Arial" w:hAnsi="Arial" w:cs="Arial"/>
                <w:sz w:val="20"/>
                <w:szCs w:val="20"/>
              </w:rPr>
              <w:t xml:space="preserve">with </w:t>
            </w:r>
            <w:r w:rsidR="00F17C8E" w:rsidRPr="00CE599A">
              <w:rPr>
                <w:rFonts w:ascii="Arial" w:hAnsi="Arial" w:cs="Arial"/>
                <w:sz w:val="20"/>
                <w:szCs w:val="20"/>
              </w:rPr>
              <w:t xml:space="preserve"> </w:t>
            </w:r>
            <w:r w:rsidRPr="00CE599A">
              <w:rPr>
                <w:rFonts w:ascii="Arial" w:hAnsi="Arial" w:cs="Arial"/>
                <w:sz w:val="20"/>
                <w:szCs w:val="20"/>
              </w:rPr>
              <w:t>concept</w:t>
            </w:r>
            <w:proofErr w:type="gramEnd"/>
            <w:r w:rsidR="00D40A56" w:rsidRPr="00CE599A">
              <w:rPr>
                <w:rFonts w:ascii="Arial" w:hAnsi="Arial" w:cs="Arial"/>
                <w:sz w:val="20"/>
                <w:szCs w:val="20"/>
              </w:rPr>
              <w:t>;</w:t>
            </w:r>
            <w:r w:rsidR="00B8673B" w:rsidRPr="00CE599A">
              <w:rPr>
                <w:rFonts w:ascii="Arial" w:hAnsi="Arial" w:cs="Arial"/>
                <w:sz w:val="20"/>
                <w:szCs w:val="20"/>
              </w:rPr>
              <w:t xml:space="preserve"> suggest</w:t>
            </w:r>
            <w:r w:rsidR="00D85085" w:rsidRPr="00CE599A">
              <w:rPr>
                <w:rFonts w:ascii="Arial" w:hAnsi="Arial" w:cs="Arial"/>
                <w:sz w:val="20"/>
                <w:szCs w:val="20"/>
              </w:rPr>
              <w:t>ed</w:t>
            </w:r>
            <w:r w:rsidR="00B8673B" w:rsidRPr="00CE599A">
              <w:rPr>
                <w:rFonts w:ascii="Arial" w:hAnsi="Arial" w:cs="Arial"/>
                <w:sz w:val="20"/>
                <w:szCs w:val="20"/>
              </w:rPr>
              <w:t xml:space="preserve"> rewording</w:t>
            </w:r>
            <w:r w:rsidR="00782C18" w:rsidRPr="00CE599A">
              <w:rPr>
                <w:rFonts w:ascii="Arial" w:hAnsi="Arial" w:cs="Arial"/>
                <w:sz w:val="20"/>
                <w:szCs w:val="20"/>
              </w:rPr>
              <w:t xml:space="preserve"> </w:t>
            </w:r>
            <w:r w:rsidR="00D66D26" w:rsidRPr="00CE599A">
              <w:rPr>
                <w:rFonts w:ascii="Arial" w:hAnsi="Arial" w:cs="Arial"/>
                <w:sz w:val="20"/>
                <w:szCs w:val="20"/>
              </w:rPr>
              <w:t xml:space="preserve">of text </w:t>
            </w:r>
            <w:r w:rsidR="00782C18" w:rsidRPr="00CE599A">
              <w:rPr>
                <w:rFonts w:ascii="Arial" w:hAnsi="Arial" w:cs="Arial"/>
                <w:sz w:val="20"/>
                <w:szCs w:val="20"/>
              </w:rPr>
              <w:t>in Comments</w:t>
            </w:r>
          </w:p>
        </w:tc>
        <w:tc>
          <w:tcPr>
            <w:tcW w:w="1017" w:type="dxa"/>
          </w:tcPr>
          <w:p w14:paraId="53ED7F58" w14:textId="77CD5CEB" w:rsidR="00F06647" w:rsidRPr="00CE599A" w:rsidRDefault="00B8673B" w:rsidP="00A67B2B">
            <w:pPr>
              <w:spacing w:line="259" w:lineRule="auto"/>
              <w:rPr>
                <w:rFonts w:ascii="Arial" w:hAnsi="Arial" w:cs="Arial"/>
                <w:sz w:val="20"/>
                <w:szCs w:val="20"/>
              </w:rPr>
            </w:pPr>
            <w:r w:rsidRPr="00CE599A">
              <w:rPr>
                <w:rFonts w:ascii="Arial" w:hAnsi="Arial" w:cs="Arial"/>
                <w:sz w:val="20"/>
                <w:szCs w:val="20"/>
              </w:rPr>
              <w:t>Disagree with</w:t>
            </w:r>
            <w:r w:rsidR="00F17C8E" w:rsidRPr="00CE599A">
              <w:rPr>
                <w:rFonts w:ascii="Arial" w:hAnsi="Arial" w:cs="Arial"/>
                <w:sz w:val="20"/>
                <w:szCs w:val="20"/>
              </w:rPr>
              <w:t xml:space="preserve"> concept</w:t>
            </w:r>
          </w:p>
        </w:tc>
        <w:tc>
          <w:tcPr>
            <w:tcW w:w="6263" w:type="dxa"/>
          </w:tcPr>
          <w:p w14:paraId="217E3EED" w14:textId="651004C3" w:rsidR="00FC696E" w:rsidRPr="00CE599A" w:rsidRDefault="00845000" w:rsidP="00A67B2B">
            <w:pPr>
              <w:spacing w:line="259" w:lineRule="auto"/>
              <w:rPr>
                <w:rFonts w:ascii="Arial" w:hAnsi="Arial" w:cs="Arial"/>
                <w:sz w:val="20"/>
                <w:szCs w:val="20"/>
              </w:rPr>
            </w:pPr>
            <w:r w:rsidRPr="00CE599A">
              <w:rPr>
                <w:rFonts w:ascii="Arial" w:hAnsi="Arial" w:cs="Arial"/>
                <w:sz w:val="20"/>
                <w:szCs w:val="20"/>
              </w:rPr>
              <w:t>Comments</w:t>
            </w:r>
            <w:r w:rsidR="00A95DA2" w:rsidRPr="00CE599A">
              <w:rPr>
                <w:rFonts w:ascii="Arial" w:hAnsi="Arial" w:cs="Arial"/>
                <w:sz w:val="20"/>
                <w:szCs w:val="20"/>
              </w:rPr>
              <w:t xml:space="preserve">  </w:t>
            </w:r>
          </w:p>
          <w:p w14:paraId="60A888A8" w14:textId="18679D31" w:rsidR="00F06647" w:rsidRPr="00CE599A" w:rsidRDefault="00A95DA2" w:rsidP="00A67B2B">
            <w:pPr>
              <w:spacing w:line="259" w:lineRule="auto"/>
              <w:rPr>
                <w:rFonts w:ascii="Arial" w:hAnsi="Arial" w:cs="Arial"/>
                <w:i/>
                <w:iCs/>
                <w:sz w:val="20"/>
                <w:szCs w:val="20"/>
              </w:rPr>
            </w:pPr>
            <w:r w:rsidRPr="00CE599A">
              <w:rPr>
                <w:rFonts w:ascii="Arial" w:hAnsi="Arial" w:cs="Arial"/>
                <w:i/>
                <w:iCs/>
                <w:sz w:val="20"/>
                <w:szCs w:val="20"/>
              </w:rPr>
              <w:t>Please include justification for your position based on objective experience and empirical data.</w:t>
            </w:r>
            <w:r w:rsidR="00FC696E" w:rsidRPr="00CE599A">
              <w:rPr>
                <w:rFonts w:ascii="Arial" w:hAnsi="Arial" w:cs="Arial"/>
                <w:i/>
                <w:iCs/>
                <w:sz w:val="20"/>
                <w:szCs w:val="20"/>
              </w:rPr>
              <w:t xml:space="preserve">  If there is a specific statement with which you take exception, please provide the Page </w:t>
            </w:r>
            <w:r w:rsidR="00DB37DB" w:rsidRPr="00CE599A">
              <w:rPr>
                <w:rFonts w:ascii="Arial" w:hAnsi="Arial" w:cs="Arial"/>
                <w:i/>
                <w:iCs/>
                <w:sz w:val="20"/>
                <w:szCs w:val="20"/>
              </w:rPr>
              <w:t xml:space="preserve">and Line </w:t>
            </w:r>
            <w:r w:rsidR="00FC696E" w:rsidRPr="00CE599A">
              <w:rPr>
                <w:rFonts w:ascii="Arial" w:hAnsi="Arial" w:cs="Arial"/>
                <w:i/>
                <w:iCs/>
                <w:sz w:val="20"/>
                <w:szCs w:val="20"/>
              </w:rPr>
              <w:t xml:space="preserve">numbers from the </w:t>
            </w:r>
            <w:r w:rsidR="00FE6294" w:rsidRPr="00CE599A">
              <w:rPr>
                <w:rFonts w:ascii="Arial" w:hAnsi="Arial" w:cs="Arial"/>
                <w:i/>
                <w:iCs/>
                <w:sz w:val="20"/>
                <w:szCs w:val="20"/>
              </w:rPr>
              <w:t>mark-up</w:t>
            </w:r>
            <w:r w:rsidR="00FC696E" w:rsidRPr="00CE599A">
              <w:rPr>
                <w:rFonts w:ascii="Arial" w:hAnsi="Arial" w:cs="Arial"/>
                <w:i/>
                <w:iCs/>
                <w:sz w:val="20"/>
                <w:szCs w:val="20"/>
              </w:rPr>
              <w:t xml:space="preserve"> </w:t>
            </w:r>
            <w:r w:rsidR="00A54333" w:rsidRPr="00CE599A">
              <w:rPr>
                <w:rFonts w:ascii="Arial" w:hAnsi="Arial" w:cs="Arial"/>
                <w:i/>
                <w:iCs/>
                <w:sz w:val="20"/>
                <w:szCs w:val="20"/>
              </w:rPr>
              <w:t xml:space="preserve">version of the </w:t>
            </w:r>
            <w:r w:rsidR="00FC696E" w:rsidRPr="00CE599A">
              <w:rPr>
                <w:rFonts w:ascii="Arial" w:hAnsi="Arial" w:cs="Arial"/>
                <w:i/>
                <w:iCs/>
                <w:sz w:val="20"/>
                <w:szCs w:val="20"/>
              </w:rPr>
              <w:t>proposed MUTCD text.</w:t>
            </w:r>
          </w:p>
        </w:tc>
      </w:tr>
      <w:tr w:rsidR="004A03C4" w:rsidRPr="00CE599A" w14:paraId="6BA5487D" w14:textId="77777777" w:rsidTr="00FF5FD1">
        <w:trPr>
          <w:cantSplit/>
        </w:trPr>
        <w:tc>
          <w:tcPr>
            <w:tcW w:w="1170" w:type="dxa"/>
          </w:tcPr>
          <w:p w14:paraId="2224C663" w14:textId="149A8DAA" w:rsidR="004A03C4" w:rsidRPr="00CE599A" w:rsidRDefault="00FE495D" w:rsidP="00A67B2B">
            <w:pPr>
              <w:spacing w:line="259" w:lineRule="auto"/>
              <w:rPr>
                <w:rFonts w:ascii="Arial" w:hAnsi="Arial" w:cs="Arial"/>
                <w:sz w:val="20"/>
                <w:szCs w:val="20"/>
              </w:rPr>
            </w:pPr>
            <w:r w:rsidRPr="00CE599A">
              <w:rPr>
                <w:rFonts w:ascii="Arial" w:hAnsi="Arial" w:cs="Arial"/>
                <w:sz w:val="20"/>
                <w:szCs w:val="20"/>
              </w:rPr>
              <w:t>All</w:t>
            </w:r>
          </w:p>
        </w:tc>
        <w:tc>
          <w:tcPr>
            <w:tcW w:w="1167" w:type="dxa"/>
          </w:tcPr>
          <w:p w14:paraId="77DB8454" w14:textId="08395ED2" w:rsidR="004A03C4" w:rsidRPr="00CE599A" w:rsidRDefault="004A03C4" w:rsidP="00A67B2B">
            <w:pPr>
              <w:spacing w:line="259" w:lineRule="auto"/>
              <w:jc w:val="center"/>
              <w:rPr>
                <w:rFonts w:ascii="Arial" w:hAnsi="Arial" w:cs="Arial"/>
                <w:sz w:val="20"/>
                <w:szCs w:val="20"/>
              </w:rPr>
            </w:pPr>
          </w:p>
        </w:tc>
        <w:tc>
          <w:tcPr>
            <w:tcW w:w="1183" w:type="dxa"/>
          </w:tcPr>
          <w:p w14:paraId="3B7070FB" w14:textId="1BF74A46" w:rsidR="004A03C4" w:rsidRPr="00CE599A" w:rsidRDefault="004A03C4" w:rsidP="00A67B2B">
            <w:pPr>
              <w:spacing w:line="259" w:lineRule="auto"/>
              <w:jc w:val="center"/>
              <w:rPr>
                <w:rFonts w:ascii="Arial" w:hAnsi="Arial" w:cs="Arial"/>
                <w:sz w:val="20"/>
                <w:szCs w:val="20"/>
              </w:rPr>
            </w:pPr>
          </w:p>
        </w:tc>
        <w:tc>
          <w:tcPr>
            <w:tcW w:w="1017" w:type="dxa"/>
          </w:tcPr>
          <w:p w14:paraId="63AB22FA" w14:textId="78E92ACE" w:rsidR="004A03C4" w:rsidRPr="00CE599A" w:rsidRDefault="004A03C4" w:rsidP="00A67B2B">
            <w:pPr>
              <w:spacing w:line="259" w:lineRule="auto"/>
              <w:jc w:val="center"/>
              <w:rPr>
                <w:rFonts w:ascii="Arial" w:hAnsi="Arial" w:cs="Arial"/>
                <w:sz w:val="20"/>
                <w:szCs w:val="20"/>
              </w:rPr>
            </w:pPr>
          </w:p>
        </w:tc>
        <w:tc>
          <w:tcPr>
            <w:tcW w:w="6263" w:type="dxa"/>
          </w:tcPr>
          <w:p w14:paraId="3769A9D6" w14:textId="1C3403F0" w:rsidR="004A03C4" w:rsidRPr="00CE599A" w:rsidRDefault="00FE495D" w:rsidP="00A67B2B">
            <w:pPr>
              <w:spacing w:line="259" w:lineRule="auto"/>
              <w:rPr>
                <w:rFonts w:ascii="Arial" w:hAnsi="Arial" w:cs="Arial"/>
                <w:sz w:val="20"/>
                <w:szCs w:val="20"/>
              </w:rPr>
            </w:pPr>
            <w:r w:rsidRPr="00CE599A">
              <w:rPr>
                <w:rFonts w:ascii="Arial" w:hAnsi="Arial" w:cs="Arial"/>
                <w:sz w:val="20"/>
                <w:szCs w:val="20"/>
              </w:rPr>
              <w:t>See other file submitted to docket which shows detailed recommended changes to the draft MUTCD text, figures, and tables.</w:t>
            </w:r>
          </w:p>
        </w:tc>
      </w:tr>
      <w:tr w:rsidR="00BD7682" w:rsidRPr="00CE599A" w14:paraId="3A298636" w14:textId="77777777" w:rsidTr="00FF5FD1">
        <w:trPr>
          <w:cantSplit/>
        </w:trPr>
        <w:tc>
          <w:tcPr>
            <w:tcW w:w="1170" w:type="dxa"/>
          </w:tcPr>
          <w:p w14:paraId="7C3C349B" w14:textId="24F03F78" w:rsidR="00BD7682" w:rsidRPr="00CE599A" w:rsidRDefault="003A5B25">
            <w:pPr>
              <w:spacing w:line="259" w:lineRule="auto"/>
              <w:rPr>
                <w:rFonts w:ascii="Arial" w:hAnsi="Arial" w:cs="Arial"/>
                <w:sz w:val="20"/>
                <w:szCs w:val="20"/>
              </w:rPr>
            </w:pPr>
            <w:r w:rsidRPr="00CE599A">
              <w:rPr>
                <w:rFonts w:ascii="Arial" w:hAnsi="Arial" w:cs="Arial"/>
                <w:sz w:val="20"/>
                <w:szCs w:val="20"/>
              </w:rPr>
              <w:t>2</w:t>
            </w:r>
            <w:r w:rsidR="005A3DB4" w:rsidRPr="00CE599A">
              <w:rPr>
                <w:rFonts w:ascii="Arial" w:hAnsi="Arial" w:cs="Arial"/>
                <w:sz w:val="20"/>
                <w:szCs w:val="20"/>
              </w:rPr>
              <w:t>D</w:t>
            </w:r>
            <w:r w:rsidRPr="00CE599A">
              <w:rPr>
                <w:rFonts w:ascii="Arial" w:hAnsi="Arial" w:cs="Arial"/>
                <w:sz w:val="20"/>
                <w:szCs w:val="20"/>
              </w:rPr>
              <w:t>.01</w:t>
            </w:r>
          </w:p>
        </w:tc>
        <w:tc>
          <w:tcPr>
            <w:tcW w:w="1167" w:type="dxa"/>
          </w:tcPr>
          <w:p w14:paraId="2CBB2136" w14:textId="31E7F5DA" w:rsidR="00BD7682" w:rsidRPr="00CE599A" w:rsidRDefault="005738DB" w:rsidP="00A67B2B">
            <w:pPr>
              <w:spacing w:line="259" w:lineRule="auto"/>
              <w:jc w:val="center"/>
              <w:rPr>
                <w:rFonts w:ascii="Arial" w:hAnsi="Arial" w:cs="Arial"/>
                <w:sz w:val="20"/>
                <w:szCs w:val="20"/>
              </w:rPr>
            </w:pPr>
            <w:r w:rsidRPr="00CE599A">
              <w:rPr>
                <w:rFonts w:ascii="Arial" w:hAnsi="Arial" w:cs="Arial"/>
                <w:sz w:val="20"/>
                <w:szCs w:val="20"/>
              </w:rPr>
              <w:t>NO</w:t>
            </w:r>
          </w:p>
        </w:tc>
        <w:tc>
          <w:tcPr>
            <w:tcW w:w="1183" w:type="dxa"/>
          </w:tcPr>
          <w:p w14:paraId="21F5D4AF" w14:textId="58B03478" w:rsidR="00BD7682" w:rsidRPr="00CE599A" w:rsidRDefault="005738DB" w:rsidP="00A67B2B">
            <w:pPr>
              <w:spacing w:line="259" w:lineRule="auto"/>
              <w:jc w:val="center"/>
              <w:rPr>
                <w:rFonts w:ascii="Arial" w:hAnsi="Arial" w:cs="Arial"/>
                <w:sz w:val="20"/>
                <w:szCs w:val="20"/>
              </w:rPr>
            </w:pPr>
            <w:r w:rsidRPr="00CE599A">
              <w:rPr>
                <w:rFonts w:ascii="Arial" w:hAnsi="Arial" w:cs="Arial"/>
                <w:sz w:val="20"/>
                <w:szCs w:val="20"/>
              </w:rPr>
              <w:t>YES</w:t>
            </w:r>
          </w:p>
        </w:tc>
        <w:tc>
          <w:tcPr>
            <w:tcW w:w="1017" w:type="dxa"/>
          </w:tcPr>
          <w:p w14:paraId="6EECFCA9" w14:textId="26DBE076" w:rsidR="00BD7682" w:rsidRPr="00CE599A" w:rsidRDefault="003A5B25" w:rsidP="00A67B2B">
            <w:pPr>
              <w:spacing w:line="259" w:lineRule="auto"/>
              <w:jc w:val="center"/>
              <w:rPr>
                <w:rFonts w:ascii="Arial" w:hAnsi="Arial" w:cs="Arial"/>
                <w:sz w:val="20"/>
                <w:szCs w:val="20"/>
              </w:rPr>
            </w:pPr>
            <w:r w:rsidRPr="00CE599A">
              <w:rPr>
                <w:rFonts w:ascii="Arial" w:hAnsi="Arial" w:cs="Arial"/>
                <w:sz w:val="20"/>
                <w:szCs w:val="20"/>
              </w:rPr>
              <w:t>N/A</w:t>
            </w:r>
          </w:p>
        </w:tc>
        <w:tc>
          <w:tcPr>
            <w:tcW w:w="6263" w:type="dxa"/>
          </w:tcPr>
          <w:p w14:paraId="14A5DD5A" w14:textId="46974A42" w:rsidR="00BD7682" w:rsidRPr="00CE599A" w:rsidRDefault="00CE599A" w:rsidP="00FA73EB">
            <w:pPr>
              <w:spacing w:line="259" w:lineRule="auto"/>
              <w:rPr>
                <w:rFonts w:ascii="Arial" w:hAnsi="Arial" w:cs="Arial"/>
                <w:sz w:val="20"/>
                <w:szCs w:val="20"/>
              </w:rPr>
            </w:pPr>
            <w:r w:rsidRPr="00CE599A">
              <w:rPr>
                <w:rFonts w:ascii="Arial" w:hAnsi="Arial" w:cs="Arial"/>
                <w:sz w:val="20"/>
                <w:szCs w:val="20"/>
              </w:rPr>
              <w:t>NCUTCD agrees with 2D.01 as presented in the NPA.</w:t>
            </w:r>
          </w:p>
        </w:tc>
      </w:tr>
      <w:tr w:rsidR="00782C18" w:rsidRPr="00CE599A" w14:paraId="7017C9DB" w14:textId="4839F836" w:rsidTr="00FF5FD1">
        <w:trPr>
          <w:cantSplit/>
        </w:trPr>
        <w:tc>
          <w:tcPr>
            <w:tcW w:w="1170" w:type="dxa"/>
          </w:tcPr>
          <w:p w14:paraId="0642A744" w14:textId="3A8A89AF" w:rsidR="00F06647" w:rsidRPr="00CE599A" w:rsidRDefault="00FF5FD1" w:rsidP="00A67B2B">
            <w:pPr>
              <w:spacing w:line="259" w:lineRule="auto"/>
              <w:rPr>
                <w:rFonts w:ascii="Arial" w:hAnsi="Arial" w:cs="Arial"/>
                <w:sz w:val="20"/>
                <w:szCs w:val="20"/>
              </w:rPr>
            </w:pPr>
            <w:r w:rsidRPr="00CE599A">
              <w:rPr>
                <w:rFonts w:ascii="Arial" w:hAnsi="Arial" w:cs="Arial"/>
                <w:sz w:val="20"/>
                <w:szCs w:val="20"/>
              </w:rPr>
              <w:t>Figure</w:t>
            </w:r>
            <w:r w:rsidR="003A5B25" w:rsidRPr="00CE599A">
              <w:rPr>
                <w:rFonts w:ascii="Arial" w:hAnsi="Arial" w:cs="Arial"/>
                <w:sz w:val="20"/>
                <w:szCs w:val="20"/>
              </w:rPr>
              <w:t xml:space="preserve"> 2</w:t>
            </w:r>
            <w:r w:rsidR="005A3DB4" w:rsidRPr="00CE599A">
              <w:rPr>
                <w:rFonts w:ascii="Arial" w:hAnsi="Arial" w:cs="Arial"/>
                <w:sz w:val="20"/>
                <w:szCs w:val="20"/>
              </w:rPr>
              <w:t>D</w:t>
            </w:r>
            <w:r w:rsidR="003A5B25" w:rsidRPr="00CE599A">
              <w:rPr>
                <w:rFonts w:ascii="Arial" w:hAnsi="Arial" w:cs="Arial"/>
                <w:sz w:val="20"/>
                <w:szCs w:val="20"/>
              </w:rPr>
              <w:t>-1</w:t>
            </w:r>
          </w:p>
        </w:tc>
        <w:tc>
          <w:tcPr>
            <w:tcW w:w="1167" w:type="dxa"/>
          </w:tcPr>
          <w:p w14:paraId="4617A116" w14:textId="59BB6DBD" w:rsidR="00F06647" w:rsidRPr="00CE599A" w:rsidRDefault="008C4882"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138BAA7A" w14:textId="6E18FF25" w:rsidR="00F06647" w:rsidRPr="00CE599A" w:rsidRDefault="008C4882"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7A41E31B" w14:textId="357FDE77" w:rsidR="00F06647" w:rsidRPr="00CE599A" w:rsidRDefault="003A5B25" w:rsidP="00A67B2B">
            <w:pPr>
              <w:spacing w:line="259" w:lineRule="auto"/>
              <w:jc w:val="center"/>
              <w:rPr>
                <w:rFonts w:ascii="Arial" w:hAnsi="Arial" w:cs="Arial"/>
                <w:sz w:val="20"/>
                <w:szCs w:val="20"/>
              </w:rPr>
            </w:pPr>
            <w:r w:rsidRPr="00CE599A">
              <w:rPr>
                <w:rFonts w:ascii="Arial" w:hAnsi="Arial" w:cs="Arial"/>
                <w:sz w:val="20"/>
                <w:szCs w:val="20"/>
              </w:rPr>
              <w:t>N/A</w:t>
            </w:r>
          </w:p>
        </w:tc>
        <w:tc>
          <w:tcPr>
            <w:tcW w:w="6263" w:type="dxa"/>
          </w:tcPr>
          <w:p w14:paraId="72F41D3C" w14:textId="7C012040" w:rsidR="00F06647" w:rsidRPr="00CE599A" w:rsidRDefault="00CE599A" w:rsidP="00A67B2B">
            <w:pPr>
              <w:spacing w:line="259" w:lineRule="auto"/>
              <w:rPr>
                <w:rFonts w:ascii="Arial" w:hAnsi="Arial" w:cs="Arial"/>
                <w:sz w:val="20"/>
                <w:szCs w:val="20"/>
              </w:rPr>
            </w:pPr>
            <w:r w:rsidRPr="00CE599A">
              <w:rPr>
                <w:rFonts w:ascii="Arial" w:hAnsi="Arial" w:cs="Arial"/>
                <w:sz w:val="20"/>
                <w:szCs w:val="20"/>
              </w:rPr>
              <w:t>NCUTCD generally agrees with Figure 2D-1 as presented in the NPA, but notes the figure title is different in the NPA text as compared to the NPA figures. NCUTCD recommends selecting one of these titles as the final figure title.</w:t>
            </w:r>
          </w:p>
        </w:tc>
      </w:tr>
      <w:tr w:rsidR="004053A2" w:rsidRPr="00CE599A" w14:paraId="728D6732" w14:textId="0756E885" w:rsidTr="00FF5FD1">
        <w:trPr>
          <w:cantSplit/>
        </w:trPr>
        <w:tc>
          <w:tcPr>
            <w:tcW w:w="1170" w:type="dxa"/>
          </w:tcPr>
          <w:p w14:paraId="6AFCDF00" w14:textId="2E50B255" w:rsidR="004053A2" w:rsidRPr="00CE599A" w:rsidRDefault="004053A2" w:rsidP="004053A2">
            <w:pPr>
              <w:spacing w:line="259" w:lineRule="auto"/>
              <w:rPr>
                <w:rFonts w:ascii="Arial" w:hAnsi="Arial" w:cs="Arial"/>
                <w:sz w:val="20"/>
                <w:szCs w:val="20"/>
              </w:rPr>
            </w:pPr>
            <w:r w:rsidRPr="00CE599A">
              <w:rPr>
                <w:rFonts w:ascii="Arial" w:hAnsi="Arial" w:cs="Arial"/>
                <w:sz w:val="20"/>
                <w:szCs w:val="20"/>
              </w:rPr>
              <w:t>2</w:t>
            </w:r>
            <w:r w:rsidR="005A3DB4" w:rsidRPr="00CE599A">
              <w:rPr>
                <w:rFonts w:ascii="Arial" w:hAnsi="Arial" w:cs="Arial"/>
                <w:sz w:val="20"/>
                <w:szCs w:val="20"/>
              </w:rPr>
              <w:t>D.02</w:t>
            </w:r>
          </w:p>
        </w:tc>
        <w:tc>
          <w:tcPr>
            <w:tcW w:w="1167" w:type="dxa"/>
          </w:tcPr>
          <w:p w14:paraId="02040168" w14:textId="06469ED6" w:rsidR="004053A2" w:rsidRPr="00CE599A" w:rsidRDefault="005A3DB4" w:rsidP="004053A2">
            <w:pPr>
              <w:spacing w:line="259" w:lineRule="auto"/>
              <w:jc w:val="center"/>
              <w:rPr>
                <w:rFonts w:ascii="Arial" w:hAnsi="Arial" w:cs="Arial"/>
                <w:sz w:val="20"/>
                <w:szCs w:val="20"/>
              </w:rPr>
            </w:pPr>
            <w:r w:rsidRPr="00CE599A">
              <w:rPr>
                <w:rFonts w:ascii="Arial" w:hAnsi="Arial" w:cs="Arial"/>
                <w:sz w:val="20"/>
                <w:szCs w:val="20"/>
              </w:rPr>
              <w:t>YES</w:t>
            </w:r>
          </w:p>
        </w:tc>
        <w:tc>
          <w:tcPr>
            <w:tcW w:w="1183" w:type="dxa"/>
          </w:tcPr>
          <w:p w14:paraId="6EB6B6BD" w14:textId="0D37A986" w:rsidR="004053A2" w:rsidRPr="00CE599A" w:rsidRDefault="005A3DB4" w:rsidP="004053A2">
            <w:pPr>
              <w:spacing w:line="259" w:lineRule="auto"/>
              <w:jc w:val="center"/>
              <w:rPr>
                <w:rFonts w:ascii="Arial" w:hAnsi="Arial" w:cs="Arial"/>
                <w:sz w:val="20"/>
                <w:szCs w:val="20"/>
              </w:rPr>
            </w:pPr>
            <w:r w:rsidRPr="00CE599A">
              <w:rPr>
                <w:rFonts w:ascii="Arial" w:hAnsi="Arial" w:cs="Arial"/>
                <w:sz w:val="20"/>
                <w:szCs w:val="20"/>
              </w:rPr>
              <w:t>N/A</w:t>
            </w:r>
          </w:p>
        </w:tc>
        <w:tc>
          <w:tcPr>
            <w:tcW w:w="1017" w:type="dxa"/>
          </w:tcPr>
          <w:p w14:paraId="50A51550" w14:textId="31834034" w:rsidR="004053A2" w:rsidRPr="00CE599A" w:rsidRDefault="004053A2" w:rsidP="004053A2">
            <w:pPr>
              <w:spacing w:line="259" w:lineRule="auto"/>
              <w:jc w:val="center"/>
              <w:rPr>
                <w:rFonts w:ascii="Arial" w:hAnsi="Arial" w:cs="Arial"/>
                <w:sz w:val="20"/>
                <w:szCs w:val="20"/>
              </w:rPr>
            </w:pPr>
            <w:r w:rsidRPr="00CE599A">
              <w:rPr>
                <w:rFonts w:ascii="Arial" w:hAnsi="Arial" w:cs="Arial"/>
                <w:sz w:val="20"/>
                <w:szCs w:val="20"/>
              </w:rPr>
              <w:t>N/A</w:t>
            </w:r>
          </w:p>
        </w:tc>
        <w:tc>
          <w:tcPr>
            <w:tcW w:w="6263" w:type="dxa"/>
          </w:tcPr>
          <w:p w14:paraId="2C22E9F2" w14:textId="642C9D4E" w:rsidR="004053A2" w:rsidRPr="00CE599A" w:rsidRDefault="004053A2" w:rsidP="004053A2">
            <w:pPr>
              <w:spacing w:line="259" w:lineRule="auto"/>
              <w:rPr>
                <w:rFonts w:ascii="Arial" w:hAnsi="Arial" w:cs="Arial"/>
                <w:sz w:val="20"/>
                <w:szCs w:val="20"/>
              </w:rPr>
            </w:pPr>
            <w:r w:rsidRPr="00CE599A">
              <w:rPr>
                <w:rFonts w:ascii="Arial" w:hAnsi="Arial" w:cs="Arial"/>
                <w:sz w:val="20"/>
                <w:szCs w:val="20"/>
              </w:rPr>
              <w:t>NCUTCD agrees with 2</w:t>
            </w:r>
            <w:r w:rsidR="005A3DB4" w:rsidRPr="00CE599A">
              <w:rPr>
                <w:rFonts w:ascii="Arial" w:hAnsi="Arial" w:cs="Arial"/>
                <w:sz w:val="20"/>
                <w:szCs w:val="20"/>
              </w:rPr>
              <w:t>D</w:t>
            </w:r>
            <w:r w:rsidRPr="00CE599A">
              <w:rPr>
                <w:rFonts w:ascii="Arial" w:hAnsi="Arial" w:cs="Arial"/>
                <w:sz w:val="20"/>
                <w:szCs w:val="20"/>
              </w:rPr>
              <w:t>.02 as presented in the NPA.</w:t>
            </w:r>
          </w:p>
        </w:tc>
      </w:tr>
      <w:tr w:rsidR="008C4882" w:rsidRPr="00CE599A" w14:paraId="3F0D3148" w14:textId="77777777" w:rsidTr="00FF5FD1">
        <w:trPr>
          <w:cantSplit/>
        </w:trPr>
        <w:tc>
          <w:tcPr>
            <w:tcW w:w="1170" w:type="dxa"/>
          </w:tcPr>
          <w:p w14:paraId="4CD84DD0" w14:textId="3648F967" w:rsidR="008C4882" w:rsidRPr="00CE599A" w:rsidRDefault="008C4882" w:rsidP="008C4882">
            <w:pPr>
              <w:rPr>
                <w:rFonts w:ascii="Arial" w:hAnsi="Arial" w:cs="Arial"/>
                <w:sz w:val="20"/>
                <w:szCs w:val="20"/>
              </w:rPr>
            </w:pPr>
            <w:r>
              <w:rPr>
                <w:rFonts w:ascii="Arial" w:hAnsi="Arial" w:cs="Arial"/>
                <w:sz w:val="20"/>
                <w:szCs w:val="20"/>
              </w:rPr>
              <w:t>Figure 2D-2</w:t>
            </w:r>
          </w:p>
        </w:tc>
        <w:tc>
          <w:tcPr>
            <w:tcW w:w="1167" w:type="dxa"/>
          </w:tcPr>
          <w:p w14:paraId="212DF9AF" w14:textId="50AD58F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7BD06F3C" w14:textId="253A6C9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64847A3" w14:textId="4D64E8E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DF0EEFD" w14:textId="50D4A705" w:rsidR="008C4882" w:rsidRPr="00CE599A" w:rsidRDefault="008C4882" w:rsidP="008C4882">
            <w:pPr>
              <w:rPr>
                <w:rFonts w:ascii="Arial" w:hAnsi="Arial" w:cs="Arial"/>
                <w:sz w:val="20"/>
                <w:szCs w:val="20"/>
              </w:rPr>
            </w:pPr>
            <w:r w:rsidRPr="008C4882">
              <w:rPr>
                <w:rFonts w:ascii="Arial" w:hAnsi="Arial" w:cs="Arial"/>
                <w:sz w:val="20"/>
                <w:szCs w:val="20"/>
              </w:rPr>
              <w:t>NCUTCD agrees with Figure 2D-2 as presented in the NPA.</w:t>
            </w:r>
          </w:p>
        </w:tc>
      </w:tr>
      <w:tr w:rsidR="008C4882" w:rsidRPr="00CE599A" w14:paraId="291930E3" w14:textId="74252152" w:rsidTr="00FF5FD1">
        <w:trPr>
          <w:cantSplit/>
        </w:trPr>
        <w:tc>
          <w:tcPr>
            <w:tcW w:w="1170" w:type="dxa"/>
          </w:tcPr>
          <w:p w14:paraId="5C239D48" w14:textId="04F01314" w:rsidR="008C4882" w:rsidRPr="00CE599A" w:rsidRDefault="008C4882" w:rsidP="008C4882">
            <w:pPr>
              <w:spacing w:line="259" w:lineRule="auto"/>
              <w:rPr>
                <w:rFonts w:ascii="Arial" w:hAnsi="Arial" w:cs="Arial"/>
                <w:sz w:val="20"/>
                <w:szCs w:val="20"/>
              </w:rPr>
            </w:pPr>
            <w:r w:rsidRPr="00CE599A">
              <w:rPr>
                <w:rFonts w:ascii="Arial" w:hAnsi="Arial" w:cs="Arial"/>
                <w:sz w:val="20"/>
                <w:szCs w:val="20"/>
              </w:rPr>
              <w:t>2D.03</w:t>
            </w:r>
          </w:p>
        </w:tc>
        <w:tc>
          <w:tcPr>
            <w:tcW w:w="1167" w:type="dxa"/>
          </w:tcPr>
          <w:p w14:paraId="5D55ADD1" w14:textId="6B0F6BD6" w:rsidR="008C4882" w:rsidRPr="00CE599A" w:rsidRDefault="008C4882" w:rsidP="008C4882">
            <w:pPr>
              <w:spacing w:line="259" w:lineRule="auto"/>
              <w:jc w:val="center"/>
              <w:rPr>
                <w:rFonts w:ascii="Arial" w:hAnsi="Arial" w:cs="Arial"/>
                <w:sz w:val="20"/>
                <w:szCs w:val="20"/>
              </w:rPr>
            </w:pPr>
            <w:r w:rsidRPr="00CE599A">
              <w:rPr>
                <w:rFonts w:ascii="Arial" w:hAnsi="Arial" w:cs="Arial"/>
                <w:sz w:val="20"/>
                <w:szCs w:val="20"/>
              </w:rPr>
              <w:t>YES</w:t>
            </w:r>
          </w:p>
        </w:tc>
        <w:tc>
          <w:tcPr>
            <w:tcW w:w="1183" w:type="dxa"/>
          </w:tcPr>
          <w:p w14:paraId="3AFA22E3" w14:textId="71A3407C" w:rsidR="008C4882" w:rsidRPr="00CE599A" w:rsidRDefault="008C4882" w:rsidP="008C4882">
            <w:pPr>
              <w:spacing w:line="259" w:lineRule="auto"/>
              <w:jc w:val="center"/>
              <w:rPr>
                <w:rFonts w:ascii="Arial" w:hAnsi="Arial" w:cs="Arial"/>
                <w:sz w:val="20"/>
                <w:szCs w:val="20"/>
              </w:rPr>
            </w:pPr>
            <w:r w:rsidRPr="00CE599A">
              <w:rPr>
                <w:rFonts w:ascii="Arial" w:hAnsi="Arial" w:cs="Arial"/>
                <w:sz w:val="20"/>
                <w:szCs w:val="20"/>
              </w:rPr>
              <w:t>N/A</w:t>
            </w:r>
          </w:p>
        </w:tc>
        <w:tc>
          <w:tcPr>
            <w:tcW w:w="1017" w:type="dxa"/>
          </w:tcPr>
          <w:p w14:paraId="636BEA9F" w14:textId="245FF27B" w:rsidR="008C4882" w:rsidRPr="00CE599A" w:rsidRDefault="008C4882" w:rsidP="008C4882">
            <w:pPr>
              <w:spacing w:line="259" w:lineRule="auto"/>
              <w:jc w:val="center"/>
              <w:rPr>
                <w:rFonts w:ascii="Arial" w:hAnsi="Arial" w:cs="Arial"/>
                <w:sz w:val="20"/>
                <w:szCs w:val="20"/>
              </w:rPr>
            </w:pPr>
            <w:r w:rsidRPr="00CE599A">
              <w:rPr>
                <w:rFonts w:ascii="Arial" w:hAnsi="Arial" w:cs="Arial"/>
                <w:sz w:val="20"/>
                <w:szCs w:val="20"/>
              </w:rPr>
              <w:t>N/A</w:t>
            </w:r>
          </w:p>
        </w:tc>
        <w:tc>
          <w:tcPr>
            <w:tcW w:w="6263" w:type="dxa"/>
          </w:tcPr>
          <w:p w14:paraId="4F7C4F3C" w14:textId="7FB47D25" w:rsidR="008C4882" w:rsidRPr="00CE599A" w:rsidRDefault="008C4882" w:rsidP="008C4882">
            <w:pPr>
              <w:spacing w:line="259" w:lineRule="auto"/>
              <w:rPr>
                <w:rFonts w:ascii="Arial" w:hAnsi="Arial" w:cs="Arial"/>
                <w:sz w:val="20"/>
                <w:szCs w:val="20"/>
              </w:rPr>
            </w:pPr>
            <w:r w:rsidRPr="00CE599A">
              <w:rPr>
                <w:rFonts w:ascii="Arial" w:hAnsi="Arial" w:cs="Arial"/>
                <w:sz w:val="20"/>
                <w:szCs w:val="20"/>
              </w:rPr>
              <w:t>NCUTCD agrees with 2D.02 as presented in the NPA.</w:t>
            </w:r>
          </w:p>
        </w:tc>
      </w:tr>
      <w:tr w:rsidR="008C4882" w:rsidRPr="00CE599A" w14:paraId="441F5ED9" w14:textId="3F7BEEC2" w:rsidTr="00FF5FD1">
        <w:trPr>
          <w:cantSplit/>
        </w:trPr>
        <w:tc>
          <w:tcPr>
            <w:tcW w:w="1170" w:type="dxa"/>
          </w:tcPr>
          <w:p w14:paraId="467546D0" w14:textId="023002C4" w:rsidR="008C4882" w:rsidRPr="00CE599A" w:rsidRDefault="008C4882" w:rsidP="008C4882">
            <w:pPr>
              <w:spacing w:line="259" w:lineRule="auto"/>
              <w:rPr>
                <w:rFonts w:ascii="Arial" w:hAnsi="Arial" w:cs="Arial"/>
                <w:sz w:val="20"/>
                <w:szCs w:val="20"/>
              </w:rPr>
            </w:pPr>
            <w:bookmarkStart w:id="0" w:name="_Hlk70070188"/>
            <w:r w:rsidRPr="00CE599A">
              <w:rPr>
                <w:rFonts w:ascii="Arial" w:hAnsi="Arial" w:cs="Arial"/>
                <w:sz w:val="20"/>
                <w:szCs w:val="20"/>
              </w:rPr>
              <w:t>Table 2D-1</w:t>
            </w:r>
          </w:p>
        </w:tc>
        <w:tc>
          <w:tcPr>
            <w:tcW w:w="1167" w:type="dxa"/>
          </w:tcPr>
          <w:p w14:paraId="1C2A64F1" w14:textId="29F77E45" w:rsidR="008C4882" w:rsidRPr="00CE599A" w:rsidRDefault="008C4882" w:rsidP="008C4882">
            <w:pPr>
              <w:spacing w:line="259" w:lineRule="auto"/>
              <w:jc w:val="center"/>
              <w:rPr>
                <w:rFonts w:ascii="Arial" w:hAnsi="Arial" w:cs="Arial"/>
                <w:sz w:val="20"/>
                <w:szCs w:val="20"/>
              </w:rPr>
            </w:pPr>
            <w:r w:rsidRPr="00CE599A">
              <w:rPr>
                <w:rFonts w:ascii="Arial" w:hAnsi="Arial" w:cs="Arial"/>
                <w:sz w:val="20"/>
                <w:szCs w:val="20"/>
              </w:rPr>
              <w:t>NO</w:t>
            </w:r>
          </w:p>
        </w:tc>
        <w:tc>
          <w:tcPr>
            <w:tcW w:w="1183" w:type="dxa"/>
          </w:tcPr>
          <w:p w14:paraId="216F410D" w14:textId="2BAEC5F3" w:rsidR="008C4882" w:rsidRPr="00CE599A" w:rsidRDefault="008C4882" w:rsidP="008C4882">
            <w:pPr>
              <w:spacing w:line="259" w:lineRule="auto"/>
              <w:jc w:val="center"/>
              <w:rPr>
                <w:rFonts w:ascii="Arial" w:hAnsi="Arial" w:cs="Arial"/>
                <w:sz w:val="20"/>
                <w:szCs w:val="20"/>
              </w:rPr>
            </w:pPr>
            <w:r w:rsidRPr="00CE599A">
              <w:rPr>
                <w:rFonts w:ascii="Arial" w:hAnsi="Arial" w:cs="Arial"/>
                <w:sz w:val="20"/>
                <w:szCs w:val="20"/>
              </w:rPr>
              <w:t>YES</w:t>
            </w:r>
          </w:p>
        </w:tc>
        <w:tc>
          <w:tcPr>
            <w:tcW w:w="1017" w:type="dxa"/>
          </w:tcPr>
          <w:p w14:paraId="49427328" w14:textId="72AB7459" w:rsidR="008C4882" w:rsidRPr="00CE599A" w:rsidRDefault="008C4882" w:rsidP="008C4882">
            <w:pPr>
              <w:spacing w:line="259" w:lineRule="auto"/>
              <w:jc w:val="center"/>
              <w:rPr>
                <w:rFonts w:ascii="Arial" w:hAnsi="Arial" w:cs="Arial"/>
                <w:sz w:val="20"/>
                <w:szCs w:val="20"/>
              </w:rPr>
            </w:pPr>
            <w:r w:rsidRPr="00CE599A">
              <w:rPr>
                <w:rFonts w:ascii="Arial" w:hAnsi="Arial" w:cs="Arial"/>
                <w:sz w:val="20"/>
                <w:szCs w:val="20"/>
              </w:rPr>
              <w:t>N/A</w:t>
            </w:r>
          </w:p>
        </w:tc>
        <w:tc>
          <w:tcPr>
            <w:tcW w:w="6263" w:type="dxa"/>
          </w:tcPr>
          <w:p w14:paraId="108350DC" w14:textId="44785E62" w:rsidR="008C4882" w:rsidRPr="00CE599A" w:rsidRDefault="008C4882" w:rsidP="008C4882">
            <w:pPr>
              <w:spacing w:line="259" w:lineRule="auto"/>
              <w:rPr>
                <w:rFonts w:ascii="Arial" w:hAnsi="Arial" w:cs="Arial"/>
                <w:sz w:val="20"/>
                <w:szCs w:val="20"/>
              </w:rPr>
            </w:pPr>
            <w:r w:rsidRPr="00CE599A">
              <w:rPr>
                <w:rFonts w:ascii="Arial" w:hAnsi="Arial" w:cs="Arial"/>
                <w:sz w:val="20"/>
                <w:szCs w:val="20"/>
              </w:rPr>
              <w:t>NCUTCD generally agrees with Table 2D-1 as presented in the NPA, but notes the table title is different in the NPA text as compared to the NPA tables. NCUTCD recommends selecting one of these titles as the final table title.</w:t>
            </w:r>
          </w:p>
        </w:tc>
      </w:tr>
      <w:tr w:rsidR="008C4882" w:rsidRPr="00CE599A" w14:paraId="3E1E8447" w14:textId="77777777" w:rsidTr="00FF5FD1">
        <w:trPr>
          <w:cantSplit/>
        </w:trPr>
        <w:tc>
          <w:tcPr>
            <w:tcW w:w="1170" w:type="dxa"/>
          </w:tcPr>
          <w:p w14:paraId="1AD9B9F2" w14:textId="089B7904" w:rsidR="008C4882" w:rsidRPr="00CE599A" w:rsidRDefault="008C4882" w:rsidP="008C4882">
            <w:pPr>
              <w:rPr>
                <w:rFonts w:ascii="Arial" w:hAnsi="Arial" w:cs="Arial"/>
                <w:sz w:val="20"/>
                <w:szCs w:val="20"/>
              </w:rPr>
            </w:pPr>
            <w:bookmarkStart w:id="1" w:name="_Hlk70070224"/>
            <w:bookmarkEnd w:id="0"/>
            <w:r w:rsidRPr="00CE599A">
              <w:rPr>
                <w:rFonts w:ascii="Arial" w:hAnsi="Arial" w:cs="Arial"/>
                <w:sz w:val="20"/>
                <w:szCs w:val="20"/>
              </w:rPr>
              <w:t>2D.04</w:t>
            </w:r>
          </w:p>
        </w:tc>
        <w:tc>
          <w:tcPr>
            <w:tcW w:w="1167" w:type="dxa"/>
          </w:tcPr>
          <w:p w14:paraId="2DBF3FDF" w14:textId="77777777"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D022861" w14:textId="7777777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6D3C6F5" w14:textId="7777777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584AE46" w14:textId="3A8FFF3D" w:rsidR="008C4882" w:rsidRPr="00CE599A" w:rsidRDefault="008C4882" w:rsidP="008C4882">
            <w:pPr>
              <w:rPr>
                <w:rFonts w:ascii="Arial" w:hAnsi="Arial" w:cs="Arial"/>
                <w:sz w:val="20"/>
                <w:szCs w:val="20"/>
              </w:rPr>
            </w:pPr>
            <w:r w:rsidRPr="00CE599A">
              <w:rPr>
                <w:rFonts w:ascii="Arial" w:hAnsi="Arial" w:cs="Arial"/>
                <w:sz w:val="20"/>
                <w:szCs w:val="20"/>
              </w:rPr>
              <w:t>NCUTCD agrees with 2D.04 as presented in the NPA.</w:t>
            </w:r>
          </w:p>
        </w:tc>
      </w:tr>
      <w:tr w:rsidR="008C4882" w:rsidRPr="00CE599A" w14:paraId="369E2CF8" w14:textId="77777777" w:rsidTr="00FF5FD1">
        <w:trPr>
          <w:cantSplit/>
        </w:trPr>
        <w:tc>
          <w:tcPr>
            <w:tcW w:w="1170" w:type="dxa"/>
          </w:tcPr>
          <w:p w14:paraId="092C42A2" w14:textId="429FDCB2" w:rsidR="008C4882" w:rsidRPr="00CE599A" w:rsidRDefault="008C4882" w:rsidP="008C4882">
            <w:pPr>
              <w:rPr>
                <w:rFonts w:ascii="Arial" w:hAnsi="Arial" w:cs="Arial"/>
                <w:sz w:val="20"/>
                <w:szCs w:val="20"/>
              </w:rPr>
            </w:pPr>
            <w:r w:rsidRPr="00CE599A">
              <w:rPr>
                <w:rFonts w:ascii="Arial" w:hAnsi="Arial" w:cs="Arial"/>
                <w:sz w:val="20"/>
                <w:szCs w:val="20"/>
              </w:rPr>
              <w:lastRenderedPageBreak/>
              <w:t>2D.05</w:t>
            </w:r>
          </w:p>
        </w:tc>
        <w:tc>
          <w:tcPr>
            <w:tcW w:w="1167" w:type="dxa"/>
          </w:tcPr>
          <w:p w14:paraId="02050544" w14:textId="3862AFFD"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15A7AEF6" w14:textId="5A57CB5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CEFE21E" w14:textId="6C18AD4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9C28611" w14:textId="6E4ED504" w:rsidR="008C4882" w:rsidRPr="00CE599A" w:rsidRDefault="008C4882" w:rsidP="008C4882">
            <w:pPr>
              <w:rPr>
                <w:rFonts w:ascii="Arial" w:hAnsi="Arial" w:cs="Arial"/>
                <w:sz w:val="20"/>
                <w:szCs w:val="20"/>
              </w:rPr>
            </w:pPr>
            <w:r w:rsidRPr="001566EE">
              <w:rPr>
                <w:rFonts w:ascii="Arial" w:eastAsia="Times New Roman" w:hAnsi="Arial" w:cs="Arial"/>
                <w:bCs/>
                <w:sz w:val="20"/>
                <w:szCs w:val="20"/>
              </w:rPr>
              <w:t xml:space="preserve">NCUTCD recommends revising 2D.05 by removing all references to lower-case letter height and instead refer solely to upper case or mixed case letter height. Although Section 2D.04 discusses the concept of loop height and its relationship to upper case height, and sign fabricators decades ago specified lower case letters by loop height, current electronic sign design practice uses only the </w:t>
            </w:r>
            <w:proofErr w:type="gramStart"/>
            <w:r w:rsidRPr="001566EE">
              <w:rPr>
                <w:rFonts w:ascii="Arial" w:eastAsia="Times New Roman" w:hAnsi="Arial" w:cs="Arial"/>
                <w:bCs/>
                <w:sz w:val="20"/>
                <w:szCs w:val="20"/>
              </w:rPr>
              <w:t>upper case</w:t>
            </w:r>
            <w:proofErr w:type="gramEnd"/>
            <w:r w:rsidRPr="001566EE">
              <w:rPr>
                <w:rFonts w:ascii="Arial" w:eastAsia="Times New Roman" w:hAnsi="Arial" w:cs="Arial"/>
                <w:bCs/>
                <w:sz w:val="20"/>
                <w:szCs w:val="20"/>
              </w:rPr>
              <w:t xml:space="preserve"> letter height to correctly select the letter size for all text, similar to nearly all other instances of text selection in computer software (including the one being used to type this comment). Also, the MUTCD specifies shorter upper case letter heights for letters following the initial letter in cardinal direction legends, which may be conditioning some sign designers to also think that the text size must be changed in a similar manner for mixed case text. Retaining the obsolete practice of specifying lower-case text height separately results in some sign designers thinking they need to change the text height for lower case text in the sign software during layout similar as to what is expected for cardinal directions, apparently not understanding the </w:t>
            </w:r>
            <w:proofErr w:type="gramStart"/>
            <w:r w:rsidRPr="001566EE">
              <w:rPr>
                <w:rFonts w:ascii="Arial" w:eastAsia="Times New Roman" w:hAnsi="Arial" w:cs="Arial"/>
                <w:bCs/>
                <w:sz w:val="20"/>
                <w:szCs w:val="20"/>
              </w:rPr>
              <w:t>lower case</w:t>
            </w:r>
            <w:proofErr w:type="gramEnd"/>
            <w:r w:rsidRPr="001566EE">
              <w:rPr>
                <w:rFonts w:ascii="Arial" w:eastAsia="Times New Roman" w:hAnsi="Arial" w:cs="Arial"/>
                <w:bCs/>
                <w:sz w:val="20"/>
                <w:szCs w:val="20"/>
              </w:rPr>
              <w:t xml:space="preserve"> height is a loop height. This then creates a sign with lower case legend that is too small, which greatly reduces legibility and no longer meets MUTCD Standards.</w:t>
            </w:r>
          </w:p>
        </w:tc>
      </w:tr>
      <w:tr w:rsidR="008C4882" w:rsidRPr="00CE599A" w14:paraId="7BC5FA5B" w14:textId="77777777" w:rsidTr="00FF5FD1">
        <w:trPr>
          <w:cantSplit/>
        </w:trPr>
        <w:tc>
          <w:tcPr>
            <w:tcW w:w="1170" w:type="dxa"/>
          </w:tcPr>
          <w:p w14:paraId="45CCA2DE" w14:textId="318925A0" w:rsidR="008C4882" w:rsidRPr="00CE599A" w:rsidRDefault="008C4882" w:rsidP="008C4882">
            <w:pPr>
              <w:rPr>
                <w:rFonts w:ascii="Arial" w:hAnsi="Arial" w:cs="Arial"/>
                <w:sz w:val="20"/>
                <w:szCs w:val="20"/>
              </w:rPr>
            </w:pPr>
            <w:r w:rsidRPr="00CE599A">
              <w:rPr>
                <w:rFonts w:ascii="Arial" w:hAnsi="Arial" w:cs="Arial"/>
                <w:sz w:val="20"/>
                <w:szCs w:val="20"/>
              </w:rPr>
              <w:t>Table 2D-2</w:t>
            </w:r>
          </w:p>
        </w:tc>
        <w:tc>
          <w:tcPr>
            <w:tcW w:w="1167" w:type="dxa"/>
          </w:tcPr>
          <w:p w14:paraId="56910393" w14:textId="73B7E50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144311F2" w14:textId="26CA73FC"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C1427D6" w14:textId="2B725F8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A358832" w14:textId="77777777" w:rsidR="008C4882" w:rsidRPr="00B2559F" w:rsidRDefault="008C4882" w:rsidP="008C4882">
            <w:pPr>
              <w:rPr>
                <w:rFonts w:ascii="Arial" w:hAnsi="Arial" w:cs="Arial"/>
                <w:sz w:val="20"/>
                <w:szCs w:val="20"/>
              </w:rPr>
            </w:pPr>
            <w:r w:rsidRPr="00B2559F">
              <w:rPr>
                <w:rFonts w:ascii="Arial" w:hAnsi="Arial" w:cs="Arial"/>
                <w:sz w:val="20"/>
                <w:szCs w:val="20"/>
              </w:rPr>
              <w:t>NCUTCD generally agrees with Table 2D-2 as presented in the NPA, but recommends revising as follows:</w:t>
            </w:r>
          </w:p>
          <w:p w14:paraId="02B6C614" w14:textId="01B83B0D" w:rsidR="008C4882" w:rsidRPr="00B2559F" w:rsidRDefault="008C4882" w:rsidP="008C4882">
            <w:pPr>
              <w:pStyle w:val="ListParagraph"/>
              <w:numPr>
                <w:ilvl w:val="0"/>
                <w:numId w:val="2"/>
              </w:numPr>
              <w:rPr>
                <w:rFonts w:ascii="Arial" w:hAnsi="Arial" w:cs="Arial"/>
                <w:sz w:val="20"/>
                <w:szCs w:val="20"/>
              </w:rPr>
            </w:pPr>
            <w:r w:rsidRPr="00B2559F">
              <w:rPr>
                <w:rFonts w:ascii="Arial" w:hAnsi="Arial" w:cs="Arial"/>
                <w:sz w:val="20"/>
                <w:szCs w:val="20"/>
              </w:rPr>
              <w:t>Revise the title to add “Recommended” at the beginning and change “by Roadway Type” to “According to Speed”, as speed is now a primary criterion used for selecting letter height</w:t>
            </w:r>
          </w:p>
          <w:p w14:paraId="38D98D8F" w14:textId="13BE13B4" w:rsidR="008C4882" w:rsidRPr="00B2559F" w:rsidRDefault="008C4882" w:rsidP="008C4882">
            <w:pPr>
              <w:pStyle w:val="ListParagraph"/>
              <w:numPr>
                <w:ilvl w:val="0"/>
                <w:numId w:val="2"/>
              </w:numPr>
              <w:rPr>
                <w:rFonts w:ascii="Arial" w:hAnsi="Arial" w:cs="Arial"/>
                <w:sz w:val="20"/>
                <w:szCs w:val="20"/>
              </w:rPr>
            </w:pPr>
            <w:r w:rsidRPr="00B2559F">
              <w:rPr>
                <w:rFonts w:ascii="Arial" w:hAnsi="Arial" w:cs="Arial"/>
                <w:sz w:val="20"/>
                <w:szCs w:val="20"/>
              </w:rPr>
              <w:t>Delete all rows and references to “Following Lower Case Letters or Ordinals”, as this has been misinterpreted as specifying a smaller ascender height for lower case text, not as a loop height, regardless of the footnote (see comments on Section 2D.05)</w:t>
            </w:r>
          </w:p>
          <w:p w14:paraId="365B5BFA" w14:textId="77777777" w:rsidR="008C4882" w:rsidRDefault="008C4882" w:rsidP="008C4882">
            <w:pPr>
              <w:pStyle w:val="ListParagraph"/>
              <w:numPr>
                <w:ilvl w:val="0"/>
                <w:numId w:val="2"/>
              </w:numPr>
              <w:rPr>
                <w:rFonts w:ascii="Arial" w:hAnsi="Arial" w:cs="Arial"/>
                <w:sz w:val="20"/>
                <w:szCs w:val="20"/>
              </w:rPr>
            </w:pPr>
            <w:r w:rsidRPr="00B2559F">
              <w:rPr>
                <w:rFonts w:ascii="Arial" w:hAnsi="Arial" w:cs="Arial"/>
                <w:sz w:val="20"/>
                <w:szCs w:val="20"/>
              </w:rPr>
              <w:t xml:space="preserve">On Sheet 2, section A, for names of destinations or roads, revise the </w:t>
            </w:r>
            <w:proofErr w:type="gramStart"/>
            <w:r w:rsidRPr="00B2559F">
              <w:rPr>
                <w:rFonts w:ascii="Arial" w:hAnsi="Arial" w:cs="Arial"/>
                <w:sz w:val="20"/>
                <w:szCs w:val="20"/>
              </w:rPr>
              <w:t>upper case</w:t>
            </w:r>
            <w:proofErr w:type="gramEnd"/>
            <w:r w:rsidRPr="00B2559F">
              <w:rPr>
                <w:rFonts w:ascii="Arial" w:hAnsi="Arial" w:cs="Arial"/>
                <w:sz w:val="20"/>
                <w:szCs w:val="20"/>
              </w:rPr>
              <w:t xml:space="preserve"> letter height for overhead signs from 13.33” to 10.67” in accordance with Section 2D.05</w:t>
            </w:r>
          </w:p>
          <w:p w14:paraId="5C491C0D" w14:textId="4FB95401" w:rsidR="008C4882" w:rsidRPr="00782EC5" w:rsidRDefault="008C4882" w:rsidP="008C4882">
            <w:pPr>
              <w:pStyle w:val="ListParagraph"/>
              <w:numPr>
                <w:ilvl w:val="0"/>
                <w:numId w:val="2"/>
              </w:numPr>
              <w:rPr>
                <w:rFonts w:ascii="Arial" w:hAnsi="Arial" w:cs="Arial"/>
                <w:sz w:val="20"/>
                <w:szCs w:val="20"/>
              </w:rPr>
            </w:pPr>
            <w:r w:rsidRPr="00782EC5">
              <w:rPr>
                <w:rFonts w:ascii="Arial" w:hAnsi="Arial" w:cs="Arial"/>
                <w:sz w:val="20"/>
                <w:szCs w:val="20"/>
              </w:rPr>
              <w:t>Delete the footnote on lower case loop height, as the rows it references for lower case height are deleted</w:t>
            </w:r>
          </w:p>
        </w:tc>
      </w:tr>
      <w:tr w:rsidR="008C4882" w:rsidRPr="00CE599A" w14:paraId="504EABF4" w14:textId="77777777" w:rsidTr="00FF5FD1">
        <w:trPr>
          <w:cantSplit/>
        </w:trPr>
        <w:tc>
          <w:tcPr>
            <w:tcW w:w="1170" w:type="dxa"/>
          </w:tcPr>
          <w:p w14:paraId="2A9369DD" w14:textId="7D6D6F7A" w:rsidR="008C4882" w:rsidRPr="00CE599A" w:rsidRDefault="008C4882" w:rsidP="008C4882">
            <w:pPr>
              <w:rPr>
                <w:rFonts w:ascii="Arial" w:hAnsi="Arial" w:cs="Arial"/>
                <w:sz w:val="20"/>
                <w:szCs w:val="20"/>
              </w:rPr>
            </w:pPr>
            <w:r w:rsidRPr="00CE599A">
              <w:rPr>
                <w:rFonts w:ascii="Arial" w:hAnsi="Arial" w:cs="Arial"/>
                <w:sz w:val="20"/>
                <w:szCs w:val="20"/>
              </w:rPr>
              <w:t>2D.06</w:t>
            </w:r>
          </w:p>
        </w:tc>
        <w:tc>
          <w:tcPr>
            <w:tcW w:w="1167" w:type="dxa"/>
          </w:tcPr>
          <w:p w14:paraId="7451060B" w14:textId="4E76FF9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6361CE21" w14:textId="1AD6CF2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A2DA4D3" w14:textId="678AB46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4190E85" w14:textId="60B97C86" w:rsidR="008C4882" w:rsidRPr="00CE599A" w:rsidRDefault="008C4882" w:rsidP="008C4882">
            <w:pPr>
              <w:rPr>
                <w:rFonts w:ascii="Arial" w:hAnsi="Arial" w:cs="Arial"/>
                <w:sz w:val="20"/>
                <w:szCs w:val="20"/>
              </w:rPr>
            </w:pPr>
            <w:r w:rsidRPr="00CE599A">
              <w:rPr>
                <w:rFonts w:ascii="Arial" w:hAnsi="Arial" w:cs="Arial"/>
                <w:sz w:val="20"/>
                <w:szCs w:val="20"/>
              </w:rPr>
              <w:t>NCUTCD agrees with 2D.06 as presented in the NPA.</w:t>
            </w:r>
          </w:p>
        </w:tc>
      </w:tr>
      <w:tr w:rsidR="008C4882" w:rsidRPr="00CE599A" w14:paraId="4D3E314C" w14:textId="77777777" w:rsidTr="00FF5FD1">
        <w:trPr>
          <w:cantSplit/>
        </w:trPr>
        <w:tc>
          <w:tcPr>
            <w:tcW w:w="1170" w:type="dxa"/>
          </w:tcPr>
          <w:p w14:paraId="4C22D30B" w14:textId="53FE70A2" w:rsidR="008C4882" w:rsidRPr="00CE599A" w:rsidRDefault="008C4882" w:rsidP="008C4882">
            <w:pPr>
              <w:rPr>
                <w:rFonts w:ascii="Arial" w:hAnsi="Arial" w:cs="Arial"/>
                <w:sz w:val="20"/>
                <w:szCs w:val="20"/>
              </w:rPr>
            </w:pPr>
            <w:r w:rsidRPr="00CE599A">
              <w:rPr>
                <w:rFonts w:ascii="Arial" w:hAnsi="Arial" w:cs="Arial"/>
                <w:sz w:val="20"/>
                <w:szCs w:val="20"/>
              </w:rPr>
              <w:t>2D.07</w:t>
            </w:r>
          </w:p>
        </w:tc>
        <w:tc>
          <w:tcPr>
            <w:tcW w:w="1167" w:type="dxa"/>
          </w:tcPr>
          <w:p w14:paraId="6F0727F5" w14:textId="664130BA"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094CF7A" w14:textId="645435D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7E83D54" w14:textId="05C8964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385C0B1" w14:textId="68F575B9" w:rsidR="008C4882" w:rsidRPr="00CE599A" w:rsidRDefault="008C4882" w:rsidP="008C4882">
            <w:pPr>
              <w:rPr>
                <w:rFonts w:ascii="Arial" w:hAnsi="Arial" w:cs="Arial"/>
                <w:sz w:val="20"/>
                <w:szCs w:val="20"/>
              </w:rPr>
            </w:pPr>
            <w:r w:rsidRPr="00782EC5">
              <w:rPr>
                <w:rFonts w:ascii="Arial" w:hAnsi="Arial" w:cs="Arial"/>
                <w:bCs/>
                <w:sz w:val="20"/>
                <w:szCs w:val="20"/>
              </w:rPr>
              <w:t>NCUTCD generally agrees with 2D.07 as presented in the NPA, but recommends revising “apparent complexity” to “reading time” for clarity, and revising table references (see comments on Table 2D-3).</w:t>
            </w:r>
          </w:p>
        </w:tc>
      </w:tr>
      <w:tr w:rsidR="008C4882" w:rsidRPr="00CE599A" w14:paraId="42DF72B4" w14:textId="77777777" w:rsidTr="00FF5FD1">
        <w:trPr>
          <w:cantSplit/>
        </w:trPr>
        <w:tc>
          <w:tcPr>
            <w:tcW w:w="1170" w:type="dxa"/>
          </w:tcPr>
          <w:p w14:paraId="4AC5E3C3" w14:textId="65709A1D" w:rsidR="008C4882" w:rsidRPr="00CE599A" w:rsidRDefault="008C4882" w:rsidP="008C4882">
            <w:pPr>
              <w:rPr>
                <w:rFonts w:ascii="Arial" w:hAnsi="Arial" w:cs="Arial"/>
                <w:sz w:val="20"/>
                <w:szCs w:val="20"/>
              </w:rPr>
            </w:pPr>
            <w:r w:rsidRPr="00CE599A">
              <w:rPr>
                <w:rFonts w:ascii="Arial" w:hAnsi="Arial" w:cs="Arial"/>
                <w:sz w:val="20"/>
                <w:szCs w:val="20"/>
              </w:rPr>
              <w:t>Figure 2D-</w:t>
            </w:r>
            <w:r>
              <w:rPr>
                <w:rFonts w:ascii="Arial" w:hAnsi="Arial" w:cs="Arial"/>
                <w:sz w:val="20"/>
                <w:szCs w:val="20"/>
              </w:rPr>
              <w:t>3</w:t>
            </w:r>
          </w:p>
        </w:tc>
        <w:tc>
          <w:tcPr>
            <w:tcW w:w="1167" w:type="dxa"/>
          </w:tcPr>
          <w:p w14:paraId="24BF8A48" w14:textId="6233F828" w:rsidR="008C4882" w:rsidRPr="00CE599A" w:rsidRDefault="008C4882" w:rsidP="008C4882">
            <w:pPr>
              <w:jc w:val="center"/>
              <w:rPr>
                <w:rFonts w:ascii="Arial" w:hAnsi="Arial" w:cs="Arial"/>
                <w:sz w:val="20"/>
                <w:szCs w:val="20"/>
              </w:rPr>
            </w:pPr>
            <w:r>
              <w:rPr>
                <w:rFonts w:ascii="Arial" w:hAnsi="Arial" w:cs="Arial"/>
                <w:sz w:val="20"/>
                <w:szCs w:val="20"/>
              </w:rPr>
              <w:t>YES</w:t>
            </w:r>
          </w:p>
        </w:tc>
        <w:tc>
          <w:tcPr>
            <w:tcW w:w="1183" w:type="dxa"/>
          </w:tcPr>
          <w:p w14:paraId="6328A8D9" w14:textId="7EC40E30" w:rsidR="008C4882" w:rsidRPr="00CE599A" w:rsidRDefault="008C4882" w:rsidP="008C4882">
            <w:pPr>
              <w:jc w:val="center"/>
              <w:rPr>
                <w:rFonts w:ascii="Arial" w:hAnsi="Arial" w:cs="Arial"/>
                <w:sz w:val="20"/>
                <w:szCs w:val="20"/>
              </w:rPr>
            </w:pPr>
            <w:r>
              <w:rPr>
                <w:rFonts w:ascii="Arial" w:hAnsi="Arial" w:cs="Arial"/>
                <w:sz w:val="20"/>
                <w:szCs w:val="20"/>
              </w:rPr>
              <w:t>N/A</w:t>
            </w:r>
          </w:p>
        </w:tc>
        <w:tc>
          <w:tcPr>
            <w:tcW w:w="1017" w:type="dxa"/>
          </w:tcPr>
          <w:p w14:paraId="29E26B9E" w14:textId="42614AB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E475D9E" w14:textId="2FE06F00" w:rsidR="008C4882" w:rsidRPr="00CE599A" w:rsidRDefault="008C4882" w:rsidP="008C4882">
            <w:pPr>
              <w:rPr>
                <w:rFonts w:ascii="Arial" w:hAnsi="Arial" w:cs="Arial"/>
                <w:sz w:val="20"/>
                <w:szCs w:val="20"/>
              </w:rPr>
            </w:pPr>
            <w:r w:rsidRPr="00CE599A">
              <w:rPr>
                <w:rFonts w:ascii="Arial" w:hAnsi="Arial" w:cs="Arial"/>
                <w:sz w:val="20"/>
                <w:szCs w:val="20"/>
              </w:rPr>
              <w:t>NCUTCD generally agrees with Figure 2D-</w:t>
            </w:r>
            <w:r>
              <w:rPr>
                <w:rFonts w:ascii="Arial" w:hAnsi="Arial" w:cs="Arial"/>
                <w:sz w:val="20"/>
                <w:szCs w:val="20"/>
              </w:rPr>
              <w:t>3</w:t>
            </w:r>
            <w:r w:rsidRPr="00CE599A">
              <w:rPr>
                <w:rFonts w:ascii="Arial" w:hAnsi="Arial" w:cs="Arial"/>
                <w:sz w:val="20"/>
                <w:szCs w:val="20"/>
              </w:rPr>
              <w:t xml:space="preserve"> as presented in the NPA, but notes the figure title is different in the NPA text as compared to the NPA figures. NCUTCD recommends selecting one of these titles as the final figure title.</w:t>
            </w:r>
          </w:p>
        </w:tc>
      </w:tr>
      <w:tr w:rsidR="008C4882" w:rsidRPr="00CE599A" w14:paraId="046185AC" w14:textId="77777777" w:rsidTr="00FF5FD1">
        <w:trPr>
          <w:cantSplit/>
        </w:trPr>
        <w:tc>
          <w:tcPr>
            <w:tcW w:w="1170" w:type="dxa"/>
          </w:tcPr>
          <w:p w14:paraId="0AAD8F9B" w14:textId="6F1414D4" w:rsidR="008C4882" w:rsidRPr="00CE599A" w:rsidRDefault="008C4882" w:rsidP="008C4882">
            <w:pPr>
              <w:rPr>
                <w:rFonts w:ascii="Arial" w:hAnsi="Arial" w:cs="Arial"/>
                <w:sz w:val="20"/>
                <w:szCs w:val="20"/>
              </w:rPr>
            </w:pPr>
            <w:r w:rsidRPr="00CE599A">
              <w:rPr>
                <w:rFonts w:ascii="Arial" w:hAnsi="Arial" w:cs="Arial"/>
                <w:sz w:val="20"/>
                <w:szCs w:val="20"/>
              </w:rPr>
              <w:t>Table 2D-3</w:t>
            </w:r>
          </w:p>
        </w:tc>
        <w:tc>
          <w:tcPr>
            <w:tcW w:w="1167" w:type="dxa"/>
          </w:tcPr>
          <w:p w14:paraId="3F6AEBB9" w14:textId="103F57E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3E1FDD0" w14:textId="5DC1115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0FD2D3BB" w14:textId="7B8008D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6116522" w14:textId="2D359B4B" w:rsidR="008C4882" w:rsidRPr="00CE599A" w:rsidRDefault="004B5FCB" w:rsidP="008C4882">
            <w:pPr>
              <w:rPr>
                <w:rFonts w:ascii="Arial" w:hAnsi="Arial" w:cs="Arial"/>
                <w:sz w:val="20"/>
                <w:szCs w:val="20"/>
              </w:rPr>
            </w:pPr>
            <w:r w:rsidRPr="004B5FCB">
              <w:rPr>
                <w:rFonts w:ascii="Arial" w:hAnsi="Arial" w:cs="Arial"/>
                <w:sz w:val="20"/>
                <w:szCs w:val="20"/>
              </w:rPr>
              <w:t>NCUTCD recommends deleting Table 2D-3, combining its content with Table 1D-1, and changing all references to Table 1D-1. As part of this consolidation, NCUTCD recommends adding “Cr” to Table 1D-1 for Crossing.</w:t>
            </w:r>
          </w:p>
        </w:tc>
      </w:tr>
      <w:tr w:rsidR="008C4882" w:rsidRPr="00CE599A" w14:paraId="2A77A7BF" w14:textId="77777777" w:rsidTr="00FF5FD1">
        <w:trPr>
          <w:cantSplit/>
        </w:trPr>
        <w:tc>
          <w:tcPr>
            <w:tcW w:w="1170" w:type="dxa"/>
          </w:tcPr>
          <w:p w14:paraId="5EC894FD" w14:textId="3A902866" w:rsidR="008C4882" w:rsidRPr="00CE599A" w:rsidRDefault="008C4882" w:rsidP="008C4882">
            <w:pPr>
              <w:rPr>
                <w:rFonts w:ascii="Arial" w:hAnsi="Arial" w:cs="Arial"/>
                <w:sz w:val="20"/>
                <w:szCs w:val="20"/>
              </w:rPr>
            </w:pPr>
            <w:r w:rsidRPr="00CE599A">
              <w:rPr>
                <w:rFonts w:ascii="Arial" w:hAnsi="Arial" w:cs="Arial"/>
                <w:sz w:val="20"/>
                <w:szCs w:val="20"/>
              </w:rPr>
              <w:t>Table 2D-4</w:t>
            </w:r>
          </w:p>
        </w:tc>
        <w:tc>
          <w:tcPr>
            <w:tcW w:w="1167" w:type="dxa"/>
          </w:tcPr>
          <w:p w14:paraId="50088BDF" w14:textId="1A0B6D3D"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72EABB4E" w14:textId="681EEFF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3220A29D" w14:textId="5DD8A73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90B1D81" w14:textId="05EFA247" w:rsidR="008C4882" w:rsidRPr="00CE599A" w:rsidRDefault="002822C9" w:rsidP="008C4882">
            <w:pPr>
              <w:rPr>
                <w:rFonts w:ascii="Arial" w:hAnsi="Arial" w:cs="Arial"/>
                <w:sz w:val="20"/>
                <w:szCs w:val="20"/>
              </w:rPr>
            </w:pPr>
            <w:r w:rsidRPr="002822C9">
              <w:rPr>
                <w:rFonts w:ascii="Arial" w:hAnsi="Arial" w:cs="Arial"/>
                <w:sz w:val="20"/>
                <w:szCs w:val="20"/>
              </w:rPr>
              <w:t>NCUTCD recommends deleting Table 2D-4, combining its content with Table 1D-3, and changing all references to Table 1D-3.</w:t>
            </w:r>
          </w:p>
        </w:tc>
      </w:tr>
      <w:tr w:rsidR="008C4882" w:rsidRPr="00CE599A" w14:paraId="3C315D2D" w14:textId="77777777" w:rsidTr="00FF5FD1">
        <w:trPr>
          <w:cantSplit/>
        </w:trPr>
        <w:tc>
          <w:tcPr>
            <w:tcW w:w="1170" w:type="dxa"/>
          </w:tcPr>
          <w:p w14:paraId="3C2300F2" w14:textId="40D2D51D" w:rsidR="008C4882" w:rsidRPr="00CE599A" w:rsidRDefault="008C4882" w:rsidP="008C4882">
            <w:pPr>
              <w:rPr>
                <w:rFonts w:ascii="Arial" w:hAnsi="Arial" w:cs="Arial"/>
                <w:sz w:val="20"/>
                <w:szCs w:val="20"/>
              </w:rPr>
            </w:pPr>
            <w:r w:rsidRPr="00CE599A">
              <w:rPr>
                <w:rFonts w:ascii="Arial" w:hAnsi="Arial" w:cs="Arial"/>
                <w:sz w:val="20"/>
                <w:szCs w:val="20"/>
              </w:rPr>
              <w:t>2D.08</w:t>
            </w:r>
          </w:p>
        </w:tc>
        <w:tc>
          <w:tcPr>
            <w:tcW w:w="1167" w:type="dxa"/>
          </w:tcPr>
          <w:p w14:paraId="25E826AC" w14:textId="0F62DDCE"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56205765" w14:textId="64A3D1C7"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31C59F66" w14:textId="37B274B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580E081" w14:textId="4CFE59F9" w:rsidR="008C4882" w:rsidRPr="00CE599A" w:rsidRDefault="002822C9" w:rsidP="008C4882">
            <w:pPr>
              <w:rPr>
                <w:rFonts w:ascii="Arial" w:hAnsi="Arial" w:cs="Arial"/>
                <w:sz w:val="20"/>
                <w:szCs w:val="20"/>
              </w:rPr>
            </w:pPr>
            <w:r w:rsidRPr="002822C9">
              <w:rPr>
                <w:rFonts w:ascii="Arial" w:hAnsi="Arial" w:cs="Arial"/>
                <w:sz w:val="20"/>
                <w:szCs w:val="20"/>
              </w:rPr>
              <w:t>NCUTCD generally agrees with 2D.08 as presented in the NPA, but recommends the term “circular intersection” be changed to “roundabout” to clarify the appropriate use of the Type E arrow.</w:t>
            </w:r>
          </w:p>
        </w:tc>
      </w:tr>
      <w:tr w:rsidR="008C4882" w:rsidRPr="00CE599A" w14:paraId="5F74B5A1" w14:textId="77777777" w:rsidTr="00FF5FD1">
        <w:trPr>
          <w:cantSplit/>
        </w:trPr>
        <w:tc>
          <w:tcPr>
            <w:tcW w:w="1170" w:type="dxa"/>
          </w:tcPr>
          <w:p w14:paraId="11B6E753" w14:textId="166FD514" w:rsidR="008C4882" w:rsidRPr="00CE599A" w:rsidRDefault="008C4882" w:rsidP="008C4882">
            <w:pPr>
              <w:rPr>
                <w:rFonts w:ascii="Arial" w:hAnsi="Arial" w:cs="Arial"/>
                <w:sz w:val="20"/>
                <w:szCs w:val="20"/>
              </w:rPr>
            </w:pPr>
            <w:r w:rsidRPr="00CE599A">
              <w:rPr>
                <w:rFonts w:ascii="Arial" w:hAnsi="Arial" w:cs="Arial"/>
                <w:sz w:val="20"/>
                <w:szCs w:val="20"/>
              </w:rPr>
              <w:t>Figure 2D-4</w:t>
            </w:r>
          </w:p>
        </w:tc>
        <w:tc>
          <w:tcPr>
            <w:tcW w:w="1167" w:type="dxa"/>
          </w:tcPr>
          <w:p w14:paraId="30D50A0F" w14:textId="18596009"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77EFB00C" w14:textId="3ECA908D"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141AAF4" w14:textId="4A609DD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F483061" w14:textId="05D18B9D" w:rsidR="008C4882" w:rsidRPr="00CE599A" w:rsidRDefault="00037DC3" w:rsidP="008C4882">
            <w:pPr>
              <w:rPr>
                <w:rFonts w:ascii="Arial" w:hAnsi="Arial" w:cs="Arial"/>
                <w:sz w:val="20"/>
                <w:szCs w:val="20"/>
              </w:rPr>
            </w:pPr>
            <w:r w:rsidRPr="00037DC3">
              <w:rPr>
                <w:rFonts w:ascii="Arial" w:hAnsi="Arial" w:cs="Arial"/>
                <w:sz w:val="20"/>
                <w:szCs w:val="20"/>
              </w:rPr>
              <w:t>NCUTCD generally agrees with Figure 2D-4 as presented in the NPA, but recommends revising the note to refer to the “Standard Highway Signs publication”.</w:t>
            </w:r>
          </w:p>
        </w:tc>
      </w:tr>
      <w:tr w:rsidR="008C4882" w:rsidRPr="00CE599A" w14:paraId="2318DE2E" w14:textId="77777777" w:rsidTr="00FF5FD1">
        <w:trPr>
          <w:cantSplit/>
        </w:trPr>
        <w:tc>
          <w:tcPr>
            <w:tcW w:w="1170" w:type="dxa"/>
          </w:tcPr>
          <w:p w14:paraId="430FCAB0" w14:textId="63540BE9" w:rsidR="008C4882" w:rsidRPr="00CE599A" w:rsidRDefault="008C4882" w:rsidP="008C4882">
            <w:pPr>
              <w:rPr>
                <w:rFonts w:ascii="Arial" w:hAnsi="Arial" w:cs="Arial"/>
                <w:sz w:val="20"/>
                <w:szCs w:val="20"/>
              </w:rPr>
            </w:pPr>
            <w:r w:rsidRPr="00CE599A">
              <w:rPr>
                <w:rFonts w:ascii="Arial" w:hAnsi="Arial" w:cs="Arial"/>
                <w:sz w:val="20"/>
                <w:szCs w:val="20"/>
              </w:rPr>
              <w:t>2D.09</w:t>
            </w:r>
          </w:p>
        </w:tc>
        <w:tc>
          <w:tcPr>
            <w:tcW w:w="1167" w:type="dxa"/>
          </w:tcPr>
          <w:p w14:paraId="4FDF96E8" w14:textId="795DF6D3"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FAD1B5F" w14:textId="4AE26A6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EFFE43A" w14:textId="3B979D48"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9E3614E" w14:textId="5B0CB634" w:rsidR="008C4882" w:rsidRPr="00CE599A" w:rsidRDefault="008C4882" w:rsidP="008C4882">
            <w:pPr>
              <w:rPr>
                <w:rFonts w:ascii="Arial" w:hAnsi="Arial" w:cs="Arial"/>
                <w:sz w:val="20"/>
                <w:szCs w:val="20"/>
              </w:rPr>
            </w:pPr>
            <w:r w:rsidRPr="00CE599A">
              <w:rPr>
                <w:rFonts w:ascii="Arial" w:hAnsi="Arial" w:cs="Arial"/>
                <w:sz w:val="20"/>
                <w:szCs w:val="20"/>
              </w:rPr>
              <w:t>NCUTCD agrees with 2D.09 as presented in the NPA.</w:t>
            </w:r>
          </w:p>
        </w:tc>
      </w:tr>
      <w:tr w:rsidR="008C4882" w:rsidRPr="00CE599A" w14:paraId="3257423B" w14:textId="77777777" w:rsidTr="00FF5FD1">
        <w:trPr>
          <w:cantSplit/>
        </w:trPr>
        <w:tc>
          <w:tcPr>
            <w:tcW w:w="1170" w:type="dxa"/>
          </w:tcPr>
          <w:p w14:paraId="2C768BA0" w14:textId="18AD1E68" w:rsidR="008C4882" w:rsidRPr="00CE599A" w:rsidRDefault="008C4882" w:rsidP="008C4882">
            <w:pPr>
              <w:rPr>
                <w:rFonts w:ascii="Arial" w:hAnsi="Arial" w:cs="Arial"/>
                <w:sz w:val="20"/>
                <w:szCs w:val="20"/>
              </w:rPr>
            </w:pPr>
            <w:r w:rsidRPr="00CE599A">
              <w:rPr>
                <w:rFonts w:ascii="Arial" w:hAnsi="Arial" w:cs="Arial"/>
                <w:sz w:val="20"/>
                <w:szCs w:val="20"/>
              </w:rPr>
              <w:t>2D.10</w:t>
            </w:r>
          </w:p>
        </w:tc>
        <w:tc>
          <w:tcPr>
            <w:tcW w:w="1167" w:type="dxa"/>
          </w:tcPr>
          <w:p w14:paraId="5AD74999" w14:textId="310C0199"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02F4F92" w14:textId="34A60B9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20C577B" w14:textId="61189FB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E84A914" w14:textId="1CC228B6" w:rsidR="008C4882" w:rsidRPr="00CE599A" w:rsidRDefault="008C4882" w:rsidP="008C4882">
            <w:pPr>
              <w:rPr>
                <w:rFonts w:ascii="Arial" w:hAnsi="Arial" w:cs="Arial"/>
                <w:sz w:val="20"/>
                <w:szCs w:val="20"/>
              </w:rPr>
            </w:pPr>
            <w:r w:rsidRPr="00CE599A">
              <w:rPr>
                <w:rFonts w:ascii="Arial" w:hAnsi="Arial" w:cs="Arial"/>
                <w:sz w:val="20"/>
                <w:szCs w:val="20"/>
              </w:rPr>
              <w:t>NCUTCD agrees with 2D.10 as presented in the NPA.</w:t>
            </w:r>
          </w:p>
        </w:tc>
      </w:tr>
      <w:tr w:rsidR="008C4882" w:rsidRPr="00CE599A" w14:paraId="154007A9" w14:textId="77777777" w:rsidTr="00841830">
        <w:trPr>
          <w:cantSplit/>
          <w:trHeight w:val="719"/>
        </w:trPr>
        <w:tc>
          <w:tcPr>
            <w:tcW w:w="1170" w:type="dxa"/>
          </w:tcPr>
          <w:p w14:paraId="568B56D0" w14:textId="1ED0D56E" w:rsidR="008C4882" w:rsidRPr="00CE599A" w:rsidRDefault="008C4882" w:rsidP="008C4882">
            <w:pPr>
              <w:rPr>
                <w:rFonts w:ascii="Arial" w:hAnsi="Arial" w:cs="Arial"/>
                <w:sz w:val="20"/>
                <w:szCs w:val="20"/>
              </w:rPr>
            </w:pPr>
            <w:r w:rsidRPr="00CE599A">
              <w:rPr>
                <w:rFonts w:ascii="Arial" w:hAnsi="Arial" w:cs="Arial"/>
                <w:sz w:val="20"/>
                <w:szCs w:val="20"/>
              </w:rPr>
              <w:lastRenderedPageBreak/>
              <w:t>2D.11</w:t>
            </w:r>
          </w:p>
        </w:tc>
        <w:tc>
          <w:tcPr>
            <w:tcW w:w="1167" w:type="dxa"/>
          </w:tcPr>
          <w:p w14:paraId="3A8E5AEE" w14:textId="611C45BE"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2432F7C" w14:textId="65D705BF"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6816569" w14:textId="394410C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D1C6449" w14:textId="5F8FF109" w:rsidR="008C4882" w:rsidRPr="00CE599A" w:rsidRDefault="007B00D6" w:rsidP="008C4882">
            <w:pPr>
              <w:rPr>
                <w:rFonts w:ascii="Arial" w:hAnsi="Arial" w:cs="Arial"/>
                <w:sz w:val="20"/>
                <w:szCs w:val="20"/>
              </w:rPr>
            </w:pPr>
            <w:r w:rsidRPr="007B00D6">
              <w:rPr>
                <w:rFonts w:ascii="Arial" w:hAnsi="Arial" w:cs="Arial"/>
                <w:sz w:val="20"/>
                <w:szCs w:val="20"/>
              </w:rPr>
              <w:t xml:space="preserve">NCUTCD generally agrees with 2D.11 as presented in the NPA, but recommends adding two instances of “Except as otherwise provided in this Manual” to minimum sign size Standard text, since there are a number of route signs (such as for county highways and bicycle routes) that use sizes smaller than 24”.  </w:t>
            </w:r>
          </w:p>
        </w:tc>
      </w:tr>
      <w:tr w:rsidR="008C4882" w:rsidRPr="00CE599A" w14:paraId="3F70967B" w14:textId="77777777" w:rsidTr="00FF5FD1">
        <w:trPr>
          <w:cantSplit/>
        </w:trPr>
        <w:tc>
          <w:tcPr>
            <w:tcW w:w="1170" w:type="dxa"/>
          </w:tcPr>
          <w:p w14:paraId="1209A90C" w14:textId="4A562009" w:rsidR="008C4882" w:rsidRPr="00CE599A" w:rsidRDefault="008C4882" w:rsidP="008C4882">
            <w:pPr>
              <w:rPr>
                <w:rFonts w:ascii="Arial" w:hAnsi="Arial" w:cs="Arial"/>
                <w:sz w:val="20"/>
                <w:szCs w:val="20"/>
              </w:rPr>
            </w:pPr>
            <w:r w:rsidRPr="00CE599A">
              <w:rPr>
                <w:rFonts w:ascii="Arial" w:hAnsi="Arial" w:cs="Arial"/>
                <w:sz w:val="20"/>
                <w:szCs w:val="20"/>
              </w:rPr>
              <w:t>2D.12</w:t>
            </w:r>
          </w:p>
        </w:tc>
        <w:tc>
          <w:tcPr>
            <w:tcW w:w="1167" w:type="dxa"/>
          </w:tcPr>
          <w:p w14:paraId="17A6FC37" w14:textId="352F59A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7C268F10" w14:textId="1F5BA75F"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E4B44C8" w14:textId="56E75FD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89AA31E" w14:textId="1C1B9A7C" w:rsidR="008C4882" w:rsidRPr="00CE599A" w:rsidRDefault="007B00D6" w:rsidP="008C4882">
            <w:pPr>
              <w:rPr>
                <w:rFonts w:ascii="Arial" w:hAnsi="Arial" w:cs="Arial"/>
                <w:sz w:val="20"/>
                <w:szCs w:val="20"/>
              </w:rPr>
            </w:pPr>
            <w:r w:rsidRPr="007B00D6">
              <w:rPr>
                <w:rFonts w:ascii="Arial" w:hAnsi="Arial" w:cs="Arial"/>
                <w:sz w:val="20"/>
                <w:szCs w:val="20"/>
              </w:rPr>
              <w:t>NCUTCD generally agrees with 2D.12 as presented in the NPA, with minor editorial revisions.</w:t>
            </w:r>
          </w:p>
        </w:tc>
      </w:tr>
      <w:tr w:rsidR="008C4882" w:rsidRPr="00CE599A" w14:paraId="7B124774" w14:textId="77777777" w:rsidTr="00FF5FD1">
        <w:trPr>
          <w:cantSplit/>
        </w:trPr>
        <w:tc>
          <w:tcPr>
            <w:tcW w:w="1170" w:type="dxa"/>
          </w:tcPr>
          <w:p w14:paraId="3B9723A2" w14:textId="33963642" w:rsidR="008C4882" w:rsidRPr="00CE599A" w:rsidRDefault="008C4882" w:rsidP="008C4882">
            <w:pPr>
              <w:rPr>
                <w:rFonts w:ascii="Arial" w:hAnsi="Arial" w:cs="Arial"/>
                <w:sz w:val="20"/>
                <w:szCs w:val="20"/>
              </w:rPr>
            </w:pPr>
            <w:r w:rsidRPr="00CE599A">
              <w:rPr>
                <w:rFonts w:ascii="Arial" w:hAnsi="Arial" w:cs="Arial"/>
                <w:sz w:val="20"/>
                <w:szCs w:val="20"/>
              </w:rPr>
              <w:t>2D.13</w:t>
            </w:r>
          </w:p>
        </w:tc>
        <w:tc>
          <w:tcPr>
            <w:tcW w:w="1167" w:type="dxa"/>
          </w:tcPr>
          <w:p w14:paraId="303ECFD3" w14:textId="198B2C9A"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74B7A08D" w14:textId="3D489F06"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3972554" w14:textId="28C5EF7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87FD4C5" w14:textId="4EE93612" w:rsidR="008C4882" w:rsidRPr="00CE599A" w:rsidRDefault="007B00D6" w:rsidP="008C4882">
            <w:pPr>
              <w:rPr>
                <w:rFonts w:ascii="Arial" w:hAnsi="Arial" w:cs="Arial"/>
                <w:sz w:val="20"/>
                <w:szCs w:val="20"/>
              </w:rPr>
            </w:pPr>
            <w:r w:rsidRPr="007B00D6">
              <w:rPr>
                <w:rFonts w:ascii="Arial" w:hAnsi="Arial" w:cs="Arial"/>
                <w:sz w:val="20"/>
                <w:szCs w:val="20"/>
              </w:rPr>
              <w:t>NCUTCD agrees with 2D.1</w:t>
            </w:r>
            <w:r>
              <w:rPr>
                <w:rFonts w:ascii="Arial" w:hAnsi="Arial" w:cs="Arial"/>
                <w:sz w:val="20"/>
                <w:szCs w:val="20"/>
              </w:rPr>
              <w:t>3</w:t>
            </w:r>
            <w:r w:rsidRPr="007B00D6">
              <w:rPr>
                <w:rFonts w:ascii="Arial" w:hAnsi="Arial" w:cs="Arial"/>
                <w:sz w:val="20"/>
                <w:szCs w:val="20"/>
              </w:rPr>
              <w:t xml:space="preserve"> as presented in the NPA.</w:t>
            </w:r>
          </w:p>
        </w:tc>
      </w:tr>
      <w:tr w:rsidR="008C4882" w:rsidRPr="00CE599A" w14:paraId="1059451D" w14:textId="77777777" w:rsidTr="00FF5FD1">
        <w:trPr>
          <w:cantSplit/>
        </w:trPr>
        <w:tc>
          <w:tcPr>
            <w:tcW w:w="1170" w:type="dxa"/>
          </w:tcPr>
          <w:p w14:paraId="2B00C76C" w14:textId="02925B32" w:rsidR="008C4882" w:rsidRPr="00CE599A" w:rsidRDefault="008C4882" w:rsidP="008C4882">
            <w:pPr>
              <w:rPr>
                <w:rFonts w:ascii="Arial" w:hAnsi="Arial" w:cs="Arial"/>
                <w:sz w:val="20"/>
                <w:szCs w:val="20"/>
              </w:rPr>
            </w:pPr>
            <w:r w:rsidRPr="00CE599A">
              <w:rPr>
                <w:rFonts w:ascii="Arial" w:hAnsi="Arial" w:cs="Arial"/>
                <w:sz w:val="20"/>
                <w:szCs w:val="20"/>
              </w:rPr>
              <w:t>Figure 2D-6</w:t>
            </w:r>
          </w:p>
        </w:tc>
        <w:tc>
          <w:tcPr>
            <w:tcW w:w="1167" w:type="dxa"/>
          </w:tcPr>
          <w:p w14:paraId="57EF4157" w14:textId="0988C03F"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10AA8EE9" w14:textId="1CE6F3B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7A392E1F" w14:textId="101DDEB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EAB6547" w14:textId="427A72A5" w:rsidR="008C4882" w:rsidRPr="00CE599A" w:rsidRDefault="00523D43" w:rsidP="008C4882">
            <w:pPr>
              <w:rPr>
                <w:rFonts w:ascii="Arial" w:hAnsi="Arial" w:cs="Arial"/>
                <w:sz w:val="20"/>
                <w:szCs w:val="20"/>
              </w:rPr>
            </w:pPr>
            <w:r w:rsidRPr="00523D43">
              <w:rPr>
                <w:rFonts w:ascii="Arial" w:hAnsi="Arial" w:cs="Arial"/>
                <w:sz w:val="20"/>
                <w:szCs w:val="20"/>
              </w:rPr>
              <w:t>NCUTCD generally agrees with Figure 2D-6 as presented in the NPA, but recommends revising the title from “Route Sign Auxiliaries” to “Route Sign Auxiliary Plaques”.</w:t>
            </w:r>
          </w:p>
        </w:tc>
      </w:tr>
      <w:tr w:rsidR="008C4882" w:rsidRPr="00CE599A" w14:paraId="756E109A" w14:textId="77777777" w:rsidTr="00FF5FD1">
        <w:trPr>
          <w:cantSplit/>
        </w:trPr>
        <w:tc>
          <w:tcPr>
            <w:tcW w:w="1170" w:type="dxa"/>
          </w:tcPr>
          <w:p w14:paraId="515702D7" w14:textId="2BAAD6C6" w:rsidR="008C4882" w:rsidRPr="00CE599A" w:rsidRDefault="008C4882" w:rsidP="008C4882">
            <w:pPr>
              <w:rPr>
                <w:rFonts w:ascii="Arial" w:hAnsi="Arial" w:cs="Arial"/>
                <w:sz w:val="20"/>
                <w:szCs w:val="20"/>
              </w:rPr>
            </w:pPr>
            <w:r w:rsidRPr="00CE599A">
              <w:rPr>
                <w:rFonts w:ascii="Arial" w:hAnsi="Arial" w:cs="Arial"/>
                <w:sz w:val="20"/>
                <w:szCs w:val="20"/>
              </w:rPr>
              <w:t>2D.14</w:t>
            </w:r>
          </w:p>
        </w:tc>
        <w:tc>
          <w:tcPr>
            <w:tcW w:w="1167" w:type="dxa"/>
          </w:tcPr>
          <w:p w14:paraId="1214C7C0" w14:textId="56D6839B"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23FDBD4" w14:textId="7E83C82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26E12E02" w14:textId="20A2106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7AEBBF9" w14:textId="2B24875C" w:rsidR="008C4882" w:rsidRPr="00CE599A" w:rsidRDefault="008C4882" w:rsidP="008C4882">
            <w:pPr>
              <w:rPr>
                <w:rFonts w:ascii="Arial" w:hAnsi="Arial" w:cs="Arial"/>
                <w:sz w:val="20"/>
                <w:szCs w:val="20"/>
              </w:rPr>
            </w:pPr>
            <w:r w:rsidRPr="00CE599A">
              <w:rPr>
                <w:rFonts w:ascii="Arial" w:hAnsi="Arial" w:cs="Arial"/>
                <w:sz w:val="20"/>
                <w:szCs w:val="20"/>
              </w:rPr>
              <w:t>NCUTCD agrees with 2D.14 as presented in the NPA.</w:t>
            </w:r>
          </w:p>
        </w:tc>
      </w:tr>
      <w:tr w:rsidR="008C4882" w:rsidRPr="00CE599A" w14:paraId="54DA1F7B" w14:textId="77777777" w:rsidTr="00FF5FD1">
        <w:trPr>
          <w:cantSplit/>
        </w:trPr>
        <w:tc>
          <w:tcPr>
            <w:tcW w:w="1170" w:type="dxa"/>
          </w:tcPr>
          <w:p w14:paraId="1477DD7E" w14:textId="7182BC33" w:rsidR="008C4882" w:rsidRPr="00CE599A" w:rsidRDefault="008C4882" w:rsidP="008C4882">
            <w:pPr>
              <w:rPr>
                <w:rFonts w:ascii="Arial" w:hAnsi="Arial" w:cs="Arial"/>
                <w:sz w:val="20"/>
                <w:szCs w:val="20"/>
              </w:rPr>
            </w:pPr>
            <w:r w:rsidRPr="00CE599A">
              <w:rPr>
                <w:rFonts w:ascii="Arial" w:hAnsi="Arial" w:cs="Arial"/>
                <w:sz w:val="20"/>
                <w:szCs w:val="20"/>
              </w:rPr>
              <w:t>2D.15</w:t>
            </w:r>
          </w:p>
        </w:tc>
        <w:tc>
          <w:tcPr>
            <w:tcW w:w="1167" w:type="dxa"/>
          </w:tcPr>
          <w:p w14:paraId="5578DF5F" w14:textId="3D99042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91E2CFC" w14:textId="32350D9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5B0817C" w14:textId="2DD58BF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F6445E4" w14:textId="38D3F24B" w:rsidR="008C4882" w:rsidRPr="00CE599A" w:rsidRDefault="008C4882" w:rsidP="008C4882">
            <w:pPr>
              <w:rPr>
                <w:rFonts w:ascii="Arial" w:hAnsi="Arial" w:cs="Arial"/>
                <w:sz w:val="20"/>
                <w:szCs w:val="20"/>
              </w:rPr>
            </w:pPr>
            <w:r w:rsidRPr="00CE599A">
              <w:rPr>
                <w:rFonts w:ascii="Arial" w:hAnsi="Arial" w:cs="Arial"/>
                <w:sz w:val="20"/>
                <w:szCs w:val="20"/>
              </w:rPr>
              <w:t>NCUTCD agrees with 2D.15 as presented in the NPA.</w:t>
            </w:r>
          </w:p>
        </w:tc>
      </w:tr>
      <w:tr w:rsidR="008C4882" w:rsidRPr="00CE599A" w14:paraId="7FB1D2EF" w14:textId="77777777" w:rsidTr="00FF5FD1">
        <w:trPr>
          <w:cantSplit/>
        </w:trPr>
        <w:tc>
          <w:tcPr>
            <w:tcW w:w="1170" w:type="dxa"/>
          </w:tcPr>
          <w:p w14:paraId="283529EC" w14:textId="0E90C7E9" w:rsidR="008C4882" w:rsidRPr="00CE599A" w:rsidRDefault="008C4882" w:rsidP="008C4882">
            <w:pPr>
              <w:rPr>
                <w:rFonts w:ascii="Arial" w:hAnsi="Arial" w:cs="Arial"/>
                <w:sz w:val="20"/>
                <w:szCs w:val="20"/>
              </w:rPr>
            </w:pPr>
            <w:r w:rsidRPr="00CE599A">
              <w:rPr>
                <w:rFonts w:ascii="Arial" w:hAnsi="Arial" w:cs="Arial"/>
                <w:sz w:val="20"/>
                <w:szCs w:val="20"/>
              </w:rPr>
              <w:t>2D.16</w:t>
            </w:r>
          </w:p>
        </w:tc>
        <w:tc>
          <w:tcPr>
            <w:tcW w:w="1167" w:type="dxa"/>
          </w:tcPr>
          <w:p w14:paraId="1A960A25" w14:textId="3D86DAC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090FE4E4" w14:textId="7920980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41CCC230" w14:textId="3D72F42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7429097" w14:textId="575AE817" w:rsidR="008C4882" w:rsidRPr="00CE599A" w:rsidRDefault="008C4882" w:rsidP="008C4882">
            <w:pPr>
              <w:rPr>
                <w:rFonts w:ascii="Arial" w:hAnsi="Arial" w:cs="Arial"/>
                <w:sz w:val="20"/>
                <w:szCs w:val="20"/>
              </w:rPr>
            </w:pPr>
            <w:r w:rsidRPr="00CE599A">
              <w:rPr>
                <w:rFonts w:ascii="Arial" w:hAnsi="Arial" w:cs="Arial"/>
                <w:sz w:val="20"/>
                <w:szCs w:val="20"/>
              </w:rPr>
              <w:t>NCUTCD agrees with 2D.16 as presented in the NPA.</w:t>
            </w:r>
          </w:p>
        </w:tc>
      </w:tr>
      <w:tr w:rsidR="008C4882" w:rsidRPr="00CE599A" w14:paraId="7013E74B" w14:textId="77777777" w:rsidTr="00FF5FD1">
        <w:trPr>
          <w:cantSplit/>
        </w:trPr>
        <w:tc>
          <w:tcPr>
            <w:tcW w:w="1170" w:type="dxa"/>
          </w:tcPr>
          <w:p w14:paraId="7EE02AF3" w14:textId="3714E3EF" w:rsidR="008C4882" w:rsidRPr="00CE599A" w:rsidRDefault="008C4882" w:rsidP="008C4882">
            <w:pPr>
              <w:rPr>
                <w:rFonts w:ascii="Arial" w:hAnsi="Arial" w:cs="Arial"/>
                <w:sz w:val="20"/>
                <w:szCs w:val="20"/>
              </w:rPr>
            </w:pPr>
            <w:r w:rsidRPr="00CE599A">
              <w:rPr>
                <w:rFonts w:ascii="Arial" w:hAnsi="Arial" w:cs="Arial"/>
                <w:sz w:val="20"/>
                <w:szCs w:val="20"/>
              </w:rPr>
              <w:t>2D.17</w:t>
            </w:r>
          </w:p>
        </w:tc>
        <w:tc>
          <w:tcPr>
            <w:tcW w:w="1167" w:type="dxa"/>
          </w:tcPr>
          <w:p w14:paraId="78DC958C" w14:textId="67677C1F"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1622401" w14:textId="283F860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D0C15D9" w14:textId="5C83CE8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3AF1DB9" w14:textId="3C49D139" w:rsidR="008C4882" w:rsidRPr="00CE599A" w:rsidRDefault="008C4882" w:rsidP="008C4882">
            <w:pPr>
              <w:rPr>
                <w:rFonts w:ascii="Arial" w:hAnsi="Arial" w:cs="Arial"/>
                <w:sz w:val="20"/>
                <w:szCs w:val="20"/>
              </w:rPr>
            </w:pPr>
            <w:r w:rsidRPr="00CE599A">
              <w:rPr>
                <w:rFonts w:ascii="Arial" w:hAnsi="Arial" w:cs="Arial"/>
                <w:sz w:val="20"/>
                <w:szCs w:val="20"/>
              </w:rPr>
              <w:t>NCUTCD agrees with 2D.17 as presented in the NPA.</w:t>
            </w:r>
          </w:p>
        </w:tc>
      </w:tr>
      <w:tr w:rsidR="008C4882" w:rsidRPr="00CE599A" w14:paraId="3EC0E4A8" w14:textId="77777777" w:rsidTr="00FF5FD1">
        <w:trPr>
          <w:cantSplit/>
        </w:trPr>
        <w:tc>
          <w:tcPr>
            <w:tcW w:w="1170" w:type="dxa"/>
          </w:tcPr>
          <w:p w14:paraId="325F1D32" w14:textId="757BE6F8" w:rsidR="008C4882" w:rsidRPr="00CE599A" w:rsidRDefault="008C4882" w:rsidP="008C4882">
            <w:pPr>
              <w:rPr>
                <w:rFonts w:ascii="Arial" w:hAnsi="Arial" w:cs="Arial"/>
                <w:sz w:val="20"/>
                <w:szCs w:val="20"/>
              </w:rPr>
            </w:pPr>
            <w:r w:rsidRPr="00CE599A">
              <w:rPr>
                <w:rFonts w:ascii="Arial" w:hAnsi="Arial" w:cs="Arial"/>
                <w:sz w:val="20"/>
                <w:szCs w:val="20"/>
              </w:rPr>
              <w:t>2D.18</w:t>
            </w:r>
          </w:p>
        </w:tc>
        <w:tc>
          <w:tcPr>
            <w:tcW w:w="1167" w:type="dxa"/>
          </w:tcPr>
          <w:p w14:paraId="05EFD132" w14:textId="23F2CE40"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C393052" w14:textId="6F5BECB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18FFACBB" w14:textId="54D7265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3924DD7" w14:textId="3F0AB449" w:rsidR="008C4882" w:rsidRPr="00CE599A" w:rsidRDefault="008C4882" w:rsidP="008C4882">
            <w:pPr>
              <w:rPr>
                <w:rFonts w:ascii="Arial" w:hAnsi="Arial" w:cs="Arial"/>
                <w:sz w:val="20"/>
                <w:szCs w:val="20"/>
              </w:rPr>
            </w:pPr>
            <w:r w:rsidRPr="00CE599A">
              <w:rPr>
                <w:rFonts w:ascii="Arial" w:hAnsi="Arial" w:cs="Arial"/>
                <w:sz w:val="20"/>
                <w:szCs w:val="20"/>
              </w:rPr>
              <w:t>NCUTCD agrees with 2D.18 as presented in the NPA.</w:t>
            </w:r>
          </w:p>
        </w:tc>
      </w:tr>
      <w:tr w:rsidR="008C4882" w:rsidRPr="00CE599A" w14:paraId="728A9CF4" w14:textId="77777777" w:rsidTr="00FF5FD1">
        <w:trPr>
          <w:cantSplit/>
        </w:trPr>
        <w:tc>
          <w:tcPr>
            <w:tcW w:w="1170" w:type="dxa"/>
          </w:tcPr>
          <w:p w14:paraId="59D33170" w14:textId="235CE4E6" w:rsidR="008C4882" w:rsidRPr="00CE599A" w:rsidRDefault="008C4882" w:rsidP="008C4882">
            <w:pPr>
              <w:rPr>
                <w:rFonts w:ascii="Arial" w:hAnsi="Arial" w:cs="Arial"/>
                <w:sz w:val="20"/>
                <w:szCs w:val="20"/>
              </w:rPr>
            </w:pPr>
            <w:r w:rsidRPr="00CE599A">
              <w:rPr>
                <w:rFonts w:ascii="Arial" w:hAnsi="Arial" w:cs="Arial"/>
                <w:sz w:val="20"/>
                <w:szCs w:val="20"/>
              </w:rPr>
              <w:t>2D.19</w:t>
            </w:r>
          </w:p>
        </w:tc>
        <w:tc>
          <w:tcPr>
            <w:tcW w:w="1167" w:type="dxa"/>
          </w:tcPr>
          <w:p w14:paraId="161C7539" w14:textId="76E983B1"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CC9D5E2" w14:textId="5709E8A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461F388F" w14:textId="3015CBD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6C9B0A6" w14:textId="727C090E" w:rsidR="008C4882" w:rsidRPr="00CE599A" w:rsidRDefault="008C4882" w:rsidP="008C4882">
            <w:pPr>
              <w:rPr>
                <w:rFonts w:ascii="Arial" w:hAnsi="Arial" w:cs="Arial"/>
                <w:sz w:val="20"/>
                <w:szCs w:val="20"/>
              </w:rPr>
            </w:pPr>
            <w:r w:rsidRPr="00CE599A">
              <w:rPr>
                <w:rFonts w:ascii="Arial" w:hAnsi="Arial" w:cs="Arial"/>
                <w:sz w:val="20"/>
                <w:szCs w:val="20"/>
              </w:rPr>
              <w:t>NCUTCD agrees with 2D.19 as presented in the NPA.</w:t>
            </w:r>
          </w:p>
        </w:tc>
      </w:tr>
      <w:tr w:rsidR="008C4882" w:rsidRPr="00CE599A" w14:paraId="408079C7" w14:textId="77777777" w:rsidTr="00FF5FD1">
        <w:trPr>
          <w:cantSplit/>
        </w:trPr>
        <w:tc>
          <w:tcPr>
            <w:tcW w:w="1170" w:type="dxa"/>
          </w:tcPr>
          <w:p w14:paraId="241AAE68" w14:textId="76404A89" w:rsidR="008C4882" w:rsidRPr="00CE599A" w:rsidRDefault="008C4882" w:rsidP="008C4882">
            <w:pPr>
              <w:rPr>
                <w:rFonts w:ascii="Arial" w:hAnsi="Arial" w:cs="Arial"/>
                <w:sz w:val="20"/>
                <w:szCs w:val="20"/>
              </w:rPr>
            </w:pPr>
            <w:r w:rsidRPr="00CE599A">
              <w:rPr>
                <w:rFonts w:ascii="Arial" w:hAnsi="Arial" w:cs="Arial"/>
                <w:sz w:val="20"/>
                <w:szCs w:val="20"/>
              </w:rPr>
              <w:t>2D.20</w:t>
            </w:r>
          </w:p>
        </w:tc>
        <w:tc>
          <w:tcPr>
            <w:tcW w:w="1167" w:type="dxa"/>
          </w:tcPr>
          <w:p w14:paraId="2EA198E2" w14:textId="794CD837"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0872EC6C" w14:textId="3B93266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BE4A84D" w14:textId="54ED6C7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E196D3C" w14:textId="2830C152" w:rsidR="008C4882" w:rsidRPr="00CE599A" w:rsidRDefault="008C4882" w:rsidP="008C4882">
            <w:pPr>
              <w:rPr>
                <w:rFonts w:ascii="Arial" w:hAnsi="Arial" w:cs="Arial"/>
                <w:sz w:val="20"/>
                <w:szCs w:val="20"/>
              </w:rPr>
            </w:pPr>
            <w:r w:rsidRPr="00CE599A">
              <w:rPr>
                <w:rFonts w:ascii="Arial" w:hAnsi="Arial" w:cs="Arial"/>
                <w:sz w:val="20"/>
                <w:szCs w:val="20"/>
              </w:rPr>
              <w:t>NCUTCD agrees with 2D.20 as presented in the NPA.</w:t>
            </w:r>
          </w:p>
        </w:tc>
      </w:tr>
      <w:tr w:rsidR="008C4882" w:rsidRPr="00CE599A" w14:paraId="06C3A2E3" w14:textId="77777777" w:rsidTr="00FF5FD1">
        <w:trPr>
          <w:cantSplit/>
        </w:trPr>
        <w:tc>
          <w:tcPr>
            <w:tcW w:w="1170" w:type="dxa"/>
          </w:tcPr>
          <w:p w14:paraId="535F04C5" w14:textId="4A19E2A2" w:rsidR="008C4882" w:rsidRPr="00CE599A" w:rsidRDefault="008C4882" w:rsidP="008C4882">
            <w:pPr>
              <w:rPr>
                <w:rFonts w:ascii="Arial" w:hAnsi="Arial" w:cs="Arial"/>
                <w:sz w:val="20"/>
                <w:szCs w:val="20"/>
              </w:rPr>
            </w:pPr>
            <w:r w:rsidRPr="00CE599A">
              <w:rPr>
                <w:rFonts w:ascii="Arial" w:hAnsi="Arial" w:cs="Arial"/>
                <w:sz w:val="20"/>
                <w:szCs w:val="20"/>
              </w:rPr>
              <w:t>2D.21</w:t>
            </w:r>
          </w:p>
        </w:tc>
        <w:tc>
          <w:tcPr>
            <w:tcW w:w="1167" w:type="dxa"/>
          </w:tcPr>
          <w:p w14:paraId="7F46DC9E" w14:textId="50758220"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C8A9E8B" w14:textId="7A2E8AC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4CF13228" w14:textId="3C065FA8"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C1E0571" w14:textId="0EF28D85" w:rsidR="008C4882" w:rsidRPr="00CE599A" w:rsidRDefault="008C4882" w:rsidP="008C4882">
            <w:pPr>
              <w:rPr>
                <w:rFonts w:ascii="Arial" w:hAnsi="Arial" w:cs="Arial"/>
                <w:sz w:val="20"/>
                <w:szCs w:val="20"/>
              </w:rPr>
            </w:pPr>
            <w:r w:rsidRPr="00CE599A">
              <w:rPr>
                <w:rFonts w:ascii="Arial" w:hAnsi="Arial" w:cs="Arial"/>
                <w:sz w:val="20"/>
                <w:szCs w:val="20"/>
              </w:rPr>
              <w:t>NCUTCD agrees with 2D.21 as presented in the NPA.</w:t>
            </w:r>
          </w:p>
        </w:tc>
      </w:tr>
      <w:tr w:rsidR="008C4882" w:rsidRPr="00CE599A" w14:paraId="6E405A20" w14:textId="77777777" w:rsidTr="00FF5FD1">
        <w:trPr>
          <w:cantSplit/>
        </w:trPr>
        <w:tc>
          <w:tcPr>
            <w:tcW w:w="1170" w:type="dxa"/>
          </w:tcPr>
          <w:p w14:paraId="17D421A9" w14:textId="30E2793C" w:rsidR="008C4882" w:rsidRPr="00CE599A" w:rsidRDefault="008C4882" w:rsidP="008C4882">
            <w:pPr>
              <w:rPr>
                <w:rFonts w:ascii="Arial" w:hAnsi="Arial" w:cs="Arial"/>
                <w:sz w:val="20"/>
                <w:szCs w:val="20"/>
              </w:rPr>
            </w:pPr>
            <w:r w:rsidRPr="00CE599A">
              <w:rPr>
                <w:rFonts w:ascii="Arial" w:hAnsi="Arial" w:cs="Arial"/>
                <w:sz w:val="20"/>
                <w:szCs w:val="20"/>
              </w:rPr>
              <w:t>2D.22</w:t>
            </w:r>
          </w:p>
        </w:tc>
        <w:tc>
          <w:tcPr>
            <w:tcW w:w="1167" w:type="dxa"/>
          </w:tcPr>
          <w:p w14:paraId="401C11F5" w14:textId="09EBD4D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0FE9BB60" w14:textId="2776CBE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14C5FD69" w14:textId="41DF68A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A976D14" w14:textId="31C7DEEA" w:rsidR="008C4882" w:rsidRPr="00CE599A" w:rsidRDefault="008C4882" w:rsidP="008C4882">
            <w:pPr>
              <w:rPr>
                <w:rFonts w:ascii="Arial" w:hAnsi="Arial" w:cs="Arial"/>
                <w:sz w:val="20"/>
                <w:szCs w:val="20"/>
              </w:rPr>
            </w:pPr>
            <w:r w:rsidRPr="00CE599A">
              <w:rPr>
                <w:rFonts w:ascii="Arial" w:hAnsi="Arial" w:cs="Arial"/>
                <w:sz w:val="20"/>
                <w:szCs w:val="20"/>
              </w:rPr>
              <w:t>NCUTCD agrees with 2D.22 as presented in the NPA.</w:t>
            </w:r>
          </w:p>
        </w:tc>
      </w:tr>
      <w:tr w:rsidR="008C4882" w:rsidRPr="00CE599A" w14:paraId="5696DFDC" w14:textId="77777777" w:rsidTr="00FF5FD1">
        <w:trPr>
          <w:cantSplit/>
        </w:trPr>
        <w:tc>
          <w:tcPr>
            <w:tcW w:w="1170" w:type="dxa"/>
          </w:tcPr>
          <w:p w14:paraId="7BA995AD" w14:textId="664C1150" w:rsidR="008C4882" w:rsidRPr="00CE599A" w:rsidRDefault="008C4882" w:rsidP="008C4882">
            <w:pPr>
              <w:rPr>
                <w:rFonts w:ascii="Arial" w:hAnsi="Arial" w:cs="Arial"/>
                <w:sz w:val="20"/>
                <w:szCs w:val="20"/>
              </w:rPr>
            </w:pPr>
            <w:r w:rsidRPr="00CE599A">
              <w:rPr>
                <w:rFonts w:ascii="Arial" w:hAnsi="Arial" w:cs="Arial"/>
                <w:sz w:val="20"/>
                <w:szCs w:val="20"/>
              </w:rPr>
              <w:t>2D.23</w:t>
            </w:r>
          </w:p>
        </w:tc>
        <w:tc>
          <w:tcPr>
            <w:tcW w:w="1167" w:type="dxa"/>
          </w:tcPr>
          <w:p w14:paraId="33DFFD44" w14:textId="66E58A2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3303F771" w14:textId="566BD64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A386672" w14:textId="6955AF2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0BEE654" w14:textId="7637AED0" w:rsidR="008C4882" w:rsidRPr="00CE599A" w:rsidRDefault="008C4882" w:rsidP="008C4882">
            <w:pPr>
              <w:rPr>
                <w:rFonts w:ascii="Arial" w:hAnsi="Arial" w:cs="Arial"/>
                <w:sz w:val="20"/>
                <w:szCs w:val="20"/>
              </w:rPr>
            </w:pPr>
            <w:r w:rsidRPr="00CE599A">
              <w:rPr>
                <w:rFonts w:ascii="Arial" w:hAnsi="Arial" w:cs="Arial"/>
                <w:sz w:val="20"/>
                <w:szCs w:val="20"/>
              </w:rPr>
              <w:t>NCUTCD agrees with 2D.23 as presented in the NPA.</w:t>
            </w:r>
          </w:p>
        </w:tc>
      </w:tr>
      <w:tr w:rsidR="008C4882" w:rsidRPr="00CE599A" w14:paraId="5DE17566" w14:textId="77777777" w:rsidTr="00FF5FD1">
        <w:trPr>
          <w:cantSplit/>
        </w:trPr>
        <w:tc>
          <w:tcPr>
            <w:tcW w:w="1170" w:type="dxa"/>
          </w:tcPr>
          <w:p w14:paraId="72066AF8" w14:textId="2F93DD53" w:rsidR="008C4882" w:rsidRPr="00CE599A" w:rsidRDefault="008C4882" w:rsidP="008C4882">
            <w:pPr>
              <w:rPr>
                <w:rFonts w:ascii="Arial" w:hAnsi="Arial" w:cs="Arial"/>
                <w:sz w:val="20"/>
                <w:szCs w:val="20"/>
              </w:rPr>
            </w:pPr>
            <w:r w:rsidRPr="00CE599A">
              <w:rPr>
                <w:rFonts w:ascii="Arial" w:hAnsi="Arial" w:cs="Arial"/>
                <w:sz w:val="20"/>
                <w:szCs w:val="20"/>
              </w:rPr>
              <w:t>2D.24</w:t>
            </w:r>
          </w:p>
        </w:tc>
        <w:tc>
          <w:tcPr>
            <w:tcW w:w="1167" w:type="dxa"/>
          </w:tcPr>
          <w:p w14:paraId="7B4296A3" w14:textId="4C2D9DE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499F6CE" w14:textId="0B15235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19E25F5" w14:textId="20431AF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B232224" w14:textId="7B826AF2" w:rsidR="008C4882" w:rsidRPr="00CE599A" w:rsidRDefault="008C4882" w:rsidP="008C4882">
            <w:pPr>
              <w:rPr>
                <w:rFonts w:ascii="Arial" w:hAnsi="Arial" w:cs="Arial"/>
                <w:sz w:val="20"/>
                <w:szCs w:val="20"/>
              </w:rPr>
            </w:pPr>
            <w:r w:rsidRPr="00CE599A">
              <w:rPr>
                <w:rFonts w:ascii="Arial" w:hAnsi="Arial" w:cs="Arial"/>
                <w:sz w:val="20"/>
                <w:szCs w:val="20"/>
              </w:rPr>
              <w:t>NCUTCD agrees with 2D.24 as presented in the NPA.</w:t>
            </w:r>
          </w:p>
        </w:tc>
      </w:tr>
      <w:tr w:rsidR="008C4882" w:rsidRPr="00CE599A" w14:paraId="7D97B276" w14:textId="77777777" w:rsidTr="00FF5FD1">
        <w:trPr>
          <w:cantSplit/>
        </w:trPr>
        <w:tc>
          <w:tcPr>
            <w:tcW w:w="1170" w:type="dxa"/>
          </w:tcPr>
          <w:p w14:paraId="34EFDD28" w14:textId="530CB10F" w:rsidR="008C4882" w:rsidRPr="00CE599A" w:rsidRDefault="008C4882" w:rsidP="008C4882">
            <w:pPr>
              <w:rPr>
                <w:rFonts w:ascii="Arial" w:hAnsi="Arial" w:cs="Arial"/>
                <w:sz w:val="20"/>
                <w:szCs w:val="20"/>
              </w:rPr>
            </w:pPr>
            <w:r w:rsidRPr="00CE599A">
              <w:rPr>
                <w:rFonts w:ascii="Arial" w:hAnsi="Arial" w:cs="Arial"/>
                <w:sz w:val="20"/>
                <w:szCs w:val="20"/>
              </w:rPr>
              <w:t>2D.25</w:t>
            </w:r>
          </w:p>
        </w:tc>
        <w:tc>
          <w:tcPr>
            <w:tcW w:w="1167" w:type="dxa"/>
          </w:tcPr>
          <w:p w14:paraId="71042244" w14:textId="32579B5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6A389A2" w14:textId="17A5046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AE3DA4E" w14:textId="72AF70D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23A9CA1" w14:textId="33B9BD55" w:rsidR="008C4882" w:rsidRPr="00CE599A" w:rsidRDefault="008C4882" w:rsidP="008C4882">
            <w:pPr>
              <w:rPr>
                <w:rFonts w:ascii="Arial" w:hAnsi="Arial" w:cs="Arial"/>
                <w:sz w:val="20"/>
                <w:szCs w:val="20"/>
              </w:rPr>
            </w:pPr>
            <w:r w:rsidRPr="00CE599A">
              <w:rPr>
                <w:rFonts w:ascii="Arial" w:hAnsi="Arial" w:cs="Arial"/>
                <w:sz w:val="20"/>
                <w:szCs w:val="20"/>
              </w:rPr>
              <w:t>NCUTCD agrees with 2D.25 as presented in the NPA.</w:t>
            </w:r>
          </w:p>
        </w:tc>
      </w:tr>
      <w:tr w:rsidR="008C4882" w:rsidRPr="00CE599A" w14:paraId="2EEBD581" w14:textId="77777777" w:rsidTr="00FF5FD1">
        <w:trPr>
          <w:cantSplit/>
        </w:trPr>
        <w:tc>
          <w:tcPr>
            <w:tcW w:w="1170" w:type="dxa"/>
          </w:tcPr>
          <w:p w14:paraId="088264DB" w14:textId="5F6C5B10" w:rsidR="008C4882" w:rsidRPr="00CE599A" w:rsidRDefault="008C4882" w:rsidP="008C4882">
            <w:pPr>
              <w:rPr>
                <w:rFonts w:ascii="Arial" w:hAnsi="Arial" w:cs="Arial"/>
                <w:sz w:val="20"/>
                <w:szCs w:val="20"/>
              </w:rPr>
            </w:pPr>
            <w:r w:rsidRPr="00CE599A">
              <w:rPr>
                <w:rFonts w:ascii="Arial" w:hAnsi="Arial" w:cs="Arial"/>
                <w:sz w:val="20"/>
                <w:szCs w:val="20"/>
              </w:rPr>
              <w:t>2D.26</w:t>
            </w:r>
          </w:p>
        </w:tc>
        <w:tc>
          <w:tcPr>
            <w:tcW w:w="1167" w:type="dxa"/>
          </w:tcPr>
          <w:p w14:paraId="0D63E480" w14:textId="17FE61C2"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4C41CC27" w14:textId="14F91B6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341E337" w14:textId="339C322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1B66FCC" w14:textId="74CD3211" w:rsidR="008C4882" w:rsidRPr="00CE599A" w:rsidRDefault="00523D43" w:rsidP="008C4882">
            <w:pPr>
              <w:rPr>
                <w:rFonts w:ascii="Arial" w:hAnsi="Arial" w:cs="Arial"/>
                <w:sz w:val="20"/>
                <w:szCs w:val="20"/>
              </w:rPr>
            </w:pPr>
            <w:r w:rsidRPr="00523D43">
              <w:rPr>
                <w:rFonts w:ascii="Arial" w:hAnsi="Arial" w:cs="Arial"/>
                <w:sz w:val="20"/>
                <w:szCs w:val="20"/>
              </w:rPr>
              <w:t>NCUTCD generally agrees with 2D.26 as presented in the NPA, but recommends the term “circular intersection” be changed to “roundabout” to clarify the appropriate use of the M5-3 plaque.</w:t>
            </w:r>
          </w:p>
        </w:tc>
      </w:tr>
      <w:tr w:rsidR="008C4882" w:rsidRPr="00CE599A" w14:paraId="286B5062" w14:textId="77777777" w:rsidTr="00FF5FD1">
        <w:trPr>
          <w:cantSplit/>
        </w:trPr>
        <w:tc>
          <w:tcPr>
            <w:tcW w:w="1170" w:type="dxa"/>
          </w:tcPr>
          <w:p w14:paraId="524421F8" w14:textId="09EE5315" w:rsidR="008C4882" w:rsidRPr="00CE599A" w:rsidRDefault="008C4882" w:rsidP="008C4882">
            <w:pPr>
              <w:rPr>
                <w:rFonts w:ascii="Arial" w:hAnsi="Arial" w:cs="Arial"/>
                <w:sz w:val="20"/>
                <w:szCs w:val="20"/>
              </w:rPr>
            </w:pPr>
            <w:r w:rsidRPr="00CE599A">
              <w:rPr>
                <w:rFonts w:ascii="Arial" w:hAnsi="Arial" w:cs="Arial"/>
                <w:sz w:val="20"/>
                <w:szCs w:val="20"/>
              </w:rPr>
              <w:t>Figure 2D-7</w:t>
            </w:r>
          </w:p>
        </w:tc>
        <w:tc>
          <w:tcPr>
            <w:tcW w:w="1167" w:type="dxa"/>
          </w:tcPr>
          <w:p w14:paraId="1AD808CE" w14:textId="7954931B"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6CD674EA" w14:textId="56E2B3B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A502A0B" w14:textId="3378A41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069DDB5" w14:textId="29F0AD99"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2D-7 as presented in the NPA.</w:t>
            </w:r>
          </w:p>
        </w:tc>
      </w:tr>
      <w:tr w:rsidR="008C4882" w:rsidRPr="00CE599A" w14:paraId="11B96874" w14:textId="77777777" w:rsidTr="00FF5FD1">
        <w:trPr>
          <w:cantSplit/>
        </w:trPr>
        <w:tc>
          <w:tcPr>
            <w:tcW w:w="1170" w:type="dxa"/>
          </w:tcPr>
          <w:p w14:paraId="69BC41C0" w14:textId="76968991" w:rsidR="008C4882" w:rsidRPr="00CE599A" w:rsidRDefault="008C4882" w:rsidP="008C4882">
            <w:pPr>
              <w:rPr>
                <w:rFonts w:ascii="Arial" w:hAnsi="Arial" w:cs="Arial"/>
                <w:sz w:val="20"/>
                <w:szCs w:val="20"/>
              </w:rPr>
            </w:pPr>
            <w:r w:rsidRPr="00CE599A">
              <w:rPr>
                <w:rFonts w:ascii="Arial" w:hAnsi="Arial" w:cs="Arial"/>
                <w:sz w:val="20"/>
                <w:szCs w:val="20"/>
              </w:rPr>
              <w:t>2D.27</w:t>
            </w:r>
          </w:p>
        </w:tc>
        <w:tc>
          <w:tcPr>
            <w:tcW w:w="1167" w:type="dxa"/>
          </w:tcPr>
          <w:p w14:paraId="7633595C" w14:textId="52E38D0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AF80CDE" w14:textId="7EA6A71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912709A" w14:textId="5A647A1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3767028" w14:textId="15CFC047" w:rsidR="008C4882" w:rsidRPr="00CE599A" w:rsidRDefault="008C4882" w:rsidP="008C4882">
            <w:pPr>
              <w:rPr>
                <w:rFonts w:ascii="Arial" w:hAnsi="Arial" w:cs="Arial"/>
                <w:sz w:val="20"/>
                <w:szCs w:val="20"/>
              </w:rPr>
            </w:pPr>
            <w:r w:rsidRPr="00CE599A">
              <w:rPr>
                <w:rFonts w:ascii="Arial" w:hAnsi="Arial" w:cs="Arial"/>
                <w:sz w:val="20"/>
                <w:szCs w:val="20"/>
              </w:rPr>
              <w:t>NCUTCD agrees with 2D.27 as presented in the NPA.</w:t>
            </w:r>
          </w:p>
        </w:tc>
      </w:tr>
      <w:tr w:rsidR="008C4882" w:rsidRPr="00CE599A" w14:paraId="3EF4B458" w14:textId="77777777" w:rsidTr="00FF5FD1">
        <w:trPr>
          <w:cantSplit/>
        </w:trPr>
        <w:tc>
          <w:tcPr>
            <w:tcW w:w="1170" w:type="dxa"/>
          </w:tcPr>
          <w:p w14:paraId="36E0745D" w14:textId="22370133" w:rsidR="008C4882" w:rsidRPr="00CE599A" w:rsidRDefault="008C4882" w:rsidP="008C4882">
            <w:pPr>
              <w:rPr>
                <w:rFonts w:ascii="Arial" w:hAnsi="Arial" w:cs="Arial"/>
                <w:sz w:val="20"/>
                <w:szCs w:val="20"/>
              </w:rPr>
            </w:pPr>
            <w:r w:rsidRPr="00CE599A">
              <w:rPr>
                <w:rFonts w:ascii="Arial" w:hAnsi="Arial" w:cs="Arial"/>
                <w:sz w:val="20"/>
                <w:szCs w:val="20"/>
              </w:rPr>
              <w:t>2D.28</w:t>
            </w:r>
          </w:p>
        </w:tc>
        <w:tc>
          <w:tcPr>
            <w:tcW w:w="1167" w:type="dxa"/>
          </w:tcPr>
          <w:p w14:paraId="5BDCE1F9" w14:textId="47CEB002"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43D5E8DF" w14:textId="2DA8749F"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00537D92" w14:textId="2BB5968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E04F341" w14:textId="6C69F54A" w:rsidR="008C4882" w:rsidRPr="00CE599A" w:rsidRDefault="00241940" w:rsidP="008C4882">
            <w:pPr>
              <w:rPr>
                <w:rFonts w:ascii="Arial" w:hAnsi="Arial" w:cs="Arial"/>
                <w:sz w:val="20"/>
                <w:szCs w:val="20"/>
              </w:rPr>
            </w:pPr>
            <w:r w:rsidRPr="00241940">
              <w:rPr>
                <w:rFonts w:ascii="Arial" w:hAnsi="Arial" w:cs="Arial"/>
                <w:sz w:val="20"/>
                <w:szCs w:val="20"/>
              </w:rPr>
              <w:t>NCUTCD generally agrees with 2D.28 as presented in the NPA, but recommends the term “circular intersection” be changed to “roundabout” to clarify double-headed arrows are prohibited specifically at roundabouts.</w:t>
            </w:r>
          </w:p>
        </w:tc>
      </w:tr>
      <w:tr w:rsidR="008C4882" w:rsidRPr="00CE599A" w14:paraId="4973B4D5" w14:textId="77777777" w:rsidTr="00FF5FD1">
        <w:trPr>
          <w:cantSplit/>
        </w:trPr>
        <w:tc>
          <w:tcPr>
            <w:tcW w:w="1170" w:type="dxa"/>
          </w:tcPr>
          <w:p w14:paraId="643C12FD" w14:textId="325EABA5" w:rsidR="008C4882" w:rsidRPr="00CE599A" w:rsidRDefault="008C4882" w:rsidP="008C4882">
            <w:pPr>
              <w:rPr>
                <w:rFonts w:ascii="Arial" w:hAnsi="Arial" w:cs="Arial"/>
                <w:sz w:val="20"/>
                <w:szCs w:val="20"/>
              </w:rPr>
            </w:pPr>
            <w:r w:rsidRPr="00CE599A">
              <w:rPr>
                <w:rFonts w:ascii="Arial" w:hAnsi="Arial" w:cs="Arial"/>
                <w:sz w:val="20"/>
                <w:szCs w:val="20"/>
              </w:rPr>
              <w:t>2D.29</w:t>
            </w:r>
          </w:p>
        </w:tc>
        <w:tc>
          <w:tcPr>
            <w:tcW w:w="1167" w:type="dxa"/>
          </w:tcPr>
          <w:p w14:paraId="6FB1656D" w14:textId="5461657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38CE78F" w14:textId="6D109731"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F9C0E39" w14:textId="16BEB27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0DA802B" w14:textId="63A789FD" w:rsidR="008C4882" w:rsidRPr="00241940" w:rsidRDefault="00E425AB" w:rsidP="008C4882">
            <w:pPr>
              <w:pStyle w:val="sup-guid-opt"/>
              <w:rPr>
                <w:rFonts w:ascii="Arial" w:hAnsi="Arial" w:cs="Arial"/>
                <w:sz w:val="20"/>
              </w:rPr>
            </w:pPr>
            <w:r w:rsidRPr="00E425AB">
              <w:rPr>
                <w:rFonts w:ascii="Arial" w:hAnsi="Arial" w:cs="Arial"/>
                <w:sz w:val="20"/>
              </w:rPr>
              <w:t xml:space="preserve">NCUTCD generally agrees with 2D.29 as presented in the NPA, but recommends moving </w:t>
            </w:r>
            <w:r>
              <w:rPr>
                <w:rFonts w:ascii="Arial" w:hAnsi="Arial" w:cs="Arial"/>
                <w:sz w:val="20"/>
              </w:rPr>
              <w:t>G</w:t>
            </w:r>
            <w:r w:rsidRPr="00E425AB">
              <w:rPr>
                <w:rFonts w:ascii="Arial" w:hAnsi="Arial" w:cs="Arial"/>
                <w:sz w:val="20"/>
              </w:rPr>
              <w:t>uidance language and the reference to Figure 2D-8 to the end of this section since it makes sense to first present the standard case of route sign assemblies in full before presenting the consolidation of such assemblies thereof. NCUTCD also recommends the term “circular intersection” be changed to “roundabout” to clarify the appropriate use of D1-5 and D1-5a signs.</w:t>
            </w:r>
          </w:p>
        </w:tc>
      </w:tr>
      <w:tr w:rsidR="008C4882" w:rsidRPr="00CE599A" w14:paraId="6F39A1B0" w14:textId="77777777" w:rsidTr="00FF5FD1">
        <w:trPr>
          <w:cantSplit/>
        </w:trPr>
        <w:tc>
          <w:tcPr>
            <w:tcW w:w="1170" w:type="dxa"/>
          </w:tcPr>
          <w:p w14:paraId="0E628F1B" w14:textId="603173DA" w:rsidR="008C4882" w:rsidRPr="00CE599A" w:rsidRDefault="008C4882" w:rsidP="008C4882">
            <w:pPr>
              <w:rPr>
                <w:rFonts w:ascii="Arial" w:hAnsi="Arial" w:cs="Arial"/>
                <w:sz w:val="20"/>
                <w:szCs w:val="20"/>
              </w:rPr>
            </w:pPr>
            <w:r w:rsidRPr="00CE599A">
              <w:rPr>
                <w:rFonts w:ascii="Arial" w:hAnsi="Arial" w:cs="Arial"/>
                <w:sz w:val="20"/>
                <w:szCs w:val="20"/>
              </w:rPr>
              <w:t>Figure 2D-8</w:t>
            </w:r>
          </w:p>
        </w:tc>
        <w:tc>
          <w:tcPr>
            <w:tcW w:w="1167" w:type="dxa"/>
          </w:tcPr>
          <w:p w14:paraId="7618BD25" w14:textId="76A8A2D6"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E1D3971" w14:textId="323A1EB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231676A" w14:textId="0DFC9B8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C590C4D" w14:textId="148DEA3C"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2D-8 as presented in the NPA.</w:t>
            </w:r>
          </w:p>
        </w:tc>
      </w:tr>
      <w:tr w:rsidR="008C4882" w:rsidRPr="00CE599A" w14:paraId="46342868" w14:textId="77777777" w:rsidTr="00FF5FD1">
        <w:trPr>
          <w:cantSplit/>
        </w:trPr>
        <w:tc>
          <w:tcPr>
            <w:tcW w:w="1170" w:type="dxa"/>
          </w:tcPr>
          <w:p w14:paraId="7BF2447C" w14:textId="1A20E571" w:rsidR="008C4882" w:rsidRPr="00CE599A" w:rsidRDefault="008C4882" w:rsidP="008C4882">
            <w:pPr>
              <w:rPr>
                <w:rFonts w:ascii="Arial" w:hAnsi="Arial" w:cs="Arial"/>
                <w:sz w:val="20"/>
                <w:szCs w:val="20"/>
              </w:rPr>
            </w:pPr>
            <w:r w:rsidRPr="00CE599A">
              <w:rPr>
                <w:rFonts w:ascii="Arial" w:hAnsi="Arial" w:cs="Arial"/>
                <w:sz w:val="20"/>
                <w:szCs w:val="20"/>
              </w:rPr>
              <w:t>Figure 2D-9</w:t>
            </w:r>
          </w:p>
        </w:tc>
        <w:tc>
          <w:tcPr>
            <w:tcW w:w="1167" w:type="dxa"/>
          </w:tcPr>
          <w:p w14:paraId="183A4F65" w14:textId="39516517"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004A365" w14:textId="029FE85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1CFD1B08" w14:textId="4BA21CCA"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502C45E" w14:textId="046DE15B"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2D-9 as presented in the NPA.</w:t>
            </w:r>
          </w:p>
        </w:tc>
      </w:tr>
      <w:tr w:rsidR="008C4882" w:rsidRPr="00CE599A" w14:paraId="7BEDFC23" w14:textId="77777777" w:rsidTr="00FF5FD1">
        <w:trPr>
          <w:cantSplit/>
        </w:trPr>
        <w:tc>
          <w:tcPr>
            <w:tcW w:w="1170" w:type="dxa"/>
          </w:tcPr>
          <w:p w14:paraId="2AC4CADF" w14:textId="4342FA91" w:rsidR="008C4882" w:rsidRPr="00CE599A" w:rsidRDefault="008C4882" w:rsidP="008C4882">
            <w:pPr>
              <w:rPr>
                <w:rFonts w:ascii="Arial" w:hAnsi="Arial" w:cs="Arial"/>
                <w:sz w:val="20"/>
                <w:szCs w:val="20"/>
              </w:rPr>
            </w:pPr>
            <w:r w:rsidRPr="00CE599A">
              <w:rPr>
                <w:rFonts w:ascii="Arial" w:hAnsi="Arial" w:cs="Arial"/>
                <w:sz w:val="20"/>
                <w:szCs w:val="20"/>
              </w:rPr>
              <w:t>2D.30</w:t>
            </w:r>
          </w:p>
        </w:tc>
        <w:tc>
          <w:tcPr>
            <w:tcW w:w="1167" w:type="dxa"/>
          </w:tcPr>
          <w:p w14:paraId="5AA7A8CC" w14:textId="6FA1C7BC"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6D038781" w14:textId="203D6CE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B724132" w14:textId="4C31AD21"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93BF335" w14:textId="3E8ADE5A" w:rsidR="008C4882" w:rsidRPr="00CE599A" w:rsidRDefault="008C4882" w:rsidP="008C4882">
            <w:pPr>
              <w:rPr>
                <w:rFonts w:ascii="Arial" w:hAnsi="Arial" w:cs="Arial"/>
                <w:sz w:val="20"/>
                <w:szCs w:val="20"/>
              </w:rPr>
            </w:pPr>
            <w:r w:rsidRPr="00CE599A">
              <w:rPr>
                <w:rFonts w:ascii="Arial" w:hAnsi="Arial" w:cs="Arial"/>
                <w:sz w:val="20"/>
                <w:szCs w:val="20"/>
              </w:rPr>
              <w:t>NCUTCD agrees with 2D.30 as presented in the NPA.</w:t>
            </w:r>
          </w:p>
        </w:tc>
      </w:tr>
      <w:tr w:rsidR="008C4882" w:rsidRPr="00CE599A" w14:paraId="030D1E38" w14:textId="77777777" w:rsidTr="00FF5FD1">
        <w:trPr>
          <w:cantSplit/>
        </w:trPr>
        <w:tc>
          <w:tcPr>
            <w:tcW w:w="1170" w:type="dxa"/>
          </w:tcPr>
          <w:p w14:paraId="1333A4F4" w14:textId="7BD15345" w:rsidR="008C4882" w:rsidRPr="00CE599A" w:rsidRDefault="008C4882" w:rsidP="008C4882">
            <w:pPr>
              <w:rPr>
                <w:rFonts w:ascii="Arial" w:hAnsi="Arial" w:cs="Arial"/>
                <w:sz w:val="20"/>
                <w:szCs w:val="20"/>
              </w:rPr>
            </w:pPr>
            <w:r w:rsidRPr="00CE599A">
              <w:rPr>
                <w:rFonts w:ascii="Arial" w:hAnsi="Arial" w:cs="Arial"/>
                <w:sz w:val="20"/>
                <w:szCs w:val="20"/>
              </w:rPr>
              <w:t>2D.31</w:t>
            </w:r>
          </w:p>
        </w:tc>
        <w:tc>
          <w:tcPr>
            <w:tcW w:w="1167" w:type="dxa"/>
          </w:tcPr>
          <w:p w14:paraId="3F4BD4AC" w14:textId="0BAEFC1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5B2A8E85" w14:textId="53092E68"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0AAA5B76" w14:textId="22462CE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4837ADC" w14:textId="077CE6BC" w:rsidR="008C4882" w:rsidRPr="00CE599A" w:rsidRDefault="00E425AB" w:rsidP="008C4882">
            <w:pPr>
              <w:rPr>
                <w:rFonts w:ascii="Arial" w:hAnsi="Arial" w:cs="Arial"/>
                <w:sz w:val="20"/>
                <w:szCs w:val="20"/>
              </w:rPr>
            </w:pPr>
            <w:r w:rsidRPr="00E425AB">
              <w:rPr>
                <w:rFonts w:ascii="Arial" w:hAnsi="Arial" w:cs="Arial"/>
                <w:sz w:val="20"/>
                <w:szCs w:val="20"/>
              </w:rPr>
              <w:t>NCUTCD generally agrees with 2D.31 as presented in the NPA, with minor editorial revis</w:t>
            </w:r>
            <w:r>
              <w:rPr>
                <w:rFonts w:ascii="Arial" w:hAnsi="Arial" w:cs="Arial"/>
                <w:sz w:val="20"/>
                <w:szCs w:val="20"/>
              </w:rPr>
              <w:t>i</w:t>
            </w:r>
            <w:r w:rsidRPr="00E425AB">
              <w:rPr>
                <w:rFonts w:ascii="Arial" w:hAnsi="Arial" w:cs="Arial"/>
                <w:sz w:val="20"/>
                <w:szCs w:val="20"/>
              </w:rPr>
              <w:t>ons.</w:t>
            </w:r>
          </w:p>
        </w:tc>
      </w:tr>
      <w:tr w:rsidR="008C4882" w:rsidRPr="00CE599A" w14:paraId="5503DB5D" w14:textId="77777777" w:rsidTr="00FF5FD1">
        <w:trPr>
          <w:cantSplit/>
        </w:trPr>
        <w:tc>
          <w:tcPr>
            <w:tcW w:w="1170" w:type="dxa"/>
          </w:tcPr>
          <w:p w14:paraId="174BD8EF" w14:textId="6D75DB15" w:rsidR="008C4882" w:rsidRPr="00CE599A" w:rsidRDefault="008C4882" w:rsidP="008C4882">
            <w:pPr>
              <w:rPr>
                <w:rFonts w:ascii="Arial" w:hAnsi="Arial" w:cs="Arial"/>
                <w:sz w:val="20"/>
                <w:szCs w:val="20"/>
              </w:rPr>
            </w:pPr>
            <w:r w:rsidRPr="00CE599A">
              <w:rPr>
                <w:rFonts w:ascii="Arial" w:hAnsi="Arial" w:cs="Arial"/>
                <w:sz w:val="20"/>
                <w:szCs w:val="20"/>
              </w:rPr>
              <w:t>2D.32</w:t>
            </w:r>
          </w:p>
        </w:tc>
        <w:tc>
          <w:tcPr>
            <w:tcW w:w="1167" w:type="dxa"/>
          </w:tcPr>
          <w:p w14:paraId="53CE04FE" w14:textId="0F3A8C2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1A258A5" w14:textId="488958D8"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C2F79A5" w14:textId="3392ADA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45AA89F" w14:textId="31DCA5CD" w:rsidR="008C4882" w:rsidRPr="00CE599A" w:rsidRDefault="008C4882" w:rsidP="008C4882">
            <w:pPr>
              <w:rPr>
                <w:rFonts w:ascii="Arial" w:hAnsi="Arial" w:cs="Arial"/>
                <w:sz w:val="20"/>
                <w:szCs w:val="20"/>
              </w:rPr>
            </w:pPr>
            <w:r w:rsidRPr="00CE599A">
              <w:rPr>
                <w:rFonts w:ascii="Arial" w:hAnsi="Arial" w:cs="Arial"/>
                <w:sz w:val="20"/>
                <w:szCs w:val="20"/>
              </w:rPr>
              <w:t>NCUTCD agrees with 2D.32 as presented in the NPA.</w:t>
            </w:r>
          </w:p>
        </w:tc>
      </w:tr>
      <w:tr w:rsidR="008C4882" w:rsidRPr="00CE599A" w14:paraId="739D73A6" w14:textId="77777777" w:rsidTr="00FF5FD1">
        <w:trPr>
          <w:cantSplit/>
        </w:trPr>
        <w:tc>
          <w:tcPr>
            <w:tcW w:w="1170" w:type="dxa"/>
          </w:tcPr>
          <w:p w14:paraId="3BB1FE71" w14:textId="4C446462" w:rsidR="008C4882" w:rsidRPr="00CE599A" w:rsidRDefault="008C4882" w:rsidP="008C4882">
            <w:pPr>
              <w:rPr>
                <w:rFonts w:ascii="Arial" w:hAnsi="Arial" w:cs="Arial"/>
                <w:sz w:val="20"/>
                <w:szCs w:val="20"/>
              </w:rPr>
            </w:pPr>
            <w:r w:rsidRPr="00CE599A">
              <w:rPr>
                <w:rFonts w:ascii="Arial" w:hAnsi="Arial" w:cs="Arial"/>
                <w:sz w:val="20"/>
                <w:szCs w:val="20"/>
              </w:rPr>
              <w:t>2D.33</w:t>
            </w:r>
          </w:p>
        </w:tc>
        <w:tc>
          <w:tcPr>
            <w:tcW w:w="1167" w:type="dxa"/>
          </w:tcPr>
          <w:p w14:paraId="367B0AFF" w14:textId="463B9581"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961993A" w14:textId="096735B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20400F94" w14:textId="0E31D58A"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4A25B82" w14:textId="1D96E457" w:rsidR="008C4882" w:rsidRPr="00CE599A" w:rsidRDefault="008C4882" w:rsidP="008C4882">
            <w:pPr>
              <w:rPr>
                <w:rFonts w:ascii="Arial" w:hAnsi="Arial" w:cs="Arial"/>
                <w:sz w:val="20"/>
                <w:szCs w:val="20"/>
              </w:rPr>
            </w:pPr>
            <w:r w:rsidRPr="00CE599A">
              <w:rPr>
                <w:rFonts w:ascii="Arial" w:hAnsi="Arial" w:cs="Arial"/>
                <w:sz w:val="20"/>
                <w:szCs w:val="20"/>
              </w:rPr>
              <w:t>NCUTCD agrees with 2D.33 as presented in the NPA.</w:t>
            </w:r>
          </w:p>
        </w:tc>
      </w:tr>
      <w:tr w:rsidR="008C4882" w:rsidRPr="00CE599A" w14:paraId="5347CFBF" w14:textId="77777777" w:rsidTr="00FF5FD1">
        <w:trPr>
          <w:cantSplit/>
        </w:trPr>
        <w:tc>
          <w:tcPr>
            <w:tcW w:w="1170" w:type="dxa"/>
          </w:tcPr>
          <w:p w14:paraId="2DAC5ABE" w14:textId="5475AB42" w:rsidR="008C4882" w:rsidRPr="00CE599A" w:rsidRDefault="008C4882" w:rsidP="008C4882">
            <w:pPr>
              <w:rPr>
                <w:rFonts w:ascii="Arial" w:hAnsi="Arial" w:cs="Arial"/>
                <w:sz w:val="20"/>
                <w:szCs w:val="20"/>
              </w:rPr>
            </w:pPr>
            <w:r w:rsidRPr="00CE599A">
              <w:rPr>
                <w:rFonts w:ascii="Arial" w:hAnsi="Arial" w:cs="Arial"/>
                <w:sz w:val="20"/>
                <w:szCs w:val="20"/>
              </w:rPr>
              <w:t>2D.34</w:t>
            </w:r>
          </w:p>
        </w:tc>
        <w:tc>
          <w:tcPr>
            <w:tcW w:w="1167" w:type="dxa"/>
          </w:tcPr>
          <w:p w14:paraId="4821F31B" w14:textId="79FA971C"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978229B" w14:textId="1D83FFF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0D47F4E" w14:textId="6BFF64B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324BBDD" w14:textId="7FAE5A34" w:rsidR="008C4882" w:rsidRPr="00CE599A" w:rsidRDefault="008C4882" w:rsidP="008C4882">
            <w:pPr>
              <w:rPr>
                <w:rFonts w:ascii="Arial" w:hAnsi="Arial" w:cs="Arial"/>
                <w:sz w:val="20"/>
                <w:szCs w:val="20"/>
              </w:rPr>
            </w:pPr>
            <w:r w:rsidRPr="00CE599A">
              <w:rPr>
                <w:rFonts w:ascii="Arial" w:hAnsi="Arial" w:cs="Arial"/>
                <w:sz w:val="20"/>
                <w:szCs w:val="20"/>
              </w:rPr>
              <w:t>NCUTCD agrees with 2D.34 as presented in the NPA.</w:t>
            </w:r>
          </w:p>
        </w:tc>
      </w:tr>
      <w:tr w:rsidR="008C4882" w:rsidRPr="00CE599A" w14:paraId="71F29F39" w14:textId="77777777" w:rsidTr="00FF5FD1">
        <w:trPr>
          <w:cantSplit/>
        </w:trPr>
        <w:tc>
          <w:tcPr>
            <w:tcW w:w="1170" w:type="dxa"/>
          </w:tcPr>
          <w:p w14:paraId="379805CD" w14:textId="3372D67F" w:rsidR="008C4882" w:rsidRPr="00CE599A" w:rsidRDefault="008C4882" w:rsidP="008C4882">
            <w:pPr>
              <w:rPr>
                <w:rFonts w:ascii="Arial" w:hAnsi="Arial" w:cs="Arial"/>
                <w:sz w:val="20"/>
                <w:szCs w:val="20"/>
              </w:rPr>
            </w:pPr>
            <w:r w:rsidRPr="00CE599A">
              <w:rPr>
                <w:rFonts w:ascii="Arial" w:hAnsi="Arial" w:cs="Arial"/>
                <w:sz w:val="20"/>
                <w:szCs w:val="20"/>
              </w:rPr>
              <w:t>2D.35</w:t>
            </w:r>
          </w:p>
        </w:tc>
        <w:tc>
          <w:tcPr>
            <w:tcW w:w="1167" w:type="dxa"/>
          </w:tcPr>
          <w:p w14:paraId="5E2363C2" w14:textId="1219BC22"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EB704F6" w14:textId="771F56C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E461208" w14:textId="1D70CFB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12E8D62" w14:textId="2B8F6252" w:rsidR="008C4882" w:rsidRPr="00E425AB" w:rsidRDefault="00E425AB" w:rsidP="008C4882">
            <w:pPr>
              <w:rPr>
                <w:rFonts w:ascii="Arial" w:hAnsi="Arial" w:cs="Arial"/>
                <w:sz w:val="20"/>
                <w:szCs w:val="20"/>
              </w:rPr>
            </w:pPr>
            <w:r w:rsidRPr="00E425AB">
              <w:rPr>
                <w:rFonts w:ascii="Arial" w:hAnsi="Arial" w:cs="Arial"/>
                <w:sz w:val="20"/>
                <w:szCs w:val="20"/>
              </w:rPr>
              <w:t>NCUTCD generally agrees with 2D.3</w:t>
            </w:r>
            <w:r>
              <w:rPr>
                <w:rFonts w:ascii="Arial" w:hAnsi="Arial" w:cs="Arial"/>
                <w:sz w:val="20"/>
                <w:szCs w:val="20"/>
              </w:rPr>
              <w:t>5</w:t>
            </w:r>
            <w:r w:rsidRPr="00E425AB">
              <w:rPr>
                <w:rFonts w:ascii="Arial" w:hAnsi="Arial" w:cs="Arial"/>
                <w:sz w:val="20"/>
                <w:szCs w:val="20"/>
              </w:rPr>
              <w:t xml:space="preserve"> as presented in the NPA, with minor editorial revis</w:t>
            </w:r>
            <w:r>
              <w:rPr>
                <w:rFonts w:ascii="Arial" w:hAnsi="Arial" w:cs="Arial"/>
                <w:sz w:val="20"/>
                <w:szCs w:val="20"/>
              </w:rPr>
              <w:t>i</w:t>
            </w:r>
            <w:r w:rsidRPr="00E425AB">
              <w:rPr>
                <w:rFonts w:ascii="Arial" w:hAnsi="Arial" w:cs="Arial"/>
                <w:sz w:val="20"/>
                <w:szCs w:val="20"/>
              </w:rPr>
              <w:t>ons.</w:t>
            </w:r>
          </w:p>
        </w:tc>
      </w:tr>
      <w:tr w:rsidR="008C4882" w:rsidRPr="00CE599A" w14:paraId="73A0F888" w14:textId="77777777" w:rsidTr="00FF5FD1">
        <w:trPr>
          <w:cantSplit/>
        </w:trPr>
        <w:tc>
          <w:tcPr>
            <w:tcW w:w="1170" w:type="dxa"/>
          </w:tcPr>
          <w:p w14:paraId="1BDA76C8" w14:textId="76FDBD45" w:rsidR="008C4882" w:rsidRPr="00CE599A" w:rsidRDefault="008C4882" w:rsidP="008C4882">
            <w:pPr>
              <w:rPr>
                <w:rFonts w:ascii="Arial" w:hAnsi="Arial" w:cs="Arial"/>
                <w:sz w:val="20"/>
                <w:szCs w:val="20"/>
              </w:rPr>
            </w:pPr>
            <w:r w:rsidRPr="00CE599A">
              <w:rPr>
                <w:rFonts w:ascii="Arial" w:hAnsi="Arial" w:cs="Arial"/>
                <w:sz w:val="20"/>
                <w:szCs w:val="20"/>
              </w:rPr>
              <w:t>2D.36</w:t>
            </w:r>
          </w:p>
        </w:tc>
        <w:tc>
          <w:tcPr>
            <w:tcW w:w="1167" w:type="dxa"/>
          </w:tcPr>
          <w:p w14:paraId="270BA21C" w14:textId="11C95725"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456E2A5" w14:textId="7420E75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4417896" w14:textId="2D57726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EBBBF27" w14:textId="3BFF99CE" w:rsidR="008C4882" w:rsidRPr="00CE599A" w:rsidRDefault="00E425AB" w:rsidP="008C4882">
            <w:pPr>
              <w:pStyle w:val="Section"/>
              <w:spacing w:before="0" w:after="0"/>
              <w:rPr>
                <w:rFonts w:ascii="Arial" w:hAnsi="Arial" w:cs="Arial"/>
                <w:b w:val="0"/>
                <w:bCs/>
                <w:color w:val="FFFFFF" w:themeColor="background1"/>
                <w:sz w:val="20"/>
              </w:rPr>
            </w:pPr>
            <w:r w:rsidRPr="00E425AB">
              <w:rPr>
                <w:rFonts w:ascii="Arial" w:hAnsi="Arial" w:cs="Arial"/>
                <w:b w:val="0"/>
                <w:bCs/>
                <w:sz w:val="20"/>
              </w:rPr>
              <w:t>NCUTCD generally agrees with 2D.3</w:t>
            </w:r>
            <w:r>
              <w:rPr>
                <w:rFonts w:ascii="Arial" w:hAnsi="Arial" w:cs="Arial"/>
                <w:b w:val="0"/>
                <w:bCs/>
                <w:sz w:val="20"/>
              </w:rPr>
              <w:t>6</w:t>
            </w:r>
            <w:r w:rsidRPr="00E425AB">
              <w:rPr>
                <w:rFonts w:ascii="Arial" w:hAnsi="Arial" w:cs="Arial"/>
                <w:b w:val="0"/>
                <w:bCs/>
                <w:sz w:val="20"/>
              </w:rPr>
              <w:t xml:space="preserve"> as presented in the NPA, with minor editorial revis</w:t>
            </w:r>
            <w:r>
              <w:rPr>
                <w:rFonts w:ascii="Arial" w:hAnsi="Arial" w:cs="Arial"/>
                <w:b w:val="0"/>
                <w:bCs/>
                <w:sz w:val="20"/>
              </w:rPr>
              <w:t>i</w:t>
            </w:r>
            <w:r w:rsidRPr="00E425AB">
              <w:rPr>
                <w:rFonts w:ascii="Arial" w:hAnsi="Arial" w:cs="Arial"/>
                <w:b w:val="0"/>
                <w:bCs/>
                <w:sz w:val="20"/>
              </w:rPr>
              <w:t>ons.</w:t>
            </w:r>
          </w:p>
        </w:tc>
      </w:tr>
      <w:tr w:rsidR="008C4882" w:rsidRPr="00CE599A" w14:paraId="5AD53E7C" w14:textId="77777777" w:rsidTr="00FF5FD1">
        <w:trPr>
          <w:cantSplit/>
        </w:trPr>
        <w:tc>
          <w:tcPr>
            <w:tcW w:w="1170" w:type="dxa"/>
          </w:tcPr>
          <w:p w14:paraId="69BF16F4" w14:textId="1821C750" w:rsidR="008C4882" w:rsidRPr="00CE599A" w:rsidRDefault="008C4882" w:rsidP="008C4882">
            <w:pPr>
              <w:rPr>
                <w:rFonts w:ascii="Arial" w:hAnsi="Arial" w:cs="Arial"/>
                <w:sz w:val="20"/>
                <w:szCs w:val="20"/>
              </w:rPr>
            </w:pPr>
            <w:r w:rsidRPr="00CE599A">
              <w:rPr>
                <w:rFonts w:ascii="Arial" w:hAnsi="Arial" w:cs="Arial"/>
                <w:sz w:val="20"/>
                <w:szCs w:val="20"/>
              </w:rPr>
              <w:t>Figure 2D-10</w:t>
            </w:r>
          </w:p>
        </w:tc>
        <w:tc>
          <w:tcPr>
            <w:tcW w:w="1167" w:type="dxa"/>
          </w:tcPr>
          <w:p w14:paraId="62E08ADF" w14:textId="22BCB328"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B3C6CFE" w14:textId="3C31C03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82E4043" w14:textId="5BA746F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1642B12" w14:textId="0AA01B90"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2D-10 as presented in the NPA.</w:t>
            </w:r>
          </w:p>
        </w:tc>
      </w:tr>
      <w:tr w:rsidR="008C4882" w:rsidRPr="00CE599A" w14:paraId="1FDDF38D" w14:textId="77777777" w:rsidTr="00FF5FD1">
        <w:trPr>
          <w:cantSplit/>
        </w:trPr>
        <w:tc>
          <w:tcPr>
            <w:tcW w:w="1170" w:type="dxa"/>
          </w:tcPr>
          <w:p w14:paraId="6FF21246" w14:textId="7105B368" w:rsidR="008C4882" w:rsidRPr="00CE599A" w:rsidRDefault="008C4882" w:rsidP="008C4882">
            <w:pPr>
              <w:rPr>
                <w:rFonts w:ascii="Arial" w:hAnsi="Arial" w:cs="Arial"/>
                <w:sz w:val="20"/>
                <w:szCs w:val="20"/>
              </w:rPr>
            </w:pPr>
            <w:r w:rsidRPr="00CE599A">
              <w:rPr>
                <w:rFonts w:ascii="Arial" w:hAnsi="Arial" w:cs="Arial"/>
                <w:sz w:val="20"/>
                <w:szCs w:val="20"/>
              </w:rPr>
              <w:lastRenderedPageBreak/>
              <w:t>2D.37</w:t>
            </w:r>
          </w:p>
        </w:tc>
        <w:tc>
          <w:tcPr>
            <w:tcW w:w="1167" w:type="dxa"/>
          </w:tcPr>
          <w:p w14:paraId="34B40097" w14:textId="3B0CF580"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78876FC0" w14:textId="5EE8CCB1"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7ED72337" w14:textId="1E9A649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E6EE899" w14:textId="2CFA2A99" w:rsidR="008C4882" w:rsidRPr="002B60BF" w:rsidRDefault="002B60BF" w:rsidP="008C4882">
            <w:pPr>
              <w:rPr>
                <w:rFonts w:ascii="Arial" w:hAnsi="Arial" w:cs="Arial"/>
                <w:bCs/>
                <w:sz w:val="20"/>
                <w:szCs w:val="20"/>
              </w:rPr>
            </w:pPr>
            <w:r w:rsidRPr="002B60BF">
              <w:rPr>
                <w:rFonts w:ascii="Arial" w:hAnsi="Arial" w:cs="Arial"/>
                <w:bCs/>
                <w:sz w:val="20"/>
                <w:szCs w:val="20"/>
              </w:rPr>
              <w:t>NCUTCD recommends revising 2D.37 to clearly distinguish between overhead Arrow-Per-Lane signs on freeways and expressways versus signs on conventional roadways and to note that not all lanes will have arrows, add a reference to Figure 2A-4, and revise “option lane” to “optional movement lane” in the Guidance statement.</w:t>
            </w:r>
          </w:p>
        </w:tc>
      </w:tr>
      <w:tr w:rsidR="008C4882" w:rsidRPr="00CE599A" w14:paraId="4CC8FF0B" w14:textId="77777777" w:rsidTr="00FF5FD1">
        <w:trPr>
          <w:cantSplit/>
        </w:trPr>
        <w:tc>
          <w:tcPr>
            <w:tcW w:w="1170" w:type="dxa"/>
          </w:tcPr>
          <w:p w14:paraId="0243384C" w14:textId="7A1D1FF9" w:rsidR="008C4882" w:rsidRPr="00CE599A" w:rsidRDefault="008C4882" w:rsidP="008C4882">
            <w:pPr>
              <w:rPr>
                <w:rFonts w:ascii="Arial" w:hAnsi="Arial" w:cs="Arial"/>
                <w:sz w:val="20"/>
                <w:szCs w:val="20"/>
              </w:rPr>
            </w:pPr>
            <w:r w:rsidRPr="00CE599A">
              <w:rPr>
                <w:rFonts w:ascii="Arial" w:hAnsi="Arial" w:cs="Arial"/>
                <w:sz w:val="20"/>
                <w:szCs w:val="20"/>
              </w:rPr>
              <w:t>Figure 2D-11</w:t>
            </w:r>
          </w:p>
        </w:tc>
        <w:tc>
          <w:tcPr>
            <w:tcW w:w="1167" w:type="dxa"/>
          </w:tcPr>
          <w:p w14:paraId="67D373BB" w14:textId="085ADB04"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360BA8A6" w14:textId="2090EBD1"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7851BF5E" w14:textId="72B36FB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5004239" w14:textId="77777777" w:rsidR="00E7709C" w:rsidRPr="00E7709C" w:rsidRDefault="00E7709C" w:rsidP="00E7709C">
            <w:pPr>
              <w:rPr>
                <w:rFonts w:ascii="Arial" w:hAnsi="Arial" w:cs="Arial"/>
                <w:sz w:val="20"/>
                <w:szCs w:val="20"/>
              </w:rPr>
            </w:pPr>
            <w:r w:rsidRPr="00E7709C">
              <w:rPr>
                <w:rFonts w:ascii="Arial" w:hAnsi="Arial" w:cs="Arial"/>
                <w:sz w:val="20"/>
                <w:szCs w:val="20"/>
              </w:rPr>
              <w:t>NCUTCD recommends revising Figure 2D-11 as follows:</w:t>
            </w:r>
          </w:p>
          <w:p w14:paraId="35F95DCC" w14:textId="7B2C694D" w:rsidR="00E7709C" w:rsidRPr="00E7709C" w:rsidRDefault="00E7709C" w:rsidP="00E7709C">
            <w:pPr>
              <w:pStyle w:val="ListParagraph"/>
              <w:numPr>
                <w:ilvl w:val="0"/>
                <w:numId w:val="6"/>
              </w:numPr>
              <w:rPr>
                <w:rFonts w:ascii="Arial" w:hAnsi="Arial" w:cs="Arial"/>
                <w:sz w:val="20"/>
                <w:szCs w:val="20"/>
              </w:rPr>
            </w:pPr>
            <w:r w:rsidRPr="00E7709C">
              <w:rPr>
                <w:rFonts w:ascii="Arial" w:hAnsi="Arial" w:cs="Arial"/>
                <w:sz w:val="20"/>
                <w:szCs w:val="20"/>
              </w:rPr>
              <w:t>Sign #1: remove the black on yellow ONLY plaque, since this is not typically used for the through movement</w:t>
            </w:r>
          </w:p>
          <w:p w14:paraId="73277BE5" w14:textId="492101E4" w:rsidR="008C4882" w:rsidRPr="00E7709C" w:rsidRDefault="00E7709C" w:rsidP="00E7709C">
            <w:pPr>
              <w:pStyle w:val="ListParagraph"/>
              <w:numPr>
                <w:ilvl w:val="0"/>
                <w:numId w:val="6"/>
              </w:numPr>
              <w:rPr>
                <w:rFonts w:ascii="Arial" w:hAnsi="Arial" w:cs="Arial"/>
                <w:sz w:val="20"/>
                <w:szCs w:val="20"/>
              </w:rPr>
            </w:pPr>
            <w:r w:rsidRPr="00E7709C">
              <w:rPr>
                <w:rFonts w:ascii="Arial" w:hAnsi="Arial" w:cs="Arial"/>
                <w:sz w:val="20"/>
                <w:szCs w:val="20"/>
              </w:rPr>
              <w:t>Use the figure title as presented in the NPA figures document</w:t>
            </w:r>
          </w:p>
        </w:tc>
      </w:tr>
      <w:tr w:rsidR="008C4882" w:rsidRPr="00CE599A" w14:paraId="1D65BB69" w14:textId="77777777" w:rsidTr="00FF5FD1">
        <w:trPr>
          <w:cantSplit/>
        </w:trPr>
        <w:tc>
          <w:tcPr>
            <w:tcW w:w="1170" w:type="dxa"/>
          </w:tcPr>
          <w:p w14:paraId="148893D2" w14:textId="01DBA6C6" w:rsidR="008C4882" w:rsidRPr="00CE599A" w:rsidRDefault="008C4882" w:rsidP="008C4882">
            <w:pPr>
              <w:rPr>
                <w:rFonts w:ascii="Arial" w:hAnsi="Arial" w:cs="Arial"/>
                <w:sz w:val="20"/>
                <w:szCs w:val="20"/>
              </w:rPr>
            </w:pPr>
            <w:r w:rsidRPr="00CE599A">
              <w:rPr>
                <w:rFonts w:ascii="Arial" w:hAnsi="Arial" w:cs="Arial"/>
                <w:sz w:val="20"/>
                <w:szCs w:val="20"/>
              </w:rPr>
              <w:t>2D.38</w:t>
            </w:r>
          </w:p>
        </w:tc>
        <w:tc>
          <w:tcPr>
            <w:tcW w:w="1167" w:type="dxa"/>
          </w:tcPr>
          <w:p w14:paraId="569B8D38" w14:textId="3DFA10CF"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28858472" w14:textId="760680AF"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2536E0DB" w14:textId="2724CFA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55D0A6C" w14:textId="0BC3E3A3" w:rsidR="008C4882" w:rsidRPr="00CE599A" w:rsidRDefault="00D1100B" w:rsidP="008C4882">
            <w:pPr>
              <w:tabs>
                <w:tab w:val="left" w:pos="360"/>
              </w:tabs>
              <w:spacing w:after="60"/>
              <w:rPr>
                <w:rFonts w:ascii="Arial" w:hAnsi="Arial" w:cs="Arial"/>
                <w:sz w:val="20"/>
                <w:szCs w:val="20"/>
                <w:u w:val="single"/>
              </w:rPr>
            </w:pPr>
            <w:r w:rsidRPr="00D1100B">
              <w:rPr>
                <w:rFonts w:ascii="Arial" w:hAnsi="Arial" w:cs="Arial"/>
                <w:sz w:val="20"/>
                <w:szCs w:val="20"/>
              </w:rPr>
              <w:t>NCUTCD generally agrees with 2D.38 as presented in the NPA, but recommends deleting the reference to Figure 2A-5 for the usage of the D15-1</w:t>
            </w:r>
            <w:r w:rsidR="00EA682C">
              <w:rPr>
                <w:rFonts w:ascii="Arial" w:hAnsi="Arial" w:cs="Arial"/>
                <w:sz w:val="20"/>
                <w:szCs w:val="20"/>
              </w:rPr>
              <w:t xml:space="preserve"> </w:t>
            </w:r>
            <w:r w:rsidRPr="00D1100B">
              <w:rPr>
                <w:rFonts w:ascii="Arial" w:hAnsi="Arial" w:cs="Arial"/>
                <w:sz w:val="20"/>
                <w:szCs w:val="20"/>
              </w:rPr>
              <w:t>sign. Figure 2A-5 does not provide an example of the usage of D15-1 signs, and there currently is not a Figure for this anywhere in the NPA.</w:t>
            </w:r>
          </w:p>
        </w:tc>
      </w:tr>
      <w:tr w:rsidR="008C4882" w:rsidRPr="00CE599A" w14:paraId="7A4ACEC5" w14:textId="77777777" w:rsidTr="00FF5FD1">
        <w:trPr>
          <w:cantSplit/>
        </w:trPr>
        <w:tc>
          <w:tcPr>
            <w:tcW w:w="1170" w:type="dxa"/>
          </w:tcPr>
          <w:p w14:paraId="62D36D61" w14:textId="39F87046" w:rsidR="008C4882" w:rsidRPr="00CE599A" w:rsidRDefault="008C4882" w:rsidP="008C4882">
            <w:pPr>
              <w:rPr>
                <w:rFonts w:ascii="Arial" w:hAnsi="Arial" w:cs="Arial"/>
                <w:sz w:val="20"/>
                <w:szCs w:val="20"/>
              </w:rPr>
            </w:pPr>
            <w:r w:rsidRPr="00CE599A">
              <w:rPr>
                <w:rFonts w:ascii="Arial" w:hAnsi="Arial" w:cs="Arial"/>
                <w:sz w:val="20"/>
                <w:szCs w:val="20"/>
              </w:rPr>
              <w:t>2D.39</w:t>
            </w:r>
          </w:p>
        </w:tc>
        <w:tc>
          <w:tcPr>
            <w:tcW w:w="1167" w:type="dxa"/>
          </w:tcPr>
          <w:p w14:paraId="641811F4" w14:textId="6550555C"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A75B72E" w14:textId="27844518"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10104A6" w14:textId="3E1B710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F1C4332" w14:textId="75245760" w:rsidR="008C4882" w:rsidRPr="00CE599A" w:rsidRDefault="00D1100B" w:rsidP="008C4882">
            <w:pPr>
              <w:rPr>
                <w:rFonts w:ascii="Arial" w:hAnsi="Arial" w:cs="Arial"/>
                <w:bCs/>
                <w:sz w:val="20"/>
                <w:szCs w:val="20"/>
              </w:rPr>
            </w:pPr>
            <w:r w:rsidRPr="00D1100B">
              <w:rPr>
                <w:rFonts w:ascii="Arial" w:hAnsi="Arial" w:cs="Arial"/>
                <w:bCs/>
                <w:sz w:val="20"/>
                <w:szCs w:val="20"/>
              </w:rPr>
              <w:t>NCUTCD recommends revising 2D.39 to change multiple references of “circular intersection” to “roundabout” since these signs are intended specifically for roundabouts, and revise “Chapter 3C” to “Chapter 3D” in the last Support statement.</w:t>
            </w:r>
          </w:p>
        </w:tc>
      </w:tr>
      <w:tr w:rsidR="008C4882" w:rsidRPr="00CE599A" w14:paraId="3AD47F1B" w14:textId="77777777" w:rsidTr="00FF5FD1">
        <w:trPr>
          <w:cantSplit/>
        </w:trPr>
        <w:tc>
          <w:tcPr>
            <w:tcW w:w="1170" w:type="dxa"/>
          </w:tcPr>
          <w:p w14:paraId="0D5E812F" w14:textId="123AF403" w:rsidR="008C4882" w:rsidRPr="00CE599A" w:rsidRDefault="008C4882" w:rsidP="008C4882">
            <w:pPr>
              <w:rPr>
                <w:rFonts w:ascii="Arial" w:hAnsi="Arial" w:cs="Arial"/>
                <w:sz w:val="20"/>
                <w:szCs w:val="20"/>
              </w:rPr>
            </w:pPr>
            <w:r w:rsidRPr="00CE599A">
              <w:rPr>
                <w:rFonts w:ascii="Arial" w:hAnsi="Arial" w:cs="Arial"/>
                <w:sz w:val="20"/>
                <w:szCs w:val="20"/>
              </w:rPr>
              <w:t>Figure 2D-12</w:t>
            </w:r>
          </w:p>
        </w:tc>
        <w:tc>
          <w:tcPr>
            <w:tcW w:w="1167" w:type="dxa"/>
          </w:tcPr>
          <w:p w14:paraId="7D8EAE21" w14:textId="4584E824"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65BB21D2" w14:textId="51AE3B9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70D5C9D" w14:textId="3D61E65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6A6DF62" w14:textId="73E00B74" w:rsidR="008C4882" w:rsidRPr="00CE599A" w:rsidRDefault="008905E8" w:rsidP="008C4882">
            <w:pPr>
              <w:rPr>
                <w:rFonts w:ascii="Arial" w:hAnsi="Arial" w:cs="Arial"/>
                <w:sz w:val="20"/>
                <w:szCs w:val="20"/>
              </w:rPr>
            </w:pPr>
            <w:r w:rsidRPr="008905E8">
              <w:rPr>
                <w:rFonts w:ascii="Arial" w:hAnsi="Arial" w:cs="Arial"/>
                <w:sz w:val="20"/>
                <w:szCs w:val="20"/>
              </w:rPr>
              <w:t>NCUTCD generally agrees with Figure 2D-12 as presented in the NPA, but recommends revising the title from “Destination Signs for Circular Intersections” to “Destination Signs for Roundabouts” since these signs are intended specifically for roundabouts.</w:t>
            </w:r>
          </w:p>
        </w:tc>
      </w:tr>
      <w:tr w:rsidR="008C4882" w:rsidRPr="00CE599A" w14:paraId="43AE4F38" w14:textId="77777777" w:rsidTr="00FF5FD1">
        <w:trPr>
          <w:cantSplit/>
        </w:trPr>
        <w:tc>
          <w:tcPr>
            <w:tcW w:w="1170" w:type="dxa"/>
          </w:tcPr>
          <w:p w14:paraId="2FD35F3C" w14:textId="546EF53D" w:rsidR="008C4882" w:rsidRPr="00CE599A" w:rsidRDefault="008C4882" w:rsidP="008C4882">
            <w:pPr>
              <w:rPr>
                <w:rFonts w:ascii="Arial" w:hAnsi="Arial" w:cs="Arial"/>
                <w:sz w:val="20"/>
                <w:szCs w:val="20"/>
              </w:rPr>
            </w:pPr>
            <w:r w:rsidRPr="00CE599A">
              <w:rPr>
                <w:rFonts w:ascii="Arial" w:hAnsi="Arial" w:cs="Arial"/>
                <w:sz w:val="20"/>
                <w:szCs w:val="20"/>
              </w:rPr>
              <w:t>Figure 2D-13</w:t>
            </w:r>
          </w:p>
        </w:tc>
        <w:tc>
          <w:tcPr>
            <w:tcW w:w="1167" w:type="dxa"/>
          </w:tcPr>
          <w:p w14:paraId="5AF9425C" w14:textId="73973F95"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27739ACA" w14:textId="0C6F2E58"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9060948" w14:textId="2051992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79ED717" w14:textId="0CFED638" w:rsidR="008C4882" w:rsidRPr="00E7709C" w:rsidRDefault="00E7709C" w:rsidP="00E7709C">
            <w:pPr>
              <w:rPr>
                <w:rFonts w:ascii="Arial" w:hAnsi="Arial" w:cs="Arial"/>
                <w:sz w:val="20"/>
                <w:szCs w:val="20"/>
              </w:rPr>
            </w:pPr>
            <w:r w:rsidRPr="00E7709C">
              <w:rPr>
                <w:rFonts w:ascii="Arial" w:hAnsi="Arial" w:cs="Arial"/>
                <w:sz w:val="20"/>
                <w:szCs w:val="20"/>
              </w:rPr>
              <w:t>NCUTCD generally agrees with Figure 2D-13 as presented in the NPA, but recommends revising the “Water St NEXT CIRCLE” sign on sheet 2 to use either a NEXT INTERSECTION OR NEXT ROUNDABOUT message.</w:t>
            </w:r>
          </w:p>
        </w:tc>
      </w:tr>
      <w:tr w:rsidR="008C4882" w:rsidRPr="00CE599A" w14:paraId="5D2E679A" w14:textId="77777777" w:rsidTr="00FF5FD1">
        <w:trPr>
          <w:cantSplit/>
        </w:trPr>
        <w:tc>
          <w:tcPr>
            <w:tcW w:w="1170" w:type="dxa"/>
          </w:tcPr>
          <w:p w14:paraId="77B78C8E" w14:textId="22345D83" w:rsidR="008C4882" w:rsidRPr="00CE599A" w:rsidRDefault="008C4882" w:rsidP="008C4882">
            <w:pPr>
              <w:rPr>
                <w:rFonts w:ascii="Arial" w:hAnsi="Arial" w:cs="Arial"/>
                <w:sz w:val="20"/>
                <w:szCs w:val="20"/>
              </w:rPr>
            </w:pPr>
            <w:r w:rsidRPr="00CE599A">
              <w:rPr>
                <w:rFonts w:ascii="Arial" w:hAnsi="Arial" w:cs="Arial"/>
                <w:sz w:val="20"/>
                <w:szCs w:val="20"/>
              </w:rPr>
              <w:t>2D.40</w:t>
            </w:r>
          </w:p>
        </w:tc>
        <w:tc>
          <w:tcPr>
            <w:tcW w:w="1167" w:type="dxa"/>
          </w:tcPr>
          <w:p w14:paraId="57982450" w14:textId="1C07C93D"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2B5ED4E" w14:textId="46986A6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85D6D74" w14:textId="2A15DE0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33CC3BF" w14:textId="276F74F0" w:rsidR="008C4882" w:rsidRPr="00275DFC" w:rsidRDefault="00275DFC" w:rsidP="008C4882">
            <w:pPr>
              <w:rPr>
                <w:rFonts w:ascii="Arial" w:hAnsi="Arial" w:cs="Arial"/>
                <w:sz w:val="20"/>
                <w:szCs w:val="20"/>
              </w:rPr>
            </w:pPr>
            <w:r w:rsidRPr="00275DFC">
              <w:rPr>
                <w:rFonts w:ascii="Arial" w:hAnsi="Arial" w:cs="Arial"/>
                <w:sz w:val="20"/>
                <w:szCs w:val="20"/>
              </w:rPr>
              <w:t xml:space="preserve">NCUTCD recommends revising 2D.40 to restore the Option statement from the 2009 MUTCD referencing engineering judgment on guide signing at </w:t>
            </w:r>
            <w:proofErr w:type="spellStart"/>
            <w:r w:rsidRPr="00275DFC">
              <w:rPr>
                <w:rFonts w:ascii="Arial" w:hAnsi="Arial" w:cs="Arial"/>
                <w:sz w:val="20"/>
                <w:szCs w:val="20"/>
              </w:rPr>
              <w:t>jughandles</w:t>
            </w:r>
            <w:proofErr w:type="spellEnd"/>
            <w:r w:rsidRPr="00275DFC">
              <w:rPr>
                <w:rFonts w:ascii="Arial" w:hAnsi="Arial" w:cs="Arial"/>
                <w:sz w:val="20"/>
                <w:szCs w:val="20"/>
              </w:rPr>
              <w:t xml:space="preserve">. There are many areas of the US where </w:t>
            </w:r>
            <w:proofErr w:type="spellStart"/>
            <w:r w:rsidRPr="00275DFC">
              <w:rPr>
                <w:rFonts w:ascii="Arial" w:hAnsi="Arial" w:cs="Arial"/>
                <w:sz w:val="20"/>
                <w:szCs w:val="20"/>
              </w:rPr>
              <w:t>jughandles</w:t>
            </w:r>
            <w:proofErr w:type="spellEnd"/>
            <w:r w:rsidRPr="00275DFC">
              <w:rPr>
                <w:rFonts w:ascii="Arial" w:hAnsi="Arial" w:cs="Arial"/>
                <w:sz w:val="20"/>
                <w:szCs w:val="20"/>
              </w:rPr>
              <w:t xml:space="preserve"> are not common, and diagrammatic signs have been used to help educate drivers and help them turn at the correct location.  NCUTCD also recommends correcting the figure reference from 2B-5 to 2B-9.</w:t>
            </w:r>
          </w:p>
        </w:tc>
      </w:tr>
      <w:tr w:rsidR="008C4882" w:rsidRPr="00CE599A" w14:paraId="016A7732" w14:textId="77777777" w:rsidTr="00FF5FD1">
        <w:trPr>
          <w:cantSplit/>
        </w:trPr>
        <w:tc>
          <w:tcPr>
            <w:tcW w:w="1170" w:type="dxa"/>
          </w:tcPr>
          <w:p w14:paraId="477C7AE0" w14:textId="7A0D5B05" w:rsidR="008C4882" w:rsidRPr="00CE599A" w:rsidRDefault="008C4882" w:rsidP="008C4882">
            <w:pPr>
              <w:rPr>
                <w:rFonts w:ascii="Arial" w:hAnsi="Arial" w:cs="Arial"/>
                <w:sz w:val="20"/>
                <w:szCs w:val="20"/>
              </w:rPr>
            </w:pPr>
            <w:r w:rsidRPr="00CE599A">
              <w:rPr>
                <w:rFonts w:ascii="Arial" w:hAnsi="Arial" w:cs="Arial"/>
                <w:sz w:val="20"/>
                <w:szCs w:val="20"/>
              </w:rPr>
              <w:t>2D.41</w:t>
            </w:r>
          </w:p>
        </w:tc>
        <w:tc>
          <w:tcPr>
            <w:tcW w:w="1167" w:type="dxa"/>
          </w:tcPr>
          <w:p w14:paraId="0D82B127" w14:textId="0E8B4C5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69D2ED79" w14:textId="450194BC"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BED1FA9" w14:textId="75CF2F7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2E47508" w14:textId="09412335" w:rsidR="008C4882" w:rsidRPr="00CE599A" w:rsidRDefault="00275DFC" w:rsidP="008C4882">
            <w:pPr>
              <w:rPr>
                <w:rFonts w:ascii="Arial" w:hAnsi="Arial" w:cs="Arial"/>
                <w:bCs/>
                <w:sz w:val="20"/>
                <w:szCs w:val="20"/>
              </w:rPr>
            </w:pPr>
            <w:r w:rsidRPr="00275DFC">
              <w:rPr>
                <w:rFonts w:ascii="Arial" w:hAnsi="Arial" w:cs="Arial"/>
                <w:bCs/>
                <w:sz w:val="20"/>
                <w:szCs w:val="20"/>
              </w:rPr>
              <w:t>NCUTCD generally agrees with 2D.12 as presented in the NPA, with minor editorial revisions.</w:t>
            </w:r>
          </w:p>
        </w:tc>
      </w:tr>
      <w:tr w:rsidR="008C4882" w:rsidRPr="00CE599A" w14:paraId="46DE49DC" w14:textId="77777777" w:rsidTr="00FF5FD1">
        <w:trPr>
          <w:cantSplit/>
        </w:trPr>
        <w:tc>
          <w:tcPr>
            <w:tcW w:w="1170" w:type="dxa"/>
          </w:tcPr>
          <w:p w14:paraId="1E9742AC" w14:textId="0275CC74" w:rsidR="008C4882" w:rsidRPr="00CE599A" w:rsidRDefault="008C4882" w:rsidP="008C4882">
            <w:pPr>
              <w:rPr>
                <w:rFonts w:ascii="Arial" w:hAnsi="Arial" w:cs="Arial"/>
                <w:sz w:val="20"/>
                <w:szCs w:val="20"/>
              </w:rPr>
            </w:pPr>
            <w:r w:rsidRPr="00CE599A">
              <w:rPr>
                <w:rFonts w:ascii="Arial" w:hAnsi="Arial" w:cs="Arial"/>
                <w:sz w:val="20"/>
                <w:szCs w:val="20"/>
              </w:rPr>
              <w:t>Figure 2D-14</w:t>
            </w:r>
          </w:p>
        </w:tc>
        <w:tc>
          <w:tcPr>
            <w:tcW w:w="1167" w:type="dxa"/>
          </w:tcPr>
          <w:p w14:paraId="2BE57263" w14:textId="08D2EED9"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1C6218C2" w14:textId="28E9EA69"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7A5C8751" w14:textId="226E9311"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5796CB9" w14:textId="77777777" w:rsidR="00F741D7" w:rsidRPr="00F741D7" w:rsidRDefault="00F741D7" w:rsidP="00F741D7">
            <w:pPr>
              <w:rPr>
                <w:rFonts w:ascii="Arial" w:hAnsi="Arial" w:cs="Arial"/>
                <w:sz w:val="20"/>
                <w:szCs w:val="20"/>
              </w:rPr>
            </w:pPr>
            <w:r w:rsidRPr="00F741D7">
              <w:rPr>
                <w:rFonts w:ascii="Arial" w:hAnsi="Arial" w:cs="Arial"/>
                <w:sz w:val="20"/>
                <w:szCs w:val="20"/>
              </w:rPr>
              <w:t>NCUTCD generally agrees with Figure 2D-14 as presented in the NPA, but recommends revising as follows:</w:t>
            </w:r>
          </w:p>
          <w:p w14:paraId="7E4CDE7A" w14:textId="3AF649D7" w:rsidR="00F741D7" w:rsidRPr="00F741D7" w:rsidRDefault="00F741D7" w:rsidP="00F741D7">
            <w:pPr>
              <w:pStyle w:val="ListParagraph"/>
              <w:numPr>
                <w:ilvl w:val="0"/>
                <w:numId w:val="4"/>
              </w:numPr>
              <w:rPr>
                <w:rFonts w:ascii="Arial" w:hAnsi="Arial" w:cs="Arial"/>
                <w:sz w:val="20"/>
                <w:szCs w:val="20"/>
              </w:rPr>
            </w:pPr>
            <w:r w:rsidRPr="00F741D7">
              <w:rPr>
                <w:rFonts w:ascii="Arial" w:hAnsi="Arial" w:cs="Arial"/>
                <w:sz w:val="20"/>
                <w:szCs w:val="20"/>
              </w:rPr>
              <w:t>Select either the title in the NPA text or the title in the figures document as the final table title</w:t>
            </w:r>
          </w:p>
          <w:p w14:paraId="4AC01B25" w14:textId="2DBB309B" w:rsidR="008C4882" w:rsidRPr="00F741D7" w:rsidRDefault="00F741D7" w:rsidP="00F741D7">
            <w:pPr>
              <w:pStyle w:val="ListParagraph"/>
              <w:numPr>
                <w:ilvl w:val="0"/>
                <w:numId w:val="4"/>
              </w:numPr>
              <w:rPr>
                <w:rFonts w:ascii="Arial" w:hAnsi="Arial" w:cs="Arial"/>
                <w:sz w:val="20"/>
                <w:szCs w:val="20"/>
              </w:rPr>
            </w:pPr>
            <w:r w:rsidRPr="00F741D7">
              <w:rPr>
                <w:rFonts w:ascii="Arial" w:hAnsi="Arial" w:cs="Arial"/>
                <w:sz w:val="20"/>
                <w:szCs w:val="20"/>
              </w:rPr>
              <w:t>Add leader lines between the U AND LEFT TURN signs and sign locations on sheet 1</w:t>
            </w:r>
          </w:p>
        </w:tc>
      </w:tr>
      <w:tr w:rsidR="008C4882" w:rsidRPr="00CE599A" w14:paraId="1A281D79" w14:textId="77777777" w:rsidTr="00FF5FD1">
        <w:trPr>
          <w:cantSplit/>
        </w:trPr>
        <w:tc>
          <w:tcPr>
            <w:tcW w:w="1170" w:type="dxa"/>
          </w:tcPr>
          <w:p w14:paraId="5F618941" w14:textId="52F96B1B" w:rsidR="008C4882" w:rsidRPr="00CE599A" w:rsidRDefault="008C4882" w:rsidP="008C4882">
            <w:pPr>
              <w:rPr>
                <w:rFonts w:ascii="Arial" w:hAnsi="Arial" w:cs="Arial"/>
                <w:sz w:val="20"/>
                <w:szCs w:val="20"/>
              </w:rPr>
            </w:pPr>
            <w:r w:rsidRPr="00CE599A">
              <w:rPr>
                <w:rFonts w:ascii="Arial" w:hAnsi="Arial" w:cs="Arial"/>
                <w:sz w:val="20"/>
                <w:szCs w:val="20"/>
              </w:rPr>
              <w:t>2D.42</w:t>
            </w:r>
          </w:p>
        </w:tc>
        <w:tc>
          <w:tcPr>
            <w:tcW w:w="1167" w:type="dxa"/>
          </w:tcPr>
          <w:p w14:paraId="3BDB770D" w14:textId="23E40E9B"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6D7311E6" w14:textId="7F11292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2829F22" w14:textId="50656728"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81FE1DA" w14:textId="7ABBF104" w:rsidR="008C4882" w:rsidRPr="00CE599A" w:rsidRDefault="008C4882" w:rsidP="008C4882">
            <w:pPr>
              <w:rPr>
                <w:rFonts w:ascii="Arial" w:hAnsi="Arial" w:cs="Arial"/>
                <w:sz w:val="20"/>
                <w:szCs w:val="20"/>
              </w:rPr>
            </w:pPr>
            <w:r w:rsidRPr="00CE599A">
              <w:rPr>
                <w:rFonts w:ascii="Arial" w:hAnsi="Arial" w:cs="Arial"/>
                <w:sz w:val="20"/>
                <w:szCs w:val="20"/>
              </w:rPr>
              <w:t>NCUTCD agrees with 2D.42 as presented in the NPA.</w:t>
            </w:r>
          </w:p>
        </w:tc>
      </w:tr>
      <w:tr w:rsidR="008C4882" w:rsidRPr="00CE599A" w14:paraId="154E7487" w14:textId="77777777" w:rsidTr="00FF5FD1">
        <w:trPr>
          <w:cantSplit/>
        </w:trPr>
        <w:tc>
          <w:tcPr>
            <w:tcW w:w="1170" w:type="dxa"/>
          </w:tcPr>
          <w:p w14:paraId="5B85D3BA" w14:textId="39B533FB" w:rsidR="008C4882" w:rsidRPr="00CE599A" w:rsidRDefault="008C4882" w:rsidP="008C4882">
            <w:pPr>
              <w:rPr>
                <w:rFonts w:ascii="Arial" w:hAnsi="Arial" w:cs="Arial"/>
                <w:sz w:val="20"/>
                <w:szCs w:val="20"/>
              </w:rPr>
            </w:pPr>
            <w:r w:rsidRPr="00CE599A">
              <w:rPr>
                <w:rFonts w:ascii="Arial" w:hAnsi="Arial" w:cs="Arial"/>
                <w:sz w:val="20"/>
                <w:szCs w:val="20"/>
              </w:rPr>
              <w:t>2D.43</w:t>
            </w:r>
          </w:p>
        </w:tc>
        <w:tc>
          <w:tcPr>
            <w:tcW w:w="1167" w:type="dxa"/>
          </w:tcPr>
          <w:p w14:paraId="381866EE" w14:textId="3956E6A8"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B318291" w14:textId="55DB8F2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556AC0CD" w14:textId="63108A8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B73674A" w14:textId="75205F93" w:rsidR="008C4882" w:rsidRPr="00CE599A" w:rsidRDefault="008C4882" w:rsidP="008C4882">
            <w:pPr>
              <w:rPr>
                <w:rFonts w:ascii="Arial" w:hAnsi="Arial" w:cs="Arial"/>
                <w:sz w:val="20"/>
                <w:szCs w:val="20"/>
              </w:rPr>
            </w:pPr>
            <w:r w:rsidRPr="00CE599A">
              <w:rPr>
                <w:rFonts w:ascii="Arial" w:hAnsi="Arial" w:cs="Arial"/>
                <w:sz w:val="20"/>
                <w:szCs w:val="20"/>
              </w:rPr>
              <w:t>NCUTCD agrees with 2D.43 as presented in the NPA.</w:t>
            </w:r>
          </w:p>
        </w:tc>
      </w:tr>
      <w:tr w:rsidR="008C4882" w:rsidRPr="00CE599A" w14:paraId="72534D31" w14:textId="77777777" w:rsidTr="00FF5FD1">
        <w:trPr>
          <w:cantSplit/>
        </w:trPr>
        <w:tc>
          <w:tcPr>
            <w:tcW w:w="1170" w:type="dxa"/>
          </w:tcPr>
          <w:p w14:paraId="1625DEFB" w14:textId="276A7702" w:rsidR="008C4882" w:rsidRPr="00CE599A" w:rsidRDefault="008C4882" w:rsidP="008C4882">
            <w:pPr>
              <w:rPr>
                <w:rFonts w:ascii="Arial" w:hAnsi="Arial" w:cs="Arial"/>
                <w:sz w:val="20"/>
                <w:szCs w:val="20"/>
              </w:rPr>
            </w:pPr>
            <w:r w:rsidRPr="00CE599A">
              <w:rPr>
                <w:rFonts w:ascii="Arial" w:hAnsi="Arial" w:cs="Arial"/>
                <w:sz w:val="20"/>
                <w:szCs w:val="20"/>
              </w:rPr>
              <w:t>2D.44</w:t>
            </w:r>
          </w:p>
        </w:tc>
        <w:tc>
          <w:tcPr>
            <w:tcW w:w="1167" w:type="dxa"/>
          </w:tcPr>
          <w:p w14:paraId="45E80AAA" w14:textId="371A708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71EE0089" w14:textId="0C5B69B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52976D5F" w14:textId="29F2A12A"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64BBB0B" w14:textId="13F12410" w:rsidR="008C4882" w:rsidRPr="00CE599A" w:rsidRDefault="008C4882" w:rsidP="008C4882">
            <w:pPr>
              <w:rPr>
                <w:rFonts w:ascii="Arial" w:hAnsi="Arial" w:cs="Arial"/>
                <w:sz w:val="20"/>
                <w:szCs w:val="20"/>
              </w:rPr>
            </w:pPr>
            <w:r w:rsidRPr="00CE599A">
              <w:rPr>
                <w:rFonts w:ascii="Arial" w:hAnsi="Arial" w:cs="Arial"/>
                <w:sz w:val="20"/>
                <w:szCs w:val="20"/>
              </w:rPr>
              <w:t>NCUTCD agrees with 2D.44 as presented in the NPA.</w:t>
            </w:r>
          </w:p>
        </w:tc>
      </w:tr>
      <w:tr w:rsidR="008C4882" w:rsidRPr="00CE599A" w14:paraId="3933E08E" w14:textId="77777777" w:rsidTr="00FF5FD1">
        <w:trPr>
          <w:cantSplit/>
        </w:trPr>
        <w:tc>
          <w:tcPr>
            <w:tcW w:w="1170" w:type="dxa"/>
          </w:tcPr>
          <w:p w14:paraId="74D17332" w14:textId="47E82DAB" w:rsidR="008C4882" w:rsidRPr="00CE599A" w:rsidRDefault="008C4882" w:rsidP="008C4882">
            <w:pPr>
              <w:rPr>
                <w:rFonts w:ascii="Arial" w:hAnsi="Arial" w:cs="Arial"/>
                <w:sz w:val="20"/>
                <w:szCs w:val="20"/>
              </w:rPr>
            </w:pPr>
            <w:r w:rsidRPr="00CE599A">
              <w:rPr>
                <w:rFonts w:ascii="Arial" w:hAnsi="Arial" w:cs="Arial"/>
                <w:sz w:val="20"/>
                <w:szCs w:val="20"/>
              </w:rPr>
              <w:t>2D.45</w:t>
            </w:r>
          </w:p>
        </w:tc>
        <w:tc>
          <w:tcPr>
            <w:tcW w:w="1167" w:type="dxa"/>
          </w:tcPr>
          <w:p w14:paraId="223D3F00" w14:textId="1D6712E8"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22A6A3F7" w14:textId="0AE541BD"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DED00B6" w14:textId="74784CF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715ECD8" w14:textId="77777777" w:rsidR="00D7094B" w:rsidRPr="00D7094B" w:rsidRDefault="00D7094B" w:rsidP="00D7094B">
            <w:pPr>
              <w:rPr>
                <w:rFonts w:ascii="Arial" w:hAnsi="Arial" w:cs="Arial"/>
                <w:sz w:val="20"/>
                <w:szCs w:val="20"/>
              </w:rPr>
            </w:pPr>
            <w:r w:rsidRPr="00D7094B">
              <w:rPr>
                <w:rFonts w:ascii="Arial" w:hAnsi="Arial" w:cs="Arial"/>
                <w:sz w:val="20"/>
                <w:szCs w:val="20"/>
              </w:rPr>
              <w:t>NCUTCD generally agrees with 2D.45 as presented in the NPA, but recommends revising as follows:</w:t>
            </w:r>
          </w:p>
          <w:p w14:paraId="6F2BC434" w14:textId="20C0C7A0" w:rsidR="00D7094B" w:rsidRPr="00D7094B" w:rsidRDefault="00D7094B" w:rsidP="00D7094B">
            <w:pPr>
              <w:pStyle w:val="ListParagraph"/>
              <w:numPr>
                <w:ilvl w:val="0"/>
                <w:numId w:val="5"/>
              </w:numPr>
              <w:rPr>
                <w:rFonts w:ascii="Arial" w:hAnsi="Arial" w:cs="Arial"/>
                <w:sz w:val="20"/>
                <w:szCs w:val="20"/>
              </w:rPr>
            </w:pPr>
            <w:r w:rsidRPr="00D7094B">
              <w:rPr>
                <w:rFonts w:ascii="Arial" w:hAnsi="Arial" w:cs="Arial"/>
                <w:sz w:val="20"/>
                <w:szCs w:val="20"/>
              </w:rPr>
              <w:t>Delete text specifying legend heights and replace with references to Table 2D-5)</w:t>
            </w:r>
          </w:p>
          <w:p w14:paraId="7D12DF65" w14:textId="2DBB62A3" w:rsidR="00D7094B" w:rsidRPr="00D7094B" w:rsidRDefault="00D7094B" w:rsidP="00D7094B">
            <w:pPr>
              <w:pStyle w:val="ListParagraph"/>
              <w:numPr>
                <w:ilvl w:val="0"/>
                <w:numId w:val="5"/>
              </w:numPr>
              <w:rPr>
                <w:rFonts w:ascii="Arial" w:hAnsi="Arial" w:cs="Arial"/>
                <w:sz w:val="20"/>
                <w:szCs w:val="20"/>
              </w:rPr>
            </w:pPr>
            <w:r w:rsidRPr="00D7094B">
              <w:rPr>
                <w:rFonts w:ascii="Arial" w:hAnsi="Arial" w:cs="Arial"/>
                <w:sz w:val="20"/>
                <w:szCs w:val="20"/>
              </w:rPr>
              <w:t>Revise the reference for “Section 2A.13” to “Section 2A.08”</w:t>
            </w:r>
          </w:p>
          <w:p w14:paraId="384138FC" w14:textId="5C70CECE" w:rsidR="008C4882" w:rsidRPr="00D7094B" w:rsidRDefault="00D7094B" w:rsidP="00D7094B">
            <w:pPr>
              <w:pStyle w:val="ListParagraph"/>
              <w:numPr>
                <w:ilvl w:val="0"/>
                <w:numId w:val="5"/>
              </w:numPr>
              <w:rPr>
                <w:rFonts w:ascii="Arial" w:hAnsi="Arial" w:cs="Arial"/>
                <w:sz w:val="20"/>
                <w:szCs w:val="20"/>
              </w:rPr>
            </w:pPr>
            <w:r>
              <w:rPr>
                <w:rFonts w:ascii="Arial" w:hAnsi="Arial" w:cs="Arial"/>
                <w:sz w:val="20"/>
                <w:szCs w:val="20"/>
              </w:rPr>
              <w:t>Revise</w:t>
            </w:r>
            <w:r w:rsidRPr="00D7094B">
              <w:rPr>
                <w:rFonts w:ascii="Arial" w:hAnsi="Arial" w:cs="Arial"/>
                <w:sz w:val="20"/>
                <w:szCs w:val="20"/>
              </w:rPr>
              <w:t xml:space="preserve"> Guidance in accordance with NCUTCD recommendation 14A-GMI-02 recommending display of street name signs front and back, as street name signs are also viewed by pedestrians traveling both directions on one-way streets</w:t>
            </w:r>
          </w:p>
        </w:tc>
      </w:tr>
      <w:tr w:rsidR="008C4882" w:rsidRPr="00CE599A" w14:paraId="4F9AFF9C" w14:textId="77777777" w:rsidTr="00FF5FD1">
        <w:trPr>
          <w:cantSplit/>
        </w:trPr>
        <w:tc>
          <w:tcPr>
            <w:tcW w:w="1170" w:type="dxa"/>
          </w:tcPr>
          <w:p w14:paraId="2F2F22C0" w14:textId="6AC35C37" w:rsidR="008C4882" w:rsidRPr="00CE599A" w:rsidRDefault="008C4882" w:rsidP="008C4882">
            <w:pPr>
              <w:rPr>
                <w:rFonts w:ascii="Arial" w:hAnsi="Arial" w:cs="Arial"/>
                <w:sz w:val="20"/>
                <w:szCs w:val="20"/>
              </w:rPr>
            </w:pPr>
            <w:r w:rsidRPr="00CE599A">
              <w:rPr>
                <w:rFonts w:ascii="Arial" w:hAnsi="Arial" w:cs="Arial"/>
                <w:sz w:val="20"/>
                <w:szCs w:val="20"/>
              </w:rPr>
              <w:t>Figure 2D-15</w:t>
            </w:r>
          </w:p>
        </w:tc>
        <w:tc>
          <w:tcPr>
            <w:tcW w:w="1167" w:type="dxa"/>
          </w:tcPr>
          <w:p w14:paraId="3E54E535" w14:textId="34AA2CAD"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9EA0AB4" w14:textId="7F80AF2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2A97D2D" w14:textId="06CB6D5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B33DC66" w14:textId="4B7F7C8C"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2D-15 as presented in the NPA.</w:t>
            </w:r>
          </w:p>
        </w:tc>
      </w:tr>
      <w:tr w:rsidR="008C4882" w:rsidRPr="00CE599A" w14:paraId="73290C9E" w14:textId="77777777" w:rsidTr="00FF5FD1">
        <w:trPr>
          <w:cantSplit/>
        </w:trPr>
        <w:tc>
          <w:tcPr>
            <w:tcW w:w="1170" w:type="dxa"/>
          </w:tcPr>
          <w:p w14:paraId="3532703C" w14:textId="05B6A869" w:rsidR="008C4882" w:rsidRPr="00CE599A" w:rsidRDefault="008C4882" w:rsidP="008C4882">
            <w:pPr>
              <w:rPr>
                <w:rFonts w:ascii="Arial" w:hAnsi="Arial" w:cs="Arial"/>
                <w:sz w:val="20"/>
                <w:szCs w:val="20"/>
              </w:rPr>
            </w:pPr>
            <w:r w:rsidRPr="00CE599A">
              <w:rPr>
                <w:rFonts w:ascii="Arial" w:hAnsi="Arial" w:cs="Arial"/>
                <w:sz w:val="20"/>
                <w:szCs w:val="20"/>
              </w:rPr>
              <w:lastRenderedPageBreak/>
              <w:t>Table 2D-5</w:t>
            </w:r>
          </w:p>
        </w:tc>
        <w:tc>
          <w:tcPr>
            <w:tcW w:w="1167" w:type="dxa"/>
          </w:tcPr>
          <w:p w14:paraId="6B086DDC" w14:textId="5B8D1E9F"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3D6B7660" w14:textId="5919B7AC"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EA9189D" w14:textId="58B2835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82233C7" w14:textId="5FB3390A" w:rsidR="008C4882" w:rsidRPr="00CE599A" w:rsidRDefault="00D7094B" w:rsidP="008C4882">
            <w:pPr>
              <w:rPr>
                <w:rFonts w:ascii="Arial" w:hAnsi="Arial" w:cs="Arial"/>
                <w:sz w:val="20"/>
                <w:szCs w:val="20"/>
              </w:rPr>
            </w:pPr>
            <w:r w:rsidRPr="00D7094B">
              <w:rPr>
                <w:rFonts w:ascii="Arial" w:hAnsi="Arial" w:cs="Arial"/>
                <w:sz w:val="20"/>
                <w:szCs w:val="20"/>
              </w:rPr>
              <w:t>NCUTCD generally agrees with Table 2D-5 as presented in the NPA, but recommends deleting all columns and references to lower case letter height, as this has been misinterpreted as specifying a smaller ascender height for lower case text, not as a loop height (see comments on Section 2D.05)</w:t>
            </w:r>
          </w:p>
        </w:tc>
      </w:tr>
      <w:tr w:rsidR="008C4882" w:rsidRPr="00CE599A" w14:paraId="25500D9E" w14:textId="77777777" w:rsidTr="00FF5FD1">
        <w:trPr>
          <w:cantSplit/>
        </w:trPr>
        <w:tc>
          <w:tcPr>
            <w:tcW w:w="1170" w:type="dxa"/>
          </w:tcPr>
          <w:p w14:paraId="744523A4" w14:textId="273D41D3" w:rsidR="008C4882" w:rsidRPr="00CE599A" w:rsidRDefault="008C4882" w:rsidP="008C4882">
            <w:pPr>
              <w:rPr>
                <w:rFonts w:ascii="Arial" w:hAnsi="Arial" w:cs="Arial"/>
                <w:sz w:val="20"/>
                <w:szCs w:val="20"/>
              </w:rPr>
            </w:pPr>
            <w:r w:rsidRPr="00CE599A">
              <w:rPr>
                <w:rFonts w:ascii="Arial" w:hAnsi="Arial" w:cs="Arial"/>
                <w:sz w:val="20"/>
                <w:szCs w:val="20"/>
              </w:rPr>
              <w:t>2D.46</w:t>
            </w:r>
          </w:p>
        </w:tc>
        <w:tc>
          <w:tcPr>
            <w:tcW w:w="1167" w:type="dxa"/>
          </w:tcPr>
          <w:p w14:paraId="1B754A8F" w14:textId="08FBC6C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7DBA0CB6" w14:textId="6BE7C92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586AE3B" w14:textId="71F706A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AD7010B" w14:textId="7A98A6DB" w:rsidR="008C4882" w:rsidRPr="00CE599A" w:rsidRDefault="005D60D5" w:rsidP="008C4882">
            <w:pPr>
              <w:rPr>
                <w:rFonts w:ascii="Arial" w:hAnsi="Arial" w:cs="Arial"/>
                <w:bCs/>
                <w:sz w:val="20"/>
                <w:szCs w:val="20"/>
              </w:rPr>
            </w:pPr>
            <w:r w:rsidRPr="005D60D5">
              <w:rPr>
                <w:rFonts w:ascii="Arial" w:hAnsi="Arial" w:cs="Arial"/>
                <w:bCs/>
                <w:sz w:val="20"/>
                <w:szCs w:val="20"/>
              </w:rPr>
              <w:t>NCUTCD generally agrees with 2D.46 as presented in the NPA, but recommends a minor editorial revision and revising the term “circular intersection” to “roundabout” to clarify appropriate use of curved-stem arrows</w:t>
            </w:r>
            <w:r>
              <w:rPr>
                <w:rFonts w:ascii="Arial" w:hAnsi="Arial" w:cs="Arial"/>
                <w:bCs/>
                <w:sz w:val="20"/>
                <w:szCs w:val="20"/>
              </w:rPr>
              <w:t>.</w:t>
            </w:r>
          </w:p>
        </w:tc>
      </w:tr>
      <w:tr w:rsidR="008C4882" w:rsidRPr="00CE599A" w14:paraId="184ADD51" w14:textId="77777777" w:rsidTr="00FF5FD1">
        <w:trPr>
          <w:cantSplit/>
        </w:trPr>
        <w:tc>
          <w:tcPr>
            <w:tcW w:w="1170" w:type="dxa"/>
          </w:tcPr>
          <w:p w14:paraId="11791CB3" w14:textId="6322EAAC" w:rsidR="008C4882" w:rsidRPr="00CE599A" w:rsidRDefault="008C4882" w:rsidP="008C4882">
            <w:pPr>
              <w:rPr>
                <w:rFonts w:ascii="Arial" w:hAnsi="Arial" w:cs="Arial"/>
                <w:sz w:val="20"/>
                <w:szCs w:val="20"/>
              </w:rPr>
            </w:pPr>
            <w:r w:rsidRPr="00CE599A">
              <w:rPr>
                <w:rFonts w:ascii="Arial" w:hAnsi="Arial" w:cs="Arial"/>
                <w:sz w:val="20"/>
                <w:szCs w:val="20"/>
              </w:rPr>
              <w:t>2D.47</w:t>
            </w:r>
          </w:p>
        </w:tc>
        <w:tc>
          <w:tcPr>
            <w:tcW w:w="1167" w:type="dxa"/>
          </w:tcPr>
          <w:p w14:paraId="6E4EBE57" w14:textId="0BE1963C"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DE8FC1A" w14:textId="684D392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4E1C4BE2" w14:textId="7596D10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E980028" w14:textId="681B4FAA" w:rsidR="008C4882" w:rsidRPr="00CE599A" w:rsidRDefault="008C4882" w:rsidP="008C4882">
            <w:pPr>
              <w:rPr>
                <w:rFonts w:ascii="Arial" w:hAnsi="Arial" w:cs="Arial"/>
                <w:sz w:val="20"/>
                <w:szCs w:val="20"/>
              </w:rPr>
            </w:pPr>
            <w:r w:rsidRPr="00CE599A">
              <w:rPr>
                <w:rFonts w:ascii="Arial" w:hAnsi="Arial" w:cs="Arial"/>
                <w:sz w:val="20"/>
                <w:szCs w:val="20"/>
              </w:rPr>
              <w:t>NCUTCD agrees with 2D.47 as presented in the NPA.</w:t>
            </w:r>
          </w:p>
        </w:tc>
      </w:tr>
      <w:tr w:rsidR="008C4882" w:rsidRPr="00CE599A" w14:paraId="32A070EF" w14:textId="77777777" w:rsidTr="00FF5FD1">
        <w:trPr>
          <w:cantSplit/>
        </w:trPr>
        <w:tc>
          <w:tcPr>
            <w:tcW w:w="1170" w:type="dxa"/>
          </w:tcPr>
          <w:p w14:paraId="32D43A65" w14:textId="0E7819F5" w:rsidR="008C4882" w:rsidRPr="00CE599A" w:rsidRDefault="008C4882" w:rsidP="008C4882">
            <w:pPr>
              <w:rPr>
                <w:rFonts w:ascii="Arial" w:hAnsi="Arial" w:cs="Arial"/>
                <w:sz w:val="20"/>
                <w:szCs w:val="20"/>
              </w:rPr>
            </w:pPr>
            <w:r w:rsidRPr="00CE599A">
              <w:rPr>
                <w:rFonts w:ascii="Arial" w:hAnsi="Arial" w:cs="Arial"/>
                <w:sz w:val="20"/>
                <w:szCs w:val="20"/>
              </w:rPr>
              <w:t>2D.48</w:t>
            </w:r>
          </w:p>
        </w:tc>
        <w:tc>
          <w:tcPr>
            <w:tcW w:w="1167" w:type="dxa"/>
          </w:tcPr>
          <w:p w14:paraId="12D0F25C" w14:textId="37C8403D"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74EE79B4" w14:textId="18553FC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BBFD6C3" w14:textId="197D549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99EF818" w14:textId="7EAF2D70" w:rsidR="008C4882" w:rsidRPr="00CE599A" w:rsidRDefault="008C4882" w:rsidP="008C4882">
            <w:pPr>
              <w:rPr>
                <w:rFonts w:ascii="Arial" w:hAnsi="Arial" w:cs="Arial"/>
                <w:sz w:val="20"/>
                <w:szCs w:val="20"/>
              </w:rPr>
            </w:pPr>
            <w:r w:rsidRPr="00CE599A">
              <w:rPr>
                <w:rFonts w:ascii="Arial" w:hAnsi="Arial" w:cs="Arial"/>
                <w:sz w:val="20"/>
                <w:szCs w:val="20"/>
              </w:rPr>
              <w:t>NCUTCD agrees with 2D.48 as presented in the NPA.</w:t>
            </w:r>
          </w:p>
        </w:tc>
      </w:tr>
      <w:tr w:rsidR="008C4882" w:rsidRPr="00CE599A" w14:paraId="1A08FBF3" w14:textId="77777777" w:rsidTr="00FF5FD1">
        <w:trPr>
          <w:cantSplit/>
        </w:trPr>
        <w:tc>
          <w:tcPr>
            <w:tcW w:w="1170" w:type="dxa"/>
          </w:tcPr>
          <w:p w14:paraId="2F15388D" w14:textId="0B6A8F50" w:rsidR="008C4882" w:rsidRPr="00CE599A" w:rsidRDefault="008C4882" w:rsidP="008C4882">
            <w:pPr>
              <w:rPr>
                <w:rFonts w:ascii="Arial" w:hAnsi="Arial" w:cs="Arial"/>
                <w:sz w:val="20"/>
                <w:szCs w:val="20"/>
              </w:rPr>
            </w:pPr>
            <w:r w:rsidRPr="00CE599A">
              <w:rPr>
                <w:rFonts w:ascii="Arial" w:hAnsi="Arial" w:cs="Arial"/>
                <w:sz w:val="20"/>
                <w:szCs w:val="20"/>
              </w:rPr>
              <w:t>2D.49</w:t>
            </w:r>
          </w:p>
        </w:tc>
        <w:tc>
          <w:tcPr>
            <w:tcW w:w="1167" w:type="dxa"/>
          </w:tcPr>
          <w:p w14:paraId="5C2748F2" w14:textId="00211A71"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6A264FF1" w14:textId="2BB360B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AD5BD32" w14:textId="72FF843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4C80F8A" w14:textId="12CE5DBC" w:rsidR="008C4882" w:rsidRPr="00CE599A" w:rsidRDefault="008C4882" w:rsidP="008C4882">
            <w:pPr>
              <w:rPr>
                <w:rFonts w:ascii="Arial" w:hAnsi="Arial" w:cs="Arial"/>
                <w:sz w:val="20"/>
                <w:szCs w:val="20"/>
              </w:rPr>
            </w:pPr>
            <w:r w:rsidRPr="00CE599A">
              <w:rPr>
                <w:rFonts w:ascii="Arial" w:hAnsi="Arial" w:cs="Arial"/>
                <w:sz w:val="20"/>
                <w:szCs w:val="20"/>
              </w:rPr>
              <w:t>NCUTCD recommends renaming of the text of Transposed Alignment Crossroads for a Diamond Interchange to the text of Diverging Diamond Interchange to match the text in Section 2D.37 and the proposed text in Part 3.</w:t>
            </w:r>
          </w:p>
        </w:tc>
      </w:tr>
      <w:tr w:rsidR="008C4882" w:rsidRPr="00CE599A" w14:paraId="392D9420" w14:textId="77777777" w:rsidTr="00FF5FD1">
        <w:trPr>
          <w:cantSplit/>
        </w:trPr>
        <w:tc>
          <w:tcPr>
            <w:tcW w:w="1170" w:type="dxa"/>
          </w:tcPr>
          <w:p w14:paraId="6E8518E0" w14:textId="0552C0E5" w:rsidR="008C4882" w:rsidRPr="00CE599A" w:rsidRDefault="008C4882" w:rsidP="008C4882">
            <w:pPr>
              <w:rPr>
                <w:rFonts w:ascii="Arial" w:hAnsi="Arial" w:cs="Arial"/>
                <w:sz w:val="20"/>
                <w:szCs w:val="20"/>
              </w:rPr>
            </w:pPr>
            <w:r w:rsidRPr="00CE599A">
              <w:rPr>
                <w:rFonts w:ascii="Arial" w:hAnsi="Arial" w:cs="Arial"/>
                <w:sz w:val="20"/>
                <w:szCs w:val="20"/>
              </w:rPr>
              <w:t>Figure 2D-16</w:t>
            </w:r>
          </w:p>
        </w:tc>
        <w:tc>
          <w:tcPr>
            <w:tcW w:w="1167" w:type="dxa"/>
          </w:tcPr>
          <w:p w14:paraId="03184217" w14:textId="19DA634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4AC1172" w14:textId="6A2070B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82618E2" w14:textId="79900978"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1895781C" w14:textId="791BED5A"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2D-16 as presented in the NPA.</w:t>
            </w:r>
          </w:p>
        </w:tc>
      </w:tr>
      <w:tr w:rsidR="008C4882" w:rsidRPr="00CE599A" w14:paraId="7AC94FB4" w14:textId="77777777" w:rsidTr="00FF5FD1">
        <w:trPr>
          <w:cantSplit/>
        </w:trPr>
        <w:tc>
          <w:tcPr>
            <w:tcW w:w="1170" w:type="dxa"/>
          </w:tcPr>
          <w:p w14:paraId="528334DF" w14:textId="0A9DEEA5" w:rsidR="008C4882" w:rsidRPr="00CE599A" w:rsidRDefault="008C4882" w:rsidP="008C4882">
            <w:pPr>
              <w:rPr>
                <w:rFonts w:ascii="Arial" w:hAnsi="Arial" w:cs="Arial"/>
                <w:sz w:val="20"/>
                <w:szCs w:val="20"/>
              </w:rPr>
            </w:pPr>
            <w:r w:rsidRPr="00CE599A">
              <w:rPr>
                <w:rFonts w:ascii="Arial" w:hAnsi="Arial" w:cs="Arial"/>
                <w:sz w:val="20"/>
                <w:szCs w:val="20"/>
              </w:rPr>
              <w:t>Figure 2D-17</w:t>
            </w:r>
          </w:p>
        </w:tc>
        <w:tc>
          <w:tcPr>
            <w:tcW w:w="1167" w:type="dxa"/>
          </w:tcPr>
          <w:p w14:paraId="0E90416E" w14:textId="739F0F76"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F2ADA73" w14:textId="3821289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A0B3E2D" w14:textId="6B1EF31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C5D1A5D" w14:textId="098A6FAA"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2D-17 as presented in the NPA.</w:t>
            </w:r>
          </w:p>
        </w:tc>
      </w:tr>
      <w:tr w:rsidR="008C4882" w:rsidRPr="00CE599A" w14:paraId="6D6B573B" w14:textId="77777777" w:rsidTr="00FF5FD1">
        <w:trPr>
          <w:cantSplit/>
        </w:trPr>
        <w:tc>
          <w:tcPr>
            <w:tcW w:w="1170" w:type="dxa"/>
          </w:tcPr>
          <w:p w14:paraId="7773D408" w14:textId="1E07BCD6" w:rsidR="008C4882" w:rsidRPr="00CE599A" w:rsidRDefault="008C4882" w:rsidP="008C4882">
            <w:pPr>
              <w:rPr>
                <w:rFonts w:ascii="Arial" w:hAnsi="Arial" w:cs="Arial"/>
                <w:sz w:val="20"/>
                <w:szCs w:val="20"/>
              </w:rPr>
            </w:pPr>
            <w:r w:rsidRPr="00CE599A">
              <w:rPr>
                <w:rFonts w:ascii="Arial" w:hAnsi="Arial" w:cs="Arial"/>
                <w:sz w:val="20"/>
                <w:szCs w:val="20"/>
              </w:rPr>
              <w:t>Figure 2D-18</w:t>
            </w:r>
          </w:p>
        </w:tc>
        <w:tc>
          <w:tcPr>
            <w:tcW w:w="1167" w:type="dxa"/>
          </w:tcPr>
          <w:p w14:paraId="319A41C0" w14:textId="3E811390"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05D92C8F" w14:textId="78D8453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78F1A33" w14:textId="1BE3466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7ED15D5" w14:textId="2DC5DF65"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2D-18 as presented in the NPA.</w:t>
            </w:r>
          </w:p>
        </w:tc>
      </w:tr>
      <w:tr w:rsidR="008C4882" w:rsidRPr="00CE599A" w14:paraId="4A42C761" w14:textId="77777777" w:rsidTr="00FF5FD1">
        <w:trPr>
          <w:cantSplit/>
        </w:trPr>
        <w:tc>
          <w:tcPr>
            <w:tcW w:w="1170" w:type="dxa"/>
          </w:tcPr>
          <w:p w14:paraId="781F4124" w14:textId="11E30666" w:rsidR="008C4882" w:rsidRPr="00CE599A" w:rsidRDefault="008C4882" w:rsidP="008C4882">
            <w:pPr>
              <w:rPr>
                <w:rFonts w:ascii="Arial" w:hAnsi="Arial" w:cs="Arial"/>
                <w:sz w:val="20"/>
                <w:szCs w:val="20"/>
              </w:rPr>
            </w:pPr>
            <w:r w:rsidRPr="00CE599A">
              <w:rPr>
                <w:rFonts w:ascii="Arial" w:hAnsi="Arial" w:cs="Arial"/>
                <w:sz w:val="20"/>
                <w:szCs w:val="20"/>
              </w:rPr>
              <w:t>Figure 2D-19</w:t>
            </w:r>
          </w:p>
        </w:tc>
        <w:tc>
          <w:tcPr>
            <w:tcW w:w="1167" w:type="dxa"/>
          </w:tcPr>
          <w:p w14:paraId="6212F76A" w14:textId="5E622D6F"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CAA88BC" w14:textId="5BE1D80D"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054C4501" w14:textId="6D479F6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9FFED63" w14:textId="75CAB6F4" w:rsidR="008C4882" w:rsidRPr="00CE599A" w:rsidRDefault="00A65DDD" w:rsidP="008C4882">
            <w:pPr>
              <w:rPr>
                <w:rFonts w:ascii="Arial" w:hAnsi="Arial" w:cs="Arial"/>
                <w:sz w:val="20"/>
                <w:szCs w:val="20"/>
              </w:rPr>
            </w:pPr>
            <w:r w:rsidRPr="00A65DDD">
              <w:rPr>
                <w:rFonts w:ascii="Arial" w:hAnsi="Arial" w:cs="Arial"/>
                <w:bCs/>
                <w:sz w:val="20"/>
                <w:szCs w:val="20"/>
              </w:rPr>
              <w:t>NCUTCD generally agrees with Figure 2D-19 as presented in the NPA, but recommends increasing the size of the FREEWAY ENTRANCE signs on the figure to be more readable.  NCUTCD also recommends adding a note on Figure 2D-19 that reads: “Regulatory signs to deter wrong way movements are not shown.  See Figure 2B-19 for examples of regulatory signing and pavement markings to deter wrong-way entry” to address measures deterring wrong-way movements at partial cloverleaf interchanges because the entrance and exit ramps are adjacent.</w:t>
            </w:r>
          </w:p>
        </w:tc>
      </w:tr>
      <w:tr w:rsidR="008C4882" w:rsidRPr="00CE599A" w14:paraId="0ADD5A36" w14:textId="77777777" w:rsidTr="00FF5FD1">
        <w:trPr>
          <w:cantSplit/>
        </w:trPr>
        <w:tc>
          <w:tcPr>
            <w:tcW w:w="1170" w:type="dxa"/>
          </w:tcPr>
          <w:p w14:paraId="0AF4BBDE" w14:textId="45B9FE8C" w:rsidR="008C4882" w:rsidRPr="00CE599A" w:rsidRDefault="008C4882" w:rsidP="008C4882">
            <w:pPr>
              <w:rPr>
                <w:rFonts w:ascii="Arial" w:hAnsi="Arial" w:cs="Arial"/>
                <w:sz w:val="20"/>
                <w:szCs w:val="20"/>
              </w:rPr>
            </w:pPr>
            <w:r w:rsidRPr="00CE599A">
              <w:rPr>
                <w:rFonts w:ascii="Arial" w:hAnsi="Arial" w:cs="Arial"/>
                <w:sz w:val="20"/>
                <w:szCs w:val="20"/>
              </w:rPr>
              <w:t>Figure 2D-20</w:t>
            </w:r>
          </w:p>
        </w:tc>
        <w:tc>
          <w:tcPr>
            <w:tcW w:w="1167" w:type="dxa"/>
          </w:tcPr>
          <w:p w14:paraId="69D7F057" w14:textId="4ACD0047"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C2C1864" w14:textId="3590831A"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2B0858C" w14:textId="0402581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900482B" w14:textId="4A6B0E9E" w:rsidR="008C4882" w:rsidRPr="00CE599A" w:rsidRDefault="008C4882" w:rsidP="008C4882">
            <w:pPr>
              <w:rPr>
                <w:rFonts w:ascii="Arial" w:hAnsi="Arial" w:cs="Arial"/>
                <w:bCs/>
                <w:sz w:val="20"/>
                <w:szCs w:val="20"/>
              </w:rPr>
            </w:pPr>
            <w:r w:rsidRPr="00CE599A">
              <w:rPr>
                <w:rFonts w:ascii="Arial" w:hAnsi="Arial" w:cs="Arial"/>
                <w:sz w:val="20"/>
                <w:szCs w:val="20"/>
              </w:rPr>
              <w:t>NCUTCD agrees with Figure 2D-20 as presented in the NPA.</w:t>
            </w:r>
          </w:p>
        </w:tc>
      </w:tr>
      <w:tr w:rsidR="008C4882" w:rsidRPr="00CE599A" w14:paraId="62A609AC" w14:textId="77777777" w:rsidTr="00FF5FD1">
        <w:trPr>
          <w:cantSplit/>
        </w:trPr>
        <w:tc>
          <w:tcPr>
            <w:tcW w:w="1170" w:type="dxa"/>
          </w:tcPr>
          <w:p w14:paraId="309FEFC7" w14:textId="28548532" w:rsidR="008C4882" w:rsidRPr="00CE599A" w:rsidRDefault="008C4882" w:rsidP="008C4882">
            <w:pPr>
              <w:rPr>
                <w:rFonts w:ascii="Arial" w:hAnsi="Arial" w:cs="Arial"/>
                <w:sz w:val="20"/>
                <w:szCs w:val="20"/>
              </w:rPr>
            </w:pPr>
            <w:r w:rsidRPr="00CE599A">
              <w:rPr>
                <w:rFonts w:ascii="Arial" w:hAnsi="Arial" w:cs="Arial"/>
                <w:sz w:val="20"/>
                <w:szCs w:val="20"/>
              </w:rPr>
              <w:t>Figure 2D-21</w:t>
            </w:r>
          </w:p>
        </w:tc>
        <w:tc>
          <w:tcPr>
            <w:tcW w:w="1167" w:type="dxa"/>
          </w:tcPr>
          <w:p w14:paraId="02BE6729" w14:textId="71E082B5"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5D883668" w14:textId="4D03575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D9C1B8F" w14:textId="143A423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8DA1D61" w14:textId="1B2437A4" w:rsidR="008C4882" w:rsidRPr="00CE599A" w:rsidRDefault="00A65DDD" w:rsidP="008C4882">
            <w:pPr>
              <w:rPr>
                <w:rFonts w:ascii="Arial" w:hAnsi="Arial" w:cs="Arial"/>
                <w:sz w:val="20"/>
                <w:szCs w:val="20"/>
              </w:rPr>
            </w:pPr>
            <w:r w:rsidRPr="00A65DDD">
              <w:rPr>
                <w:rFonts w:ascii="Arial" w:hAnsi="Arial" w:cs="Arial"/>
                <w:sz w:val="20"/>
                <w:szCs w:val="20"/>
              </w:rPr>
              <w:t>NCUTCD generally agrees with Figure 2D-21 as presented in the NPA, but recommends switching the cardinal directions on the guide sign at the ramp, as it is inconsistent with the other signs.</w:t>
            </w:r>
          </w:p>
        </w:tc>
      </w:tr>
      <w:tr w:rsidR="008C4882" w:rsidRPr="00CE599A" w14:paraId="55D53C9A" w14:textId="77777777" w:rsidTr="00FF5FD1">
        <w:trPr>
          <w:cantSplit/>
        </w:trPr>
        <w:tc>
          <w:tcPr>
            <w:tcW w:w="1170" w:type="dxa"/>
          </w:tcPr>
          <w:p w14:paraId="5BE97696" w14:textId="3FA71A4B" w:rsidR="008C4882" w:rsidRPr="00CE599A" w:rsidRDefault="008C4882" w:rsidP="008C4882">
            <w:pPr>
              <w:rPr>
                <w:rFonts w:ascii="Arial" w:hAnsi="Arial" w:cs="Arial"/>
                <w:sz w:val="20"/>
                <w:szCs w:val="20"/>
              </w:rPr>
            </w:pPr>
            <w:r w:rsidRPr="00CE599A">
              <w:rPr>
                <w:rFonts w:ascii="Arial" w:hAnsi="Arial" w:cs="Arial"/>
                <w:sz w:val="20"/>
                <w:szCs w:val="20"/>
              </w:rPr>
              <w:t>Figure 2D-22</w:t>
            </w:r>
          </w:p>
        </w:tc>
        <w:tc>
          <w:tcPr>
            <w:tcW w:w="1167" w:type="dxa"/>
          </w:tcPr>
          <w:p w14:paraId="267744EA" w14:textId="6669B38B"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489B987A" w14:textId="0019C88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4356780" w14:textId="782E54C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7FC8736" w14:textId="77777777" w:rsidR="008E32CA" w:rsidRPr="008E32CA" w:rsidRDefault="008E32CA" w:rsidP="008E32CA">
            <w:pPr>
              <w:rPr>
                <w:rFonts w:ascii="Arial" w:hAnsi="Arial" w:cs="Arial"/>
                <w:bCs/>
                <w:sz w:val="20"/>
                <w:szCs w:val="20"/>
              </w:rPr>
            </w:pPr>
            <w:r w:rsidRPr="008E32CA">
              <w:rPr>
                <w:rFonts w:ascii="Arial" w:hAnsi="Arial" w:cs="Arial"/>
                <w:bCs/>
                <w:sz w:val="20"/>
                <w:szCs w:val="20"/>
              </w:rPr>
              <w:t>NCUTCD generally agrees with Figure 2D-22 as presented in the NPA, but recommends revising as follows:</w:t>
            </w:r>
          </w:p>
          <w:p w14:paraId="1DDBE0CF" w14:textId="61BC8415" w:rsidR="008E32CA" w:rsidRPr="008E32CA" w:rsidRDefault="008E32CA" w:rsidP="008E32CA">
            <w:pPr>
              <w:pStyle w:val="ListParagraph"/>
              <w:numPr>
                <w:ilvl w:val="0"/>
                <w:numId w:val="7"/>
              </w:numPr>
              <w:rPr>
                <w:rFonts w:ascii="Arial" w:hAnsi="Arial" w:cs="Arial"/>
                <w:bCs/>
                <w:sz w:val="20"/>
                <w:szCs w:val="20"/>
              </w:rPr>
            </w:pPr>
            <w:r w:rsidRPr="008E32CA">
              <w:rPr>
                <w:rFonts w:ascii="Arial" w:hAnsi="Arial" w:cs="Arial"/>
                <w:bCs/>
                <w:sz w:val="20"/>
                <w:szCs w:val="20"/>
              </w:rPr>
              <w:t>Revise the title from “Guide Signs for Transposed-Alignment Crossroads at a Diamond Interchange” to the commonly-used “Guide Signs for a Diverging Diamond Interchange”</w:t>
            </w:r>
          </w:p>
          <w:p w14:paraId="5FD0518B" w14:textId="1823F711" w:rsidR="008C4882" w:rsidRPr="008E32CA" w:rsidRDefault="008E32CA" w:rsidP="008E32CA">
            <w:pPr>
              <w:pStyle w:val="ListParagraph"/>
              <w:numPr>
                <w:ilvl w:val="0"/>
                <w:numId w:val="7"/>
              </w:numPr>
              <w:rPr>
                <w:rFonts w:ascii="Arial" w:hAnsi="Arial" w:cs="Arial"/>
                <w:bCs/>
                <w:sz w:val="20"/>
                <w:szCs w:val="20"/>
              </w:rPr>
            </w:pPr>
            <w:r w:rsidRPr="008E32CA">
              <w:rPr>
                <w:rFonts w:ascii="Arial" w:hAnsi="Arial" w:cs="Arial"/>
                <w:bCs/>
                <w:sz w:val="20"/>
                <w:szCs w:val="20"/>
              </w:rPr>
              <w:t>Add “TO” as sign legend adjacent to or above the NORTH cardinal direction on both of the dual diagonal arrow advanced direction guide signs to be consistent with the route assembly</w:t>
            </w:r>
          </w:p>
        </w:tc>
      </w:tr>
      <w:tr w:rsidR="008C4882" w:rsidRPr="00CE599A" w14:paraId="3F71A76E" w14:textId="77777777" w:rsidTr="00FF5FD1">
        <w:trPr>
          <w:cantSplit/>
        </w:trPr>
        <w:tc>
          <w:tcPr>
            <w:tcW w:w="1170" w:type="dxa"/>
          </w:tcPr>
          <w:p w14:paraId="47406C0E" w14:textId="38DD2538" w:rsidR="008C4882" w:rsidRPr="00CE599A" w:rsidRDefault="008C4882" w:rsidP="008C4882">
            <w:pPr>
              <w:rPr>
                <w:rFonts w:ascii="Arial" w:hAnsi="Arial" w:cs="Arial"/>
                <w:sz w:val="20"/>
                <w:szCs w:val="20"/>
              </w:rPr>
            </w:pPr>
            <w:r w:rsidRPr="00CE599A">
              <w:rPr>
                <w:rFonts w:ascii="Arial" w:hAnsi="Arial" w:cs="Arial"/>
                <w:sz w:val="20"/>
                <w:szCs w:val="20"/>
              </w:rPr>
              <w:t>Figure 2D-23</w:t>
            </w:r>
          </w:p>
        </w:tc>
        <w:tc>
          <w:tcPr>
            <w:tcW w:w="1167" w:type="dxa"/>
          </w:tcPr>
          <w:p w14:paraId="0D7E25A3" w14:textId="0F224D59"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3B769BCE" w14:textId="31FE1906"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0441383" w14:textId="7C12DA8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5052B09" w14:textId="77777777" w:rsidR="008E32CA" w:rsidRPr="008E32CA" w:rsidRDefault="008E32CA" w:rsidP="008E32CA">
            <w:pPr>
              <w:rPr>
                <w:rFonts w:ascii="Arial" w:hAnsi="Arial" w:cs="Arial"/>
                <w:bCs/>
                <w:sz w:val="20"/>
                <w:szCs w:val="20"/>
              </w:rPr>
            </w:pPr>
            <w:r w:rsidRPr="008E32CA">
              <w:rPr>
                <w:rFonts w:ascii="Arial" w:hAnsi="Arial" w:cs="Arial"/>
                <w:bCs/>
                <w:sz w:val="20"/>
                <w:szCs w:val="20"/>
              </w:rPr>
              <w:t>NCUTCD generally agrees with Figure 2D-23 as presented in the NPA, but recommends revising as follows:</w:t>
            </w:r>
          </w:p>
          <w:p w14:paraId="1250F57A" w14:textId="67AF15DA" w:rsidR="008E32CA" w:rsidRPr="008E32CA" w:rsidRDefault="008E32CA" w:rsidP="008E32CA">
            <w:pPr>
              <w:pStyle w:val="ListParagraph"/>
              <w:numPr>
                <w:ilvl w:val="0"/>
                <w:numId w:val="8"/>
              </w:numPr>
              <w:rPr>
                <w:rFonts w:ascii="Arial" w:hAnsi="Arial" w:cs="Arial"/>
                <w:bCs/>
                <w:sz w:val="20"/>
                <w:szCs w:val="20"/>
              </w:rPr>
            </w:pPr>
            <w:r w:rsidRPr="008E32CA">
              <w:rPr>
                <w:rFonts w:ascii="Arial" w:hAnsi="Arial" w:cs="Arial"/>
                <w:bCs/>
                <w:sz w:val="20"/>
                <w:szCs w:val="20"/>
              </w:rPr>
              <w:t>Revise the first part of the title from “Example of Traffic Control Devices” to “Guide Signs” to convey that guide signs are the primary focus of this figure</w:t>
            </w:r>
          </w:p>
          <w:p w14:paraId="46E610CD" w14:textId="42E631BA" w:rsidR="008E32CA" w:rsidRPr="008E32CA" w:rsidRDefault="008E32CA" w:rsidP="008E32CA">
            <w:pPr>
              <w:pStyle w:val="ListParagraph"/>
              <w:numPr>
                <w:ilvl w:val="0"/>
                <w:numId w:val="8"/>
              </w:numPr>
              <w:rPr>
                <w:rFonts w:ascii="Arial" w:hAnsi="Arial" w:cs="Arial"/>
                <w:bCs/>
                <w:sz w:val="20"/>
                <w:szCs w:val="20"/>
              </w:rPr>
            </w:pPr>
            <w:r w:rsidRPr="008E32CA">
              <w:rPr>
                <w:rFonts w:ascii="Arial" w:hAnsi="Arial" w:cs="Arial"/>
                <w:bCs/>
                <w:sz w:val="20"/>
                <w:szCs w:val="20"/>
              </w:rPr>
              <w:t>Delete all traffic signal items</w:t>
            </w:r>
          </w:p>
          <w:p w14:paraId="5EAD7516" w14:textId="140E7BC6" w:rsidR="008C4882" w:rsidRPr="008E32CA" w:rsidRDefault="008E32CA" w:rsidP="008E32CA">
            <w:pPr>
              <w:pStyle w:val="ListParagraph"/>
              <w:numPr>
                <w:ilvl w:val="0"/>
                <w:numId w:val="8"/>
              </w:numPr>
              <w:rPr>
                <w:rFonts w:ascii="Arial" w:hAnsi="Arial" w:cs="Arial"/>
                <w:bCs/>
                <w:sz w:val="20"/>
                <w:szCs w:val="20"/>
              </w:rPr>
            </w:pPr>
            <w:r w:rsidRPr="008E32CA">
              <w:rPr>
                <w:rFonts w:ascii="Arial" w:hAnsi="Arial" w:cs="Arial"/>
                <w:bCs/>
                <w:sz w:val="20"/>
                <w:szCs w:val="20"/>
              </w:rPr>
              <w:t>Rotate the pavement marking arrow on the top right of the detail 90 degrees clockwise to show the correct orientation</w:t>
            </w:r>
          </w:p>
        </w:tc>
      </w:tr>
      <w:tr w:rsidR="008C4882" w:rsidRPr="00CE599A" w14:paraId="5E308C4E" w14:textId="77777777" w:rsidTr="00FF5FD1">
        <w:trPr>
          <w:cantSplit/>
        </w:trPr>
        <w:tc>
          <w:tcPr>
            <w:tcW w:w="1170" w:type="dxa"/>
          </w:tcPr>
          <w:p w14:paraId="76D2BD29" w14:textId="06469727" w:rsidR="008C4882" w:rsidRPr="00CE599A" w:rsidRDefault="008C4882" w:rsidP="008C4882">
            <w:pPr>
              <w:rPr>
                <w:rFonts w:ascii="Arial" w:hAnsi="Arial" w:cs="Arial"/>
                <w:sz w:val="20"/>
                <w:szCs w:val="20"/>
              </w:rPr>
            </w:pPr>
            <w:r w:rsidRPr="00CE599A">
              <w:rPr>
                <w:rFonts w:ascii="Arial" w:hAnsi="Arial" w:cs="Arial"/>
                <w:sz w:val="20"/>
                <w:szCs w:val="20"/>
              </w:rPr>
              <w:t>2D.50</w:t>
            </w:r>
          </w:p>
        </w:tc>
        <w:tc>
          <w:tcPr>
            <w:tcW w:w="1167" w:type="dxa"/>
          </w:tcPr>
          <w:p w14:paraId="0DAFB30D" w14:textId="29BEFFD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874B598" w14:textId="1F68E18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206740B8" w14:textId="159FA68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42A84AC" w14:textId="47A81087" w:rsidR="008C4882" w:rsidRPr="00CE599A" w:rsidRDefault="008C4882" w:rsidP="008C4882">
            <w:pPr>
              <w:rPr>
                <w:rFonts w:ascii="Arial" w:hAnsi="Arial" w:cs="Arial"/>
                <w:bCs/>
                <w:sz w:val="20"/>
                <w:szCs w:val="20"/>
              </w:rPr>
            </w:pPr>
            <w:r w:rsidRPr="00CE599A">
              <w:rPr>
                <w:rFonts w:ascii="Arial" w:hAnsi="Arial" w:cs="Arial"/>
                <w:sz w:val="20"/>
                <w:szCs w:val="20"/>
              </w:rPr>
              <w:t>NCUTCD agrees with 2D.50 as presented in the NPA.</w:t>
            </w:r>
          </w:p>
        </w:tc>
      </w:tr>
      <w:tr w:rsidR="008C4882" w:rsidRPr="00CE599A" w14:paraId="0D2C4BF2" w14:textId="77777777" w:rsidTr="00FF5FD1">
        <w:trPr>
          <w:cantSplit/>
        </w:trPr>
        <w:tc>
          <w:tcPr>
            <w:tcW w:w="1170" w:type="dxa"/>
          </w:tcPr>
          <w:p w14:paraId="738449A2" w14:textId="456FADB1" w:rsidR="008C4882" w:rsidRPr="00CE599A" w:rsidRDefault="008C4882" w:rsidP="008C4882">
            <w:pPr>
              <w:rPr>
                <w:rFonts w:ascii="Arial" w:hAnsi="Arial" w:cs="Arial"/>
                <w:sz w:val="20"/>
                <w:szCs w:val="20"/>
              </w:rPr>
            </w:pPr>
            <w:r w:rsidRPr="00CE599A">
              <w:rPr>
                <w:rFonts w:ascii="Arial" w:hAnsi="Arial" w:cs="Arial"/>
                <w:sz w:val="20"/>
                <w:szCs w:val="20"/>
              </w:rPr>
              <w:lastRenderedPageBreak/>
              <w:t>2D.51</w:t>
            </w:r>
          </w:p>
        </w:tc>
        <w:tc>
          <w:tcPr>
            <w:tcW w:w="1167" w:type="dxa"/>
          </w:tcPr>
          <w:p w14:paraId="3509B5CD" w14:textId="5BA05BE6"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50904D51" w14:textId="4EE835E5"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AF30014" w14:textId="3F2B35B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F69999F" w14:textId="77777777" w:rsidR="00920AB6" w:rsidRPr="00920AB6" w:rsidRDefault="00920AB6" w:rsidP="00920AB6">
            <w:pPr>
              <w:rPr>
                <w:rFonts w:ascii="Arial" w:hAnsi="Arial" w:cs="Arial"/>
                <w:bCs/>
                <w:sz w:val="20"/>
                <w:szCs w:val="20"/>
              </w:rPr>
            </w:pPr>
            <w:r w:rsidRPr="00920AB6">
              <w:rPr>
                <w:rFonts w:ascii="Arial" w:hAnsi="Arial" w:cs="Arial"/>
                <w:bCs/>
                <w:sz w:val="20"/>
                <w:szCs w:val="20"/>
              </w:rPr>
              <w:t>NCUTCD recommends revising 2D.51 as follows:</w:t>
            </w:r>
          </w:p>
          <w:p w14:paraId="11375A48" w14:textId="5C0717FC" w:rsidR="00920AB6"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Delete the second sentence of the first Support paragraph because permanent signing is generally not installed for a temporary facility</w:t>
            </w:r>
          </w:p>
          <w:p w14:paraId="138F36D4" w14:textId="173013E3" w:rsidR="00920AB6"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Add “or Inspection” to the second Support paragraph because many of these facilities are now designated as inspection stations</w:t>
            </w:r>
          </w:p>
          <w:p w14:paraId="78371F1B" w14:textId="2A77B02D" w:rsidR="00920AB6"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Revise the sign in list item A in the first Standard statement to a new “WEIGH STATION AHEAD (D8-1a)” sign</w:t>
            </w:r>
          </w:p>
          <w:p w14:paraId="75B14292" w14:textId="4CAE777A" w:rsidR="00920AB6"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Add an Option paragraph allowing omitting the weigh station exit gore sign where overhead signing is provided</w:t>
            </w:r>
          </w:p>
          <w:p w14:paraId="2C53CD4E" w14:textId="5C2A67F3" w:rsidR="00920AB6"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Revise the Option statement to allow alternate sign legends to better identify the purpose of the station</w:t>
            </w:r>
          </w:p>
          <w:p w14:paraId="25F80354" w14:textId="61E2ACF1" w:rsidR="00920AB6"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Revise the Guidance statement to improve wording on placement of open/closed messages</w:t>
            </w:r>
          </w:p>
          <w:p w14:paraId="6756EF6E" w14:textId="50118752" w:rsidR="008C4882" w:rsidRPr="00920AB6" w:rsidRDefault="00920AB6" w:rsidP="00920AB6">
            <w:pPr>
              <w:pStyle w:val="ListParagraph"/>
              <w:numPr>
                <w:ilvl w:val="0"/>
                <w:numId w:val="14"/>
              </w:numPr>
              <w:rPr>
                <w:rFonts w:ascii="Arial" w:hAnsi="Arial" w:cs="Arial"/>
                <w:bCs/>
                <w:sz w:val="20"/>
                <w:szCs w:val="20"/>
              </w:rPr>
            </w:pPr>
            <w:r w:rsidRPr="00920AB6">
              <w:rPr>
                <w:rFonts w:ascii="Arial" w:hAnsi="Arial" w:cs="Arial"/>
                <w:bCs/>
                <w:sz w:val="20"/>
                <w:szCs w:val="20"/>
              </w:rPr>
              <w:t>Revise the final Standard statement to simplify wording</w:t>
            </w:r>
          </w:p>
        </w:tc>
      </w:tr>
      <w:tr w:rsidR="008C4882" w:rsidRPr="00CE599A" w14:paraId="24E12552" w14:textId="77777777" w:rsidTr="00FF5FD1">
        <w:trPr>
          <w:cantSplit/>
        </w:trPr>
        <w:tc>
          <w:tcPr>
            <w:tcW w:w="1170" w:type="dxa"/>
          </w:tcPr>
          <w:p w14:paraId="070DDCA0" w14:textId="7B7F3E34" w:rsidR="008C4882" w:rsidRPr="00CE599A" w:rsidRDefault="008C4882" w:rsidP="008C4882">
            <w:pPr>
              <w:rPr>
                <w:rFonts w:ascii="Arial" w:hAnsi="Arial" w:cs="Arial"/>
                <w:sz w:val="20"/>
                <w:szCs w:val="20"/>
              </w:rPr>
            </w:pPr>
            <w:r w:rsidRPr="00CE599A">
              <w:rPr>
                <w:rFonts w:ascii="Arial" w:hAnsi="Arial" w:cs="Arial"/>
                <w:sz w:val="20"/>
                <w:szCs w:val="20"/>
              </w:rPr>
              <w:t>Figure 2D-24</w:t>
            </w:r>
          </w:p>
        </w:tc>
        <w:tc>
          <w:tcPr>
            <w:tcW w:w="1167" w:type="dxa"/>
          </w:tcPr>
          <w:p w14:paraId="39D59960" w14:textId="79F7C12D"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5269DB01" w14:textId="30BAE2BF"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2039B1E" w14:textId="0C99758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5AED8D6" w14:textId="77777777" w:rsidR="00F73A1F" w:rsidRPr="00F73A1F" w:rsidRDefault="00F73A1F" w:rsidP="00F73A1F">
            <w:pPr>
              <w:rPr>
                <w:rFonts w:ascii="Arial" w:hAnsi="Arial" w:cs="Arial"/>
                <w:sz w:val="20"/>
                <w:szCs w:val="20"/>
              </w:rPr>
            </w:pPr>
            <w:r w:rsidRPr="00F73A1F">
              <w:rPr>
                <w:rFonts w:ascii="Arial" w:hAnsi="Arial" w:cs="Arial"/>
                <w:sz w:val="20"/>
                <w:szCs w:val="20"/>
              </w:rPr>
              <w:t>NCUTCD recommends Figure 2D.24 be revised as follows:</w:t>
            </w:r>
          </w:p>
          <w:p w14:paraId="7FC1872B" w14:textId="2C1D9482" w:rsidR="00F73A1F" w:rsidRPr="00F73A1F" w:rsidRDefault="00F73A1F" w:rsidP="00F73A1F">
            <w:pPr>
              <w:pStyle w:val="ListParagraph"/>
              <w:numPr>
                <w:ilvl w:val="0"/>
                <w:numId w:val="9"/>
              </w:numPr>
              <w:rPr>
                <w:rFonts w:ascii="Arial" w:hAnsi="Arial" w:cs="Arial"/>
                <w:sz w:val="20"/>
                <w:szCs w:val="20"/>
              </w:rPr>
            </w:pPr>
            <w:r w:rsidRPr="00F73A1F">
              <w:rPr>
                <w:rFonts w:ascii="Arial" w:hAnsi="Arial" w:cs="Arial"/>
                <w:sz w:val="20"/>
                <w:szCs w:val="20"/>
              </w:rPr>
              <w:t>Revise the note referencing placement of open/closed messages</w:t>
            </w:r>
          </w:p>
          <w:p w14:paraId="3E6B7F5F" w14:textId="25293289" w:rsidR="00F73A1F" w:rsidRPr="00F73A1F" w:rsidRDefault="00F73A1F" w:rsidP="00F73A1F">
            <w:pPr>
              <w:pStyle w:val="ListParagraph"/>
              <w:numPr>
                <w:ilvl w:val="0"/>
                <w:numId w:val="9"/>
              </w:numPr>
              <w:rPr>
                <w:rFonts w:ascii="Arial" w:hAnsi="Arial" w:cs="Arial"/>
                <w:sz w:val="20"/>
                <w:szCs w:val="20"/>
              </w:rPr>
            </w:pPr>
            <w:r w:rsidRPr="00F73A1F">
              <w:rPr>
                <w:rFonts w:ascii="Arial" w:hAnsi="Arial" w:cs="Arial"/>
                <w:sz w:val="20"/>
                <w:szCs w:val="20"/>
              </w:rPr>
              <w:t>Add a note stating “an alternative legend may be substituted for WEIGH STATION on all D8 series signs” to be consistent with Section 2E.53</w:t>
            </w:r>
          </w:p>
          <w:p w14:paraId="1F629B01" w14:textId="4BF03F41" w:rsidR="008C4882" w:rsidRPr="00F73A1F" w:rsidRDefault="00F73A1F" w:rsidP="00F73A1F">
            <w:pPr>
              <w:pStyle w:val="ListParagraph"/>
              <w:numPr>
                <w:ilvl w:val="0"/>
                <w:numId w:val="9"/>
              </w:numPr>
              <w:rPr>
                <w:rFonts w:ascii="Arial" w:hAnsi="Arial" w:cs="Arial"/>
                <w:bCs/>
                <w:sz w:val="20"/>
                <w:szCs w:val="20"/>
              </w:rPr>
            </w:pPr>
            <w:r w:rsidRPr="00F73A1F">
              <w:rPr>
                <w:rFonts w:ascii="Arial" w:hAnsi="Arial" w:cs="Arial"/>
                <w:sz w:val="20"/>
                <w:szCs w:val="20"/>
              </w:rPr>
              <w:t>Delete the note adjacent to the R13-1 sign that allows white on black to be consistent with Section 2B.67</w:t>
            </w:r>
          </w:p>
        </w:tc>
      </w:tr>
      <w:tr w:rsidR="008C4882" w:rsidRPr="00CE599A" w14:paraId="673F6ABE" w14:textId="77777777" w:rsidTr="00FF5FD1">
        <w:trPr>
          <w:cantSplit/>
        </w:trPr>
        <w:tc>
          <w:tcPr>
            <w:tcW w:w="1170" w:type="dxa"/>
          </w:tcPr>
          <w:p w14:paraId="20FC530F" w14:textId="4E8041D4" w:rsidR="008C4882" w:rsidRPr="00CE599A" w:rsidRDefault="008C4882" w:rsidP="008C4882">
            <w:pPr>
              <w:rPr>
                <w:rFonts w:ascii="Arial" w:hAnsi="Arial" w:cs="Arial"/>
                <w:sz w:val="20"/>
                <w:szCs w:val="20"/>
              </w:rPr>
            </w:pPr>
            <w:r w:rsidRPr="00CE599A">
              <w:rPr>
                <w:rFonts w:ascii="Arial" w:hAnsi="Arial" w:cs="Arial"/>
                <w:sz w:val="20"/>
                <w:szCs w:val="20"/>
              </w:rPr>
              <w:t>2D.52</w:t>
            </w:r>
          </w:p>
        </w:tc>
        <w:tc>
          <w:tcPr>
            <w:tcW w:w="1167" w:type="dxa"/>
          </w:tcPr>
          <w:p w14:paraId="0B0B1DE6" w14:textId="387D29E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4486C3EA" w14:textId="34BE6FB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116CD2A" w14:textId="08D1B58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2C97FF9" w14:textId="6DE2B712" w:rsidR="008C4882" w:rsidRPr="00CE599A" w:rsidRDefault="008C4882" w:rsidP="008C4882">
            <w:pPr>
              <w:rPr>
                <w:rFonts w:ascii="Arial" w:hAnsi="Arial" w:cs="Arial"/>
                <w:sz w:val="20"/>
                <w:szCs w:val="20"/>
              </w:rPr>
            </w:pPr>
            <w:r w:rsidRPr="00CE599A">
              <w:rPr>
                <w:rFonts w:ascii="Arial" w:hAnsi="Arial" w:cs="Arial"/>
                <w:sz w:val="20"/>
                <w:szCs w:val="20"/>
              </w:rPr>
              <w:t>NCUTCD agrees with 2D.52 as presented in the NPA.</w:t>
            </w:r>
          </w:p>
        </w:tc>
      </w:tr>
      <w:tr w:rsidR="008C4882" w:rsidRPr="00CE599A" w14:paraId="5FCA0D99" w14:textId="77777777" w:rsidTr="00FF5FD1">
        <w:trPr>
          <w:cantSplit/>
        </w:trPr>
        <w:tc>
          <w:tcPr>
            <w:tcW w:w="1170" w:type="dxa"/>
          </w:tcPr>
          <w:p w14:paraId="5F31454C" w14:textId="20A68B41" w:rsidR="008C4882" w:rsidRPr="00CE599A" w:rsidRDefault="008C4882" w:rsidP="008C4882">
            <w:pPr>
              <w:rPr>
                <w:rFonts w:ascii="Arial" w:hAnsi="Arial" w:cs="Arial"/>
                <w:sz w:val="20"/>
                <w:szCs w:val="20"/>
              </w:rPr>
            </w:pPr>
            <w:r w:rsidRPr="00CE599A">
              <w:rPr>
                <w:rFonts w:ascii="Arial" w:hAnsi="Arial" w:cs="Arial"/>
                <w:sz w:val="20"/>
                <w:szCs w:val="20"/>
              </w:rPr>
              <w:t>Figure 2D-25</w:t>
            </w:r>
          </w:p>
        </w:tc>
        <w:tc>
          <w:tcPr>
            <w:tcW w:w="1167" w:type="dxa"/>
          </w:tcPr>
          <w:p w14:paraId="003C5CD7" w14:textId="7CFFA499"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6C24A9F" w14:textId="765A83E1"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6B5772E" w14:textId="09824A2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AA9D129" w14:textId="3F9E13E2"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2D-25 as presented in the NPA.</w:t>
            </w:r>
          </w:p>
        </w:tc>
      </w:tr>
      <w:tr w:rsidR="008C4882" w:rsidRPr="00CE599A" w14:paraId="1AE1084C" w14:textId="77777777" w:rsidTr="00FF5FD1">
        <w:trPr>
          <w:cantSplit/>
        </w:trPr>
        <w:tc>
          <w:tcPr>
            <w:tcW w:w="1170" w:type="dxa"/>
          </w:tcPr>
          <w:p w14:paraId="7EA9305F" w14:textId="15624DFC" w:rsidR="008C4882" w:rsidRPr="00CE599A" w:rsidRDefault="008C4882" w:rsidP="008C4882">
            <w:pPr>
              <w:rPr>
                <w:rFonts w:ascii="Arial" w:hAnsi="Arial" w:cs="Arial"/>
                <w:sz w:val="20"/>
                <w:szCs w:val="20"/>
              </w:rPr>
            </w:pPr>
            <w:r w:rsidRPr="00CE599A">
              <w:rPr>
                <w:rFonts w:ascii="Arial" w:hAnsi="Arial" w:cs="Arial"/>
                <w:sz w:val="20"/>
                <w:szCs w:val="20"/>
              </w:rPr>
              <w:t>2D.53</w:t>
            </w:r>
          </w:p>
        </w:tc>
        <w:tc>
          <w:tcPr>
            <w:tcW w:w="1167" w:type="dxa"/>
          </w:tcPr>
          <w:p w14:paraId="3BB19603" w14:textId="4C2DEFAB"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26D4C157" w14:textId="2E7BE97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B09EEB0" w14:textId="6672CB6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716A5BC" w14:textId="1DEF69D8" w:rsidR="008C4882" w:rsidRPr="00CE599A" w:rsidRDefault="00F73A1F" w:rsidP="008C4882">
            <w:pPr>
              <w:rPr>
                <w:rFonts w:ascii="Arial" w:hAnsi="Arial" w:cs="Arial"/>
                <w:bCs/>
                <w:sz w:val="20"/>
                <w:szCs w:val="20"/>
              </w:rPr>
            </w:pPr>
            <w:r w:rsidRPr="00F73A1F">
              <w:rPr>
                <w:rFonts w:ascii="Arial" w:hAnsi="Arial" w:cs="Arial"/>
                <w:bCs/>
                <w:sz w:val="20"/>
                <w:szCs w:val="20"/>
              </w:rPr>
              <w:t>NCUTCD generally agrees with 2D.53 as presented in the NPA, but recommends adding an Option statement to allow adjustment of the location and distance of the D17-2 and D17-4 signs, plus minor editorial revisions.</w:t>
            </w:r>
          </w:p>
        </w:tc>
      </w:tr>
      <w:tr w:rsidR="008C4882" w:rsidRPr="00CE599A" w14:paraId="3A13263A" w14:textId="77777777" w:rsidTr="00FF5FD1">
        <w:trPr>
          <w:cantSplit/>
        </w:trPr>
        <w:tc>
          <w:tcPr>
            <w:tcW w:w="1170" w:type="dxa"/>
          </w:tcPr>
          <w:p w14:paraId="10475DCF" w14:textId="3E9B5CC0" w:rsidR="008C4882" w:rsidRPr="00CE599A" w:rsidRDefault="008C4882" w:rsidP="008C4882">
            <w:pPr>
              <w:rPr>
                <w:rFonts w:ascii="Arial" w:hAnsi="Arial" w:cs="Arial"/>
                <w:sz w:val="20"/>
                <w:szCs w:val="20"/>
              </w:rPr>
            </w:pPr>
            <w:r w:rsidRPr="00CE599A">
              <w:rPr>
                <w:rFonts w:ascii="Arial" w:hAnsi="Arial" w:cs="Arial"/>
                <w:sz w:val="20"/>
                <w:szCs w:val="20"/>
              </w:rPr>
              <w:t>Figure 2D-26</w:t>
            </w:r>
          </w:p>
        </w:tc>
        <w:tc>
          <w:tcPr>
            <w:tcW w:w="1167" w:type="dxa"/>
          </w:tcPr>
          <w:p w14:paraId="1CE69023" w14:textId="62692D64"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5434628F" w14:textId="77FF3C0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78B5EB9A" w14:textId="15AFC00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61C631C" w14:textId="24DAA778"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2D-26 as presented in the NPA.</w:t>
            </w:r>
          </w:p>
        </w:tc>
      </w:tr>
      <w:tr w:rsidR="008C4882" w:rsidRPr="00CE599A" w14:paraId="29E0863A" w14:textId="77777777" w:rsidTr="00FF5FD1">
        <w:trPr>
          <w:cantSplit/>
        </w:trPr>
        <w:tc>
          <w:tcPr>
            <w:tcW w:w="1170" w:type="dxa"/>
          </w:tcPr>
          <w:p w14:paraId="20508C1B" w14:textId="4A469E1B" w:rsidR="008C4882" w:rsidRPr="00CE599A" w:rsidRDefault="008C4882" w:rsidP="008C4882">
            <w:pPr>
              <w:rPr>
                <w:rFonts w:ascii="Arial" w:hAnsi="Arial" w:cs="Arial"/>
                <w:sz w:val="20"/>
                <w:szCs w:val="20"/>
              </w:rPr>
            </w:pPr>
            <w:r w:rsidRPr="00CE599A">
              <w:rPr>
                <w:rFonts w:ascii="Arial" w:hAnsi="Arial" w:cs="Arial"/>
                <w:sz w:val="20"/>
                <w:szCs w:val="20"/>
              </w:rPr>
              <w:t>Figure 2D-27</w:t>
            </w:r>
          </w:p>
        </w:tc>
        <w:tc>
          <w:tcPr>
            <w:tcW w:w="1167" w:type="dxa"/>
          </w:tcPr>
          <w:p w14:paraId="4D1BBB5A" w14:textId="1D8D1569"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3BEF59D7" w14:textId="487B13B1"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8566764" w14:textId="34AF502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5C962CF" w14:textId="2E4ECDC4" w:rsidR="008C4882" w:rsidRPr="00CE599A" w:rsidRDefault="003F6748" w:rsidP="008C4882">
            <w:pPr>
              <w:rPr>
                <w:rFonts w:ascii="Arial" w:hAnsi="Arial" w:cs="Arial"/>
                <w:sz w:val="20"/>
                <w:szCs w:val="20"/>
              </w:rPr>
            </w:pPr>
            <w:r w:rsidRPr="003F6748">
              <w:rPr>
                <w:rFonts w:ascii="Arial" w:hAnsi="Arial" w:cs="Arial"/>
                <w:sz w:val="20"/>
                <w:szCs w:val="20"/>
              </w:rPr>
              <w:t>NCUTCD generally agrees with Figure 2</w:t>
            </w:r>
            <w:r>
              <w:rPr>
                <w:rFonts w:ascii="Arial" w:hAnsi="Arial" w:cs="Arial"/>
                <w:sz w:val="20"/>
                <w:szCs w:val="20"/>
              </w:rPr>
              <w:t>D</w:t>
            </w:r>
            <w:r w:rsidRPr="003F6748">
              <w:rPr>
                <w:rFonts w:ascii="Arial" w:hAnsi="Arial" w:cs="Arial"/>
                <w:sz w:val="20"/>
                <w:szCs w:val="20"/>
              </w:rPr>
              <w:t>-</w:t>
            </w:r>
            <w:r>
              <w:rPr>
                <w:rFonts w:ascii="Arial" w:hAnsi="Arial" w:cs="Arial"/>
                <w:sz w:val="20"/>
                <w:szCs w:val="20"/>
              </w:rPr>
              <w:t>27</w:t>
            </w:r>
            <w:r w:rsidRPr="003F6748">
              <w:rPr>
                <w:rFonts w:ascii="Arial" w:hAnsi="Arial" w:cs="Arial"/>
                <w:sz w:val="20"/>
                <w:szCs w:val="20"/>
              </w:rPr>
              <w:t xml:space="preserve"> as presented in the NPA, but recommends showing all signs and dimensions consistently with other Figures in other chapters of the MUTCD related to lane ends signing and markings.</w:t>
            </w:r>
          </w:p>
        </w:tc>
      </w:tr>
      <w:tr w:rsidR="008C4882" w:rsidRPr="00CE599A" w14:paraId="705E430B" w14:textId="77777777" w:rsidTr="00FF5FD1">
        <w:trPr>
          <w:cantSplit/>
        </w:trPr>
        <w:tc>
          <w:tcPr>
            <w:tcW w:w="1170" w:type="dxa"/>
          </w:tcPr>
          <w:p w14:paraId="65DC18BC" w14:textId="3D2E2FAF" w:rsidR="008C4882" w:rsidRPr="00CE599A" w:rsidRDefault="008C4882" w:rsidP="008C4882">
            <w:pPr>
              <w:rPr>
                <w:rFonts w:ascii="Arial" w:hAnsi="Arial" w:cs="Arial"/>
                <w:sz w:val="20"/>
                <w:szCs w:val="20"/>
              </w:rPr>
            </w:pPr>
            <w:r w:rsidRPr="00CE599A">
              <w:rPr>
                <w:rFonts w:ascii="Arial" w:hAnsi="Arial" w:cs="Arial"/>
                <w:sz w:val="20"/>
                <w:szCs w:val="20"/>
              </w:rPr>
              <w:t>Figure 2D-28</w:t>
            </w:r>
          </w:p>
        </w:tc>
        <w:tc>
          <w:tcPr>
            <w:tcW w:w="1167" w:type="dxa"/>
          </w:tcPr>
          <w:p w14:paraId="47ADE1A7" w14:textId="1305A76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74B69915" w14:textId="5AF4482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1C1BBD88" w14:textId="6881C8CD"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F42CA78" w14:textId="29E77F92" w:rsidR="008C4882" w:rsidRPr="00CE599A" w:rsidRDefault="0060265C" w:rsidP="008C4882">
            <w:pPr>
              <w:rPr>
                <w:rFonts w:ascii="Arial" w:hAnsi="Arial" w:cs="Arial"/>
                <w:sz w:val="20"/>
                <w:szCs w:val="20"/>
              </w:rPr>
            </w:pPr>
            <w:r w:rsidRPr="0060265C">
              <w:rPr>
                <w:rFonts w:ascii="Arial" w:hAnsi="Arial" w:cs="Arial"/>
                <w:sz w:val="20"/>
                <w:szCs w:val="20"/>
              </w:rPr>
              <w:t>NCUTCD generally agrees with Figure 2D-2</w:t>
            </w:r>
            <w:r>
              <w:rPr>
                <w:rFonts w:ascii="Arial" w:hAnsi="Arial" w:cs="Arial"/>
                <w:sz w:val="20"/>
                <w:szCs w:val="20"/>
              </w:rPr>
              <w:t>8</w:t>
            </w:r>
            <w:r w:rsidRPr="0060265C">
              <w:rPr>
                <w:rFonts w:ascii="Arial" w:hAnsi="Arial" w:cs="Arial"/>
                <w:sz w:val="20"/>
                <w:szCs w:val="20"/>
              </w:rPr>
              <w:t xml:space="preserve"> as presented in the NPA, but recommends showing all signs and dimensions consistently with other Figures in other chapters of the MUTCD related to lane ends signing and markings.</w:t>
            </w:r>
          </w:p>
        </w:tc>
      </w:tr>
      <w:tr w:rsidR="008C4882" w:rsidRPr="00CE599A" w14:paraId="76D8BB01" w14:textId="77777777" w:rsidTr="00FF5FD1">
        <w:trPr>
          <w:cantSplit/>
        </w:trPr>
        <w:tc>
          <w:tcPr>
            <w:tcW w:w="1170" w:type="dxa"/>
          </w:tcPr>
          <w:p w14:paraId="5158D97C" w14:textId="74D1BBF3" w:rsidR="008C4882" w:rsidRPr="00CE599A" w:rsidRDefault="008C4882" w:rsidP="008C4882">
            <w:pPr>
              <w:rPr>
                <w:rFonts w:ascii="Arial" w:hAnsi="Arial" w:cs="Arial"/>
                <w:sz w:val="20"/>
                <w:szCs w:val="20"/>
              </w:rPr>
            </w:pPr>
            <w:r w:rsidRPr="00CE599A">
              <w:rPr>
                <w:rFonts w:ascii="Arial" w:hAnsi="Arial" w:cs="Arial"/>
                <w:sz w:val="20"/>
                <w:szCs w:val="20"/>
              </w:rPr>
              <w:t>2D.54</w:t>
            </w:r>
          </w:p>
        </w:tc>
        <w:tc>
          <w:tcPr>
            <w:tcW w:w="1167" w:type="dxa"/>
          </w:tcPr>
          <w:p w14:paraId="589C57E4" w14:textId="33F4094F"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0E4AA9C" w14:textId="3415E2BB"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5F71E1E9" w14:textId="46A8014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EF48D2D" w14:textId="12F3615C" w:rsidR="008C4882" w:rsidRPr="00CE599A" w:rsidRDefault="00B02FA0" w:rsidP="008C4882">
            <w:pPr>
              <w:rPr>
                <w:rFonts w:ascii="Arial" w:hAnsi="Arial" w:cs="Arial"/>
                <w:sz w:val="20"/>
                <w:szCs w:val="20"/>
              </w:rPr>
            </w:pPr>
            <w:r w:rsidRPr="00B02FA0">
              <w:rPr>
                <w:rFonts w:ascii="Arial" w:hAnsi="Arial" w:cs="Arial"/>
                <w:sz w:val="20"/>
                <w:szCs w:val="20"/>
              </w:rPr>
              <w:t>NCUTCD generally agrees with 2D.54 as presented in the NPA, but recommends revising the Guidance statement to also allow for emergency turn-out signing in locations where there is part-time shoulder use consistent with Section 2G.23.</w:t>
            </w:r>
          </w:p>
        </w:tc>
      </w:tr>
      <w:tr w:rsidR="008C4882" w:rsidRPr="00CE599A" w14:paraId="06EBFFE7" w14:textId="77777777" w:rsidTr="00FF5FD1">
        <w:trPr>
          <w:cantSplit/>
        </w:trPr>
        <w:tc>
          <w:tcPr>
            <w:tcW w:w="1170" w:type="dxa"/>
          </w:tcPr>
          <w:p w14:paraId="58779B10" w14:textId="4DCC4853" w:rsidR="008C4882" w:rsidRPr="00CE599A" w:rsidRDefault="008C4882" w:rsidP="008C4882">
            <w:pPr>
              <w:rPr>
                <w:rFonts w:ascii="Arial" w:hAnsi="Arial" w:cs="Arial"/>
                <w:sz w:val="20"/>
                <w:szCs w:val="20"/>
              </w:rPr>
            </w:pPr>
            <w:r w:rsidRPr="00CE599A">
              <w:rPr>
                <w:rFonts w:ascii="Arial" w:hAnsi="Arial" w:cs="Arial"/>
                <w:sz w:val="20"/>
                <w:szCs w:val="20"/>
              </w:rPr>
              <w:t>Figure 2D-29</w:t>
            </w:r>
          </w:p>
        </w:tc>
        <w:tc>
          <w:tcPr>
            <w:tcW w:w="1167" w:type="dxa"/>
          </w:tcPr>
          <w:p w14:paraId="7F84A6A0" w14:textId="02E54D4B"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EF944F5" w14:textId="31D2E26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5BD73628" w14:textId="0243938E"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A457D7C" w14:textId="5400C4B5"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2D-29 as presented in the NPA.</w:t>
            </w:r>
          </w:p>
        </w:tc>
      </w:tr>
      <w:tr w:rsidR="008C4882" w:rsidRPr="00CE599A" w14:paraId="6AA5228C" w14:textId="77777777" w:rsidTr="00FF5FD1">
        <w:trPr>
          <w:cantSplit/>
        </w:trPr>
        <w:tc>
          <w:tcPr>
            <w:tcW w:w="1170" w:type="dxa"/>
          </w:tcPr>
          <w:p w14:paraId="3944791C" w14:textId="701E23EB" w:rsidR="008C4882" w:rsidRPr="00CE599A" w:rsidRDefault="008C4882" w:rsidP="008C4882">
            <w:pPr>
              <w:rPr>
                <w:rFonts w:ascii="Arial" w:hAnsi="Arial" w:cs="Arial"/>
                <w:sz w:val="20"/>
                <w:szCs w:val="20"/>
              </w:rPr>
            </w:pPr>
            <w:r w:rsidRPr="00CE599A">
              <w:rPr>
                <w:rFonts w:ascii="Arial" w:hAnsi="Arial" w:cs="Arial"/>
                <w:sz w:val="20"/>
                <w:szCs w:val="20"/>
              </w:rPr>
              <w:t>Figure 2D-30</w:t>
            </w:r>
          </w:p>
        </w:tc>
        <w:tc>
          <w:tcPr>
            <w:tcW w:w="1167" w:type="dxa"/>
          </w:tcPr>
          <w:p w14:paraId="12E7055C" w14:textId="038BA631"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43C55A43" w14:textId="7A1B4E4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05248CE4" w14:textId="3F2D685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63DC46B" w14:textId="0280AACD" w:rsidR="008C4882" w:rsidRPr="00CE599A" w:rsidRDefault="00B02FA0" w:rsidP="008C4882">
            <w:pPr>
              <w:rPr>
                <w:rFonts w:ascii="Arial" w:hAnsi="Arial" w:cs="Arial"/>
                <w:sz w:val="20"/>
                <w:szCs w:val="20"/>
              </w:rPr>
            </w:pPr>
            <w:r w:rsidRPr="00B02FA0">
              <w:rPr>
                <w:rFonts w:ascii="Arial" w:hAnsi="Arial" w:cs="Arial"/>
                <w:sz w:val="20"/>
                <w:szCs w:val="20"/>
              </w:rPr>
              <w:t xml:space="preserve">NCUTCD generally agrees with Figure 2D-30 as presented in the NPA, but recommends revising the </w:t>
            </w:r>
            <w:proofErr w:type="gramStart"/>
            <w:r w:rsidRPr="00B02FA0">
              <w:rPr>
                <w:rFonts w:ascii="Arial" w:hAnsi="Arial" w:cs="Arial"/>
                <w:sz w:val="20"/>
                <w:szCs w:val="20"/>
              </w:rPr>
              <w:t>far left</w:t>
            </w:r>
            <w:proofErr w:type="gramEnd"/>
            <w:r w:rsidRPr="00B02FA0">
              <w:rPr>
                <w:rFonts w:ascii="Arial" w:hAnsi="Arial" w:cs="Arial"/>
                <w:sz w:val="20"/>
                <w:szCs w:val="20"/>
              </w:rPr>
              <w:t xml:space="preserve"> edge line to white (not yellow). NCUTCD notes the figure title is different in the NPA text as compared to the NPA figures. NCUTCD recommends selecting one of these titles as the final figure title.</w:t>
            </w:r>
          </w:p>
        </w:tc>
      </w:tr>
      <w:tr w:rsidR="008C4882" w:rsidRPr="00CE599A" w14:paraId="7F6C0A67" w14:textId="77777777" w:rsidTr="00FF5FD1">
        <w:trPr>
          <w:cantSplit/>
        </w:trPr>
        <w:tc>
          <w:tcPr>
            <w:tcW w:w="1170" w:type="dxa"/>
          </w:tcPr>
          <w:p w14:paraId="585F2B1F" w14:textId="39CA7B81" w:rsidR="008C4882" w:rsidRPr="00CE599A" w:rsidRDefault="008C4882" w:rsidP="008C4882">
            <w:pPr>
              <w:rPr>
                <w:rFonts w:ascii="Arial" w:hAnsi="Arial" w:cs="Arial"/>
                <w:sz w:val="20"/>
                <w:szCs w:val="20"/>
              </w:rPr>
            </w:pPr>
            <w:r w:rsidRPr="00CE599A">
              <w:rPr>
                <w:rFonts w:ascii="Arial" w:hAnsi="Arial" w:cs="Arial"/>
                <w:sz w:val="20"/>
                <w:szCs w:val="20"/>
              </w:rPr>
              <w:t>2D.55</w:t>
            </w:r>
          </w:p>
        </w:tc>
        <w:tc>
          <w:tcPr>
            <w:tcW w:w="1167" w:type="dxa"/>
          </w:tcPr>
          <w:p w14:paraId="5606181B" w14:textId="6047BF1C"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42D7A777" w14:textId="4775046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66404A08" w14:textId="230856C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4B6511E3" w14:textId="15BAC87C" w:rsidR="008C4882" w:rsidRPr="00CE599A" w:rsidRDefault="00C25593" w:rsidP="008C4882">
            <w:pPr>
              <w:rPr>
                <w:rFonts w:ascii="Arial" w:hAnsi="Arial" w:cs="Arial"/>
                <w:sz w:val="20"/>
                <w:szCs w:val="20"/>
              </w:rPr>
            </w:pPr>
            <w:r w:rsidRPr="00C25593">
              <w:rPr>
                <w:rFonts w:ascii="Arial" w:hAnsi="Arial" w:cs="Arial"/>
                <w:sz w:val="20"/>
                <w:szCs w:val="20"/>
              </w:rPr>
              <w:t>NCUTCD generally agrees with 2D.55 as presented in the NPA, but recommends using the term “scanning graphics” to agree with NCUTCD recommendations for Section 2A.04 and Section 2H.07, plus minor editorial revisions.</w:t>
            </w:r>
          </w:p>
        </w:tc>
      </w:tr>
      <w:tr w:rsidR="008C4882" w:rsidRPr="00CE599A" w14:paraId="1F57813D" w14:textId="77777777" w:rsidTr="00FF5FD1">
        <w:trPr>
          <w:cantSplit/>
        </w:trPr>
        <w:tc>
          <w:tcPr>
            <w:tcW w:w="1170" w:type="dxa"/>
          </w:tcPr>
          <w:p w14:paraId="02A0137C" w14:textId="130F2DD8" w:rsidR="008C4882" w:rsidRPr="00CE599A" w:rsidRDefault="008C4882" w:rsidP="008C4882">
            <w:pPr>
              <w:rPr>
                <w:rFonts w:ascii="Arial" w:hAnsi="Arial" w:cs="Arial"/>
                <w:sz w:val="20"/>
                <w:szCs w:val="20"/>
              </w:rPr>
            </w:pPr>
            <w:r w:rsidRPr="00CE599A">
              <w:rPr>
                <w:rFonts w:ascii="Arial" w:hAnsi="Arial" w:cs="Arial"/>
                <w:sz w:val="20"/>
                <w:szCs w:val="20"/>
              </w:rPr>
              <w:lastRenderedPageBreak/>
              <w:t>Figure 2D-31</w:t>
            </w:r>
          </w:p>
        </w:tc>
        <w:tc>
          <w:tcPr>
            <w:tcW w:w="1167" w:type="dxa"/>
          </w:tcPr>
          <w:p w14:paraId="52181D64" w14:textId="3CB2EBE3"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22C58A8" w14:textId="37102F1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7A51C88B" w14:textId="02EA839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2E878073" w14:textId="238B53EE" w:rsidR="008C4882" w:rsidRPr="00CE599A" w:rsidRDefault="00C25593" w:rsidP="008C4882">
            <w:pPr>
              <w:rPr>
                <w:rFonts w:ascii="Arial" w:hAnsi="Arial" w:cs="Arial"/>
                <w:sz w:val="20"/>
                <w:szCs w:val="20"/>
              </w:rPr>
            </w:pPr>
            <w:r w:rsidRPr="00C25593">
              <w:rPr>
                <w:rFonts w:ascii="Arial" w:hAnsi="Arial" w:cs="Arial"/>
                <w:sz w:val="20"/>
                <w:szCs w:val="20"/>
              </w:rPr>
              <w:t>NCUTCD generally agrees with Figure 2D-31 as presented in the NPA, but recommends restoring sign details as seen in the 2009 MUTCD depicting color coding for destinations, as the NPA content allows this option.</w:t>
            </w:r>
          </w:p>
        </w:tc>
      </w:tr>
      <w:tr w:rsidR="008C4882" w:rsidRPr="00CE599A" w14:paraId="2F2C4A47" w14:textId="77777777" w:rsidTr="00FF5FD1">
        <w:trPr>
          <w:cantSplit/>
        </w:trPr>
        <w:tc>
          <w:tcPr>
            <w:tcW w:w="1170" w:type="dxa"/>
          </w:tcPr>
          <w:p w14:paraId="6A1A4AA1" w14:textId="53D690C4" w:rsidR="008C4882" w:rsidRPr="00CE599A" w:rsidRDefault="008C4882" w:rsidP="008C4882">
            <w:pPr>
              <w:rPr>
                <w:rFonts w:ascii="Arial" w:hAnsi="Arial" w:cs="Arial"/>
                <w:sz w:val="20"/>
                <w:szCs w:val="20"/>
              </w:rPr>
            </w:pPr>
            <w:r w:rsidRPr="00CE599A">
              <w:rPr>
                <w:rFonts w:ascii="Arial" w:hAnsi="Arial" w:cs="Arial"/>
                <w:sz w:val="20"/>
                <w:szCs w:val="20"/>
              </w:rPr>
              <w:t>Figure 2D-32</w:t>
            </w:r>
          </w:p>
        </w:tc>
        <w:tc>
          <w:tcPr>
            <w:tcW w:w="1167" w:type="dxa"/>
          </w:tcPr>
          <w:p w14:paraId="0DADFEA6" w14:textId="5E945B7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670ED8F4" w14:textId="7C850D4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FA600C0" w14:textId="175C9B4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E77A61B" w14:textId="27F2103F"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2D-32 as presented in the NPA.</w:t>
            </w:r>
          </w:p>
        </w:tc>
      </w:tr>
      <w:tr w:rsidR="008C4882" w:rsidRPr="00CE599A" w14:paraId="7E25C440" w14:textId="77777777" w:rsidTr="00FF5FD1">
        <w:trPr>
          <w:cantSplit/>
        </w:trPr>
        <w:tc>
          <w:tcPr>
            <w:tcW w:w="1170" w:type="dxa"/>
          </w:tcPr>
          <w:p w14:paraId="761994BC" w14:textId="02D7FDD1" w:rsidR="008C4882" w:rsidRPr="00CE599A" w:rsidRDefault="008C4882" w:rsidP="008C4882">
            <w:pPr>
              <w:rPr>
                <w:rFonts w:ascii="Arial" w:hAnsi="Arial" w:cs="Arial"/>
                <w:sz w:val="20"/>
                <w:szCs w:val="20"/>
              </w:rPr>
            </w:pPr>
            <w:r w:rsidRPr="00CE599A">
              <w:rPr>
                <w:rFonts w:ascii="Arial" w:hAnsi="Arial" w:cs="Arial"/>
                <w:sz w:val="20"/>
                <w:szCs w:val="20"/>
              </w:rPr>
              <w:t>Figure 2D-33</w:t>
            </w:r>
          </w:p>
        </w:tc>
        <w:tc>
          <w:tcPr>
            <w:tcW w:w="1167" w:type="dxa"/>
          </w:tcPr>
          <w:p w14:paraId="4E6BD54D" w14:textId="42E776B7"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19E2BF1F" w14:textId="44C21DCD"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2ACABB11" w14:textId="65FE1AB6"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3E77347F" w14:textId="03B5CFDF" w:rsidR="008C4882" w:rsidRPr="00CE599A" w:rsidRDefault="00C25593" w:rsidP="008C4882">
            <w:pPr>
              <w:rPr>
                <w:rFonts w:ascii="Arial" w:hAnsi="Arial" w:cs="Arial"/>
                <w:sz w:val="20"/>
                <w:szCs w:val="20"/>
              </w:rPr>
            </w:pPr>
            <w:r w:rsidRPr="00C25593">
              <w:rPr>
                <w:rFonts w:ascii="Arial" w:hAnsi="Arial" w:cs="Arial"/>
                <w:sz w:val="20"/>
                <w:szCs w:val="20"/>
              </w:rPr>
              <w:t>NCUTCD generally agrees with Figure 2D-3</w:t>
            </w:r>
            <w:r>
              <w:rPr>
                <w:rFonts w:ascii="Arial" w:hAnsi="Arial" w:cs="Arial"/>
                <w:sz w:val="20"/>
                <w:szCs w:val="20"/>
              </w:rPr>
              <w:t>3</w:t>
            </w:r>
            <w:r w:rsidRPr="00C25593">
              <w:rPr>
                <w:rFonts w:ascii="Arial" w:hAnsi="Arial" w:cs="Arial"/>
                <w:sz w:val="20"/>
                <w:szCs w:val="20"/>
              </w:rPr>
              <w:t xml:space="preserve"> as presented in the NPA, but recommends restoring sign details as seen in the 2009 MUTCD depicting color coding for destinations, as the NPA content allows this option.</w:t>
            </w:r>
          </w:p>
        </w:tc>
      </w:tr>
      <w:tr w:rsidR="008C4882" w:rsidRPr="00CE599A" w14:paraId="44A5B351" w14:textId="77777777" w:rsidTr="00FF5FD1">
        <w:trPr>
          <w:cantSplit/>
        </w:trPr>
        <w:tc>
          <w:tcPr>
            <w:tcW w:w="1170" w:type="dxa"/>
          </w:tcPr>
          <w:p w14:paraId="390DB527" w14:textId="4BABB1D0" w:rsidR="008C4882" w:rsidRPr="00CE599A" w:rsidRDefault="008C4882" w:rsidP="008C4882">
            <w:pPr>
              <w:rPr>
                <w:rFonts w:ascii="Arial" w:hAnsi="Arial" w:cs="Arial"/>
                <w:sz w:val="20"/>
                <w:szCs w:val="20"/>
              </w:rPr>
            </w:pPr>
            <w:r w:rsidRPr="00CE599A">
              <w:rPr>
                <w:rFonts w:ascii="Arial" w:hAnsi="Arial" w:cs="Arial"/>
                <w:sz w:val="20"/>
                <w:szCs w:val="20"/>
              </w:rPr>
              <w:t>2D.56</w:t>
            </w:r>
          </w:p>
        </w:tc>
        <w:tc>
          <w:tcPr>
            <w:tcW w:w="1167" w:type="dxa"/>
          </w:tcPr>
          <w:p w14:paraId="5DEB6392" w14:textId="05065140"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2A57C00B" w14:textId="5E67C390"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036F1DF9" w14:textId="4DC657CF"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8DD80DE" w14:textId="3F4A1475" w:rsidR="008C4882" w:rsidRPr="00CE599A" w:rsidRDefault="008C4882" w:rsidP="008C4882">
            <w:pPr>
              <w:rPr>
                <w:rFonts w:ascii="Arial" w:hAnsi="Arial" w:cs="Arial"/>
                <w:sz w:val="20"/>
                <w:szCs w:val="20"/>
              </w:rPr>
            </w:pPr>
            <w:r w:rsidRPr="00CE599A">
              <w:rPr>
                <w:rFonts w:ascii="Arial" w:hAnsi="Arial" w:cs="Arial"/>
                <w:sz w:val="20"/>
                <w:szCs w:val="20"/>
              </w:rPr>
              <w:t>NCUTCD agrees with 2D.56 as presented in the NPA.</w:t>
            </w:r>
          </w:p>
        </w:tc>
      </w:tr>
      <w:tr w:rsidR="008C4882" w:rsidRPr="00CE599A" w14:paraId="37D4903E" w14:textId="77777777" w:rsidTr="00FF5FD1">
        <w:trPr>
          <w:cantSplit/>
        </w:trPr>
        <w:tc>
          <w:tcPr>
            <w:tcW w:w="1170" w:type="dxa"/>
          </w:tcPr>
          <w:p w14:paraId="32F95D1F" w14:textId="4C286996" w:rsidR="008C4882" w:rsidRPr="00CE599A" w:rsidRDefault="008C4882" w:rsidP="008C4882">
            <w:pPr>
              <w:rPr>
                <w:rFonts w:ascii="Arial" w:hAnsi="Arial" w:cs="Arial"/>
                <w:sz w:val="20"/>
                <w:szCs w:val="20"/>
              </w:rPr>
            </w:pPr>
            <w:r w:rsidRPr="00CE599A">
              <w:rPr>
                <w:rFonts w:ascii="Arial" w:hAnsi="Arial" w:cs="Arial"/>
                <w:sz w:val="20"/>
                <w:szCs w:val="20"/>
              </w:rPr>
              <w:t>2D.57</w:t>
            </w:r>
          </w:p>
        </w:tc>
        <w:tc>
          <w:tcPr>
            <w:tcW w:w="1167" w:type="dxa"/>
          </w:tcPr>
          <w:p w14:paraId="23762CC1" w14:textId="3C919565"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079FAE53" w14:textId="381D0CF9"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3EF6133" w14:textId="4D8778A9"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1709A19" w14:textId="0465A993" w:rsidR="008C4882" w:rsidRPr="00CE599A" w:rsidRDefault="00BB56A0" w:rsidP="008C4882">
            <w:pPr>
              <w:rPr>
                <w:rFonts w:ascii="Arial" w:hAnsi="Arial" w:cs="Arial"/>
                <w:sz w:val="20"/>
                <w:szCs w:val="20"/>
              </w:rPr>
            </w:pPr>
            <w:r w:rsidRPr="00BB56A0">
              <w:rPr>
                <w:rFonts w:ascii="Arial" w:hAnsi="Arial" w:cs="Arial"/>
                <w:sz w:val="20"/>
                <w:szCs w:val="20"/>
              </w:rPr>
              <w:t xml:space="preserve">NCUTCD generally agrees with 2D.57 as presented in the NPA, but recommends deleting the second Support paragraph as </w:t>
            </w:r>
            <w:r w:rsidR="00EE7A55">
              <w:rPr>
                <w:rFonts w:ascii="Arial" w:hAnsi="Arial" w:cs="Arial"/>
                <w:sz w:val="20"/>
                <w:szCs w:val="20"/>
              </w:rPr>
              <w:t xml:space="preserve">it </w:t>
            </w:r>
            <w:r w:rsidRPr="00BB56A0">
              <w:rPr>
                <w:rFonts w:ascii="Arial" w:hAnsi="Arial" w:cs="Arial"/>
                <w:sz w:val="20"/>
                <w:szCs w:val="20"/>
              </w:rPr>
              <w:t>does not support the content in this Section</w:t>
            </w:r>
            <w:r w:rsidR="00EE7A55">
              <w:rPr>
                <w:rFonts w:ascii="Arial" w:hAnsi="Arial" w:cs="Arial"/>
                <w:sz w:val="20"/>
                <w:szCs w:val="20"/>
              </w:rPr>
              <w:t>,</w:t>
            </w:r>
            <w:r w:rsidR="00EE7A55">
              <w:t xml:space="preserve"> </w:t>
            </w:r>
            <w:r w:rsidR="00EE7A55" w:rsidRPr="00EE7A55">
              <w:rPr>
                <w:rFonts w:ascii="Arial" w:hAnsi="Arial" w:cs="Arial"/>
                <w:sz w:val="20"/>
                <w:szCs w:val="20"/>
              </w:rPr>
              <w:t>and a proper system of signing routes and sites allows a driver to navigate without taking their eyes off the road.</w:t>
            </w:r>
          </w:p>
        </w:tc>
      </w:tr>
      <w:tr w:rsidR="008C4882" w:rsidRPr="00CE599A" w14:paraId="5C461691" w14:textId="77777777" w:rsidTr="00FF5FD1">
        <w:trPr>
          <w:cantSplit/>
        </w:trPr>
        <w:tc>
          <w:tcPr>
            <w:tcW w:w="1170" w:type="dxa"/>
          </w:tcPr>
          <w:p w14:paraId="33056001" w14:textId="72C32592" w:rsidR="008C4882" w:rsidRPr="00CE599A" w:rsidRDefault="008C4882" w:rsidP="008C4882">
            <w:pPr>
              <w:rPr>
                <w:rFonts w:ascii="Arial" w:hAnsi="Arial" w:cs="Arial"/>
                <w:sz w:val="20"/>
                <w:szCs w:val="20"/>
              </w:rPr>
            </w:pPr>
            <w:r w:rsidRPr="00CE599A">
              <w:rPr>
                <w:rFonts w:ascii="Arial" w:hAnsi="Arial" w:cs="Arial"/>
                <w:sz w:val="20"/>
                <w:szCs w:val="20"/>
              </w:rPr>
              <w:t>Figure 2D-34</w:t>
            </w:r>
          </w:p>
        </w:tc>
        <w:tc>
          <w:tcPr>
            <w:tcW w:w="1167" w:type="dxa"/>
          </w:tcPr>
          <w:p w14:paraId="7040D1E3" w14:textId="7281BD83"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01C0F545" w14:textId="7650476B"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628DF8A9" w14:textId="00D0C564"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B8945C2" w14:textId="6A3882B8"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2D-34 as presented in the NPA.</w:t>
            </w:r>
          </w:p>
        </w:tc>
      </w:tr>
      <w:tr w:rsidR="008C4882" w:rsidRPr="00CE599A" w14:paraId="527F6B4B" w14:textId="77777777" w:rsidTr="00FF5FD1">
        <w:trPr>
          <w:cantSplit/>
        </w:trPr>
        <w:tc>
          <w:tcPr>
            <w:tcW w:w="1170" w:type="dxa"/>
          </w:tcPr>
          <w:p w14:paraId="0EE01370" w14:textId="777C4076" w:rsidR="008C4882" w:rsidRPr="00CE599A" w:rsidRDefault="008C4882" w:rsidP="008C4882">
            <w:pPr>
              <w:rPr>
                <w:rFonts w:ascii="Arial" w:hAnsi="Arial" w:cs="Arial"/>
                <w:sz w:val="20"/>
                <w:szCs w:val="20"/>
              </w:rPr>
            </w:pPr>
            <w:r w:rsidRPr="00CE599A">
              <w:rPr>
                <w:rFonts w:ascii="Arial" w:hAnsi="Arial" w:cs="Arial"/>
                <w:sz w:val="20"/>
                <w:szCs w:val="20"/>
              </w:rPr>
              <w:t>Figure 2D-35</w:t>
            </w:r>
          </w:p>
        </w:tc>
        <w:tc>
          <w:tcPr>
            <w:tcW w:w="1167" w:type="dxa"/>
          </w:tcPr>
          <w:p w14:paraId="455668B5" w14:textId="0C46DFB9"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1EFBCA5D" w14:textId="16017F45"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3C8F06C3" w14:textId="527C4358"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56032A6D" w14:textId="4B823F60"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2D-35 as presented in the NPA.</w:t>
            </w:r>
          </w:p>
        </w:tc>
      </w:tr>
      <w:tr w:rsidR="008C4882" w:rsidRPr="00CE599A" w14:paraId="590D7891" w14:textId="77777777" w:rsidTr="00FF5FD1">
        <w:trPr>
          <w:cantSplit/>
        </w:trPr>
        <w:tc>
          <w:tcPr>
            <w:tcW w:w="1170" w:type="dxa"/>
          </w:tcPr>
          <w:p w14:paraId="7E683E8A" w14:textId="78248A15" w:rsidR="008C4882" w:rsidRPr="00CE599A" w:rsidRDefault="008C4882" w:rsidP="008C4882">
            <w:pPr>
              <w:rPr>
                <w:rFonts w:ascii="Arial" w:hAnsi="Arial" w:cs="Arial"/>
                <w:sz w:val="20"/>
                <w:szCs w:val="20"/>
              </w:rPr>
            </w:pPr>
            <w:r w:rsidRPr="00CE599A">
              <w:rPr>
                <w:rFonts w:ascii="Arial" w:hAnsi="Arial" w:cs="Arial"/>
                <w:sz w:val="20"/>
                <w:szCs w:val="20"/>
              </w:rPr>
              <w:t>2D.58</w:t>
            </w:r>
          </w:p>
        </w:tc>
        <w:tc>
          <w:tcPr>
            <w:tcW w:w="1167" w:type="dxa"/>
          </w:tcPr>
          <w:p w14:paraId="003430BE" w14:textId="1A7683FD"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6D3E9F32" w14:textId="076EE29B"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166E2785" w14:textId="4FE52A9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66BDF0F3" w14:textId="77777777" w:rsidR="003156ED" w:rsidRPr="003156ED" w:rsidRDefault="003156ED" w:rsidP="003156ED">
            <w:pPr>
              <w:rPr>
                <w:rFonts w:ascii="Arial" w:hAnsi="Arial" w:cs="Arial"/>
                <w:bCs/>
                <w:sz w:val="20"/>
                <w:szCs w:val="20"/>
              </w:rPr>
            </w:pPr>
            <w:r w:rsidRPr="003156ED">
              <w:rPr>
                <w:rFonts w:ascii="Arial" w:hAnsi="Arial" w:cs="Arial"/>
                <w:bCs/>
                <w:sz w:val="20"/>
                <w:szCs w:val="20"/>
              </w:rPr>
              <w:t>NCUTCD generally agrees with 2D.58 as presented in the NPA, but recommends revising as follows:</w:t>
            </w:r>
          </w:p>
          <w:p w14:paraId="1FD180DB" w14:textId="299B31EC" w:rsidR="003156ED" w:rsidRPr="003156ED" w:rsidRDefault="003156ED" w:rsidP="003156ED">
            <w:pPr>
              <w:pStyle w:val="ListParagraph"/>
              <w:numPr>
                <w:ilvl w:val="0"/>
                <w:numId w:val="10"/>
              </w:numPr>
              <w:rPr>
                <w:rFonts w:ascii="Arial" w:hAnsi="Arial" w:cs="Arial"/>
                <w:bCs/>
                <w:sz w:val="20"/>
                <w:szCs w:val="20"/>
              </w:rPr>
            </w:pPr>
            <w:r w:rsidRPr="003156ED">
              <w:rPr>
                <w:rFonts w:ascii="Arial" w:hAnsi="Arial" w:cs="Arial"/>
                <w:bCs/>
                <w:sz w:val="20"/>
                <w:szCs w:val="20"/>
              </w:rPr>
              <w:t>Delete the second Support paragraph as it does not support the content in this Section, and a proper system of signing routes and sites allows a driver to navigate without taking their eyes off the road</w:t>
            </w:r>
          </w:p>
          <w:p w14:paraId="43491E96" w14:textId="6CFD596E" w:rsidR="003156ED" w:rsidRPr="003156ED" w:rsidRDefault="003156ED" w:rsidP="003156ED">
            <w:pPr>
              <w:pStyle w:val="ListParagraph"/>
              <w:numPr>
                <w:ilvl w:val="0"/>
                <w:numId w:val="10"/>
              </w:numPr>
              <w:rPr>
                <w:rFonts w:ascii="Arial" w:hAnsi="Arial" w:cs="Arial"/>
                <w:bCs/>
                <w:sz w:val="20"/>
                <w:szCs w:val="20"/>
              </w:rPr>
            </w:pPr>
            <w:r w:rsidRPr="003156ED">
              <w:rPr>
                <w:rFonts w:ascii="Arial" w:hAnsi="Arial" w:cs="Arial"/>
                <w:bCs/>
                <w:sz w:val="20"/>
                <w:szCs w:val="20"/>
              </w:rPr>
              <w:t>Revise the Standard statement to clarify that scenic byway, historic trail and auto tour route signs do not appear similar to highway route markers, so that the trail or byway is not mistaken to be a route of equal importance</w:t>
            </w:r>
          </w:p>
          <w:p w14:paraId="1AEEDFD4" w14:textId="58DCB512" w:rsidR="008C4882" w:rsidRPr="003156ED" w:rsidRDefault="003156ED" w:rsidP="003156ED">
            <w:pPr>
              <w:pStyle w:val="ListParagraph"/>
              <w:numPr>
                <w:ilvl w:val="0"/>
                <w:numId w:val="10"/>
              </w:numPr>
              <w:rPr>
                <w:rFonts w:ascii="Arial" w:hAnsi="Arial" w:cs="Arial"/>
                <w:bCs/>
                <w:sz w:val="20"/>
                <w:szCs w:val="20"/>
              </w:rPr>
            </w:pPr>
            <w:r w:rsidRPr="003156ED">
              <w:rPr>
                <w:rFonts w:ascii="Arial" w:hAnsi="Arial" w:cs="Arial"/>
                <w:bCs/>
                <w:sz w:val="20"/>
                <w:szCs w:val="20"/>
              </w:rPr>
              <w:t>Delete the final Support sentence because Figure 2D-36 does not provide directions from a freeway or expressway interchange</w:t>
            </w:r>
          </w:p>
        </w:tc>
      </w:tr>
      <w:tr w:rsidR="008C4882" w:rsidRPr="00CE599A" w14:paraId="6FFDBC1B" w14:textId="77777777" w:rsidTr="00FF5FD1">
        <w:trPr>
          <w:cantSplit/>
        </w:trPr>
        <w:tc>
          <w:tcPr>
            <w:tcW w:w="1170" w:type="dxa"/>
          </w:tcPr>
          <w:p w14:paraId="5FC87526" w14:textId="341B294B" w:rsidR="008C4882" w:rsidRPr="00CE599A" w:rsidRDefault="008C4882" w:rsidP="008C4882">
            <w:pPr>
              <w:rPr>
                <w:rFonts w:ascii="Arial" w:hAnsi="Arial" w:cs="Arial"/>
                <w:sz w:val="20"/>
                <w:szCs w:val="20"/>
              </w:rPr>
            </w:pPr>
            <w:r w:rsidRPr="00CE599A">
              <w:rPr>
                <w:rFonts w:ascii="Arial" w:hAnsi="Arial" w:cs="Arial"/>
                <w:sz w:val="20"/>
                <w:szCs w:val="20"/>
              </w:rPr>
              <w:t>Figure 2D-36</w:t>
            </w:r>
          </w:p>
        </w:tc>
        <w:tc>
          <w:tcPr>
            <w:tcW w:w="1167" w:type="dxa"/>
          </w:tcPr>
          <w:p w14:paraId="28431CD4" w14:textId="0D7D25DA"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183" w:type="dxa"/>
          </w:tcPr>
          <w:p w14:paraId="31B5CBAE" w14:textId="4FF76AD3"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1017" w:type="dxa"/>
          </w:tcPr>
          <w:p w14:paraId="2653A3CF" w14:textId="1D5EFCA7"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71C00E9E" w14:textId="10F88A84" w:rsidR="008C4882" w:rsidRPr="00CE599A" w:rsidRDefault="008C4882" w:rsidP="008C4882">
            <w:pPr>
              <w:rPr>
                <w:rFonts w:ascii="Arial" w:hAnsi="Arial" w:cs="Arial"/>
                <w:sz w:val="20"/>
                <w:szCs w:val="20"/>
              </w:rPr>
            </w:pPr>
            <w:r w:rsidRPr="00CE599A">
              <w:rPr>
                <w:rFonts w:ascii="Arial" w:hAnsi="Arial" w:cs="Arial"/>
                <w:sz w:val="20"/>
                <w:szCs w:val="20"/>
              </w:rPr>
              <w:t>NCUTCD agrees with Figure 2D-36 as presented in the NPA.</w:t>
            </w:r>
          </w:p>
        </w:tc>
      </w:tr>
      <w:tr w:rsidR="008C4882" w:rsidRPr="00CE599A" w14:paraId="52792D8C" w14:textId="77777777" w:rsidTr="00FF5FD1">
        <w:trPr>
          <w:cantSplit/>
        </w:trPr>
        <w:tc>
          <w:tcPr>
            <w:tcW w:w="1170" w:type="dxa"/>
          </w:tcPr>
          <w:p w14:paraId="1A4E4741" w14:textId="3A448FFE" w:rsidR="008C4882" w:rsidRPr="00CE599A" w:rsidRDefault="008C4882" w:rsidP="008C4882">
            <w:pPr>
              <w:rPr>
                <w:rFonts w:ascii="Arial" w:hAnsi="Arial" w:cs="Arial"/>
                <w:sz w:val="20"/>
                <w:szCs w:val="20"/>
              </w:rPr>
            </w:pPr>
            <w:r w:rsidRPr="00CE599A">
              <w:rPr>
                <w:rFonts w:ascii="Arial" w:hAnsi="Arial" w:cs="Arial"/>
                <w:sz w:val="20"/>
                <w:szCs w:val="20"/>
              </w:rPr>
              <w:t>2D.59</w:t>
            </w:r>
          </w:p>
        </w:tc>
        <w:tc>
          <w:tcPr>
            <w:tcW w:w="1167" w:type="dxa"/>
          </w:tcPr>
          <w:p w14:paraId="48104C59" w14:textId="661BDC7A"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344DD3F7" w14:textId="55E62BAE"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28C97835" w14:textId="7A26999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1934060" w14:textId="77777777" w:rsidR="00C74A71" w:rsidRPr="00C74A71" w:rsidRDefault="00C74A71" w:rsidP="00C74A71">
            <w:pPr>
              <w:rPr>
                <w:rFonts w:ascii="Arial" w:hAnsi="Arial" w:cs="Arial"/>
                <w:bCs/>
                <w:sz w:val="20"/>
                <w:szCs w:val="20"/>
              </w:rPr>
            </w:pPr>
            <w:r w:rsidRPr="00C74A71">
              <w:rPr>
                <w:rFonts w:ascii="Arial" w:hAnsi="Arial" w:cs="Arial"/>
                <w:bCs/>
                <w:sz w:val="20"/>
                <w:szCs w:val="20"/>
              </w:rPr>
              <w:t>The intent of this signing is to bypass incidents on the main route rather than be a bypass for emergencies.  Use of the term EMERGENCY for signing as described in this proposal conflicts with the public’s more common understanding of the word EMERGENCY, such as for medical, fire or evacuation. In some states, activation of a signed emergency route would require an emergency declaration such as for regulations related to snow emergency routes. The marking of emergency routes is also typically done as a response to a declaration of an emergency (hurricane, snow emergency, etc.) Based on this, NCUTCD recommends revising 2D.59 as follows in accordance with NCUTCD recommendation 18A-GMI-01:</w:t>
            </w:r>
          </w:p>
          <w:p w14:paraId="0919590D" w14:textId="2BC4BECF" w:rsidR="00C74A71" w:rsidRPr="00C74A71" w:rsidRDefault="00C74A71" w:rsidP="00C74A71">
            <w:pPr>
              <w:pStyle w:val="ListParagraph"/>
              <w:numPr>
                <w:ilvl w:val="0"/>
                <w:numId w:val="11"/>
              </w:numPr>
              <w:rPr>
                <w:rFonts w:ascii="Arial" w:hAnsi="Arial" w:cs="Arial"/>
                <w:bCs/>
                <w:sz w:val="20"/>
                <w:szCs w:val="20"/>
              </w:rPr>
            </w:pPr>
            <w:r w:rsidRPr="00C74A71">
              <w:rPr>
                <w:rFonts w:ascii="Arial" w:hAnsi="Arial" w:cs="Arial"/>
                <w:bCs/>
                <w:sz w:val="20"/>
                <w:szCs w:val="20"/>
              </w:rPr>
              <w:t>Revise the section title from “EMERGENCY ROUTE and EMERGENCY ROUTE TO Signs and Plaques” to “INCIDENT BYPASS Signs and Plaques”</w:t>
            </w:r>
          </w:p>
          <w:p w14:paraId="2C7A07B7" w14:textId="35D8CBA3" w:rsidR="00C74A71" w:rsidRPr="00C74A71" w:rsidRDefault="00C74A71" w:rsidP="00C74A71">
            <w:pPr>
              <w:pStyle w:val="ListParagraph"/>
              <w:numPr>
                <w:ilvl w:val="0"/>
                <w:numId w:val="11"/>
              </w:numPr>
              <w:rPr>
                <w:rFonts w:ascii="Arial" w:hAnsi="Arial" w:cs="Arial"/>
                <w:bCs/>
                <w:sz w:val="20"/>
                <w:szCs w:val="20"/>
              </w:rPr>
            </w:pPr>
            <w:r w:rsidRPr="00C74A71">
              <w:rPr>
                <w:rFonts w:ascii="Arial" w:hAnsi="Arial" w:cs="Arial"/>
                <w:bCs/>
                <w:sz w:val="20"/>
                <w:szCs w:val="20"/>
              </w:rPr>
              <w:t>Change all instances of “EMERGENCY ROUTE and EMERGENCY ROUTE TO” to “INCIDENT BYPASS”</w:t>
            </w:r>
          </w:p>
          <w:p w14:paraId="54155C0C" w14:textId="59090E25" w:rsidR="008C4882" w:rsidRPr="00C74A71" w:rsidRDefault="00C74A71" w:rsidP="00C74A71">
            <w:pPr>
              <w:pStyle w:val="ListParagraph"/>
              <w:numPr>
                <w:ilvl w:val="0"/>
                <w:numId w:val="11"/>
              </w:numPr>
              <w:rPr>
                <w:rFonts w:ascii="Arial" w:hAnsi="Arial" w:cs="Arial"/>
                <w:bCs/>
                <w:sz w:val="20"/>
                <w:szCs w:val="20"/>
              </w:rPr>
            </w:pPr>
            <w:r w:rsidRPr="00C74A71">
              <w:rPr>
                <w:rFonts w:ascii="Arial" w:hAnsi="Arial" w:cs="Arial"/>
                <w:bCs/>
                <w:sz w:val="20"/>
                <w:szCs w:val="20"/>
              </w:rPr>
              <w:t>Other editorial revisions as needed</w:t>
            </w:r>
          </w:p>
        </w:tc>
      </w:tr>
      <w:tr w:rsidR="008C4882" w:rsidRPr="00CE599A" w14:paraId="61DB897D" w14:textId="77777777" w:rsidTr="00FF5FD1">
        <w:trPr>
          <w:cantSplit/>
        </w:trPr>
        <w:tc>
          <w:tcPr>
            <w:tcW w:w="1170" w:type="dxa"/>
          </w:tcPr>
          <w:p w14:paraId="2EA325E6" w14:textId="18BB24FF" w:rsidR="008C4882" w:rsidRPr="00CE599A" w:rsidRDefault="008C4882" w:rsidP="008C4882">
            <w:pPr>
              <w:rPr>
                <w:rFonts w:ascii="Arial" w:hAnsi="Arial" w:cs="Arial"/>
                <w:sz w:val="20"/>
                <w:szCs w:val="20"/>
              </w:rPr>
            </w:pPr>
            <w:r w:rsidRPr="00CE599A">
              <w:rPr>
                <w:rFonts w:ascii="Arial" w:hAnsi="Arial" w:cs="Arial"/>
                <w:sz w:val="20"/>
                <w:szCs w:val="20"/>
              </w:rPr>
              <w:t>Figure 2D-37</w:t>
            </w:r>
          </w:p>
        </w:tc>
        <w:tc>
          <w:tcPr>
            <w:tcW w:w="1167" w:type="dxa"/>
          </w:tcPr>
          <w:p w14:paraId="43F1BE33" w14:textId="2946F470"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2C1A759B" w14:textId="221C2662"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0E1E954D" w14:textId="2CF95232"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3F6192A" w14:textId="77777777" w:rsidR="006919B5" w:rsidRPr="006919B5" w:rsidRDefault="006919B5" w:rsidP="006919B5">
            <w:pPr>
              <w:rPr>
                <w:rFonts w:ascii="Arial" w:hAnsi="Arial" w:cs="Arial"/>
                <w:bCs/>
                <w:sz w:val="20"/>
                <w:szCs w:val="20"/>
              </w:rPr>
            </w:pPr>
            <w:r w:rsidRPr="006919B5">
              <w:rPr>
                <w:rFonts w:ascii="Arial" w:hAnsi="Arial" w:cs="Arial"/>
                <w:bCs/>
                <w:sz w:val="20"/>
                <w:szCs w:val="20"/>
              </w:rPr>
              <w:t>NCUTCD recommends revising Figure 2D-37 in accordance with NCUTCD recommendation 18A-GMI-01 as follows:</w:t>
            </w:r>
          </w:p>
          <w:p w14:paraId="13301ADB" w14:textId="368B2319" w:rsidR="006919B5" w:rsidRPr="006919B5" w:rsidRDefault="006919B5" w:rsidP="006919B5">
            <w:pPr>
              <w:pStyle w:val="ListParagraph"/>
              <w:numPr>
                <w:ilvl w:val="0"/>
                <w:numId w:val="12"/>
              </w:numPr>
              <w:rPr>
                <w:rFonts w:ascii="Arial" w:hAnsi="Arial" w:cs="Arial"/>
                <w:bCs/>
                <w:sz w:val="20"/>
                <w:szCs w:val="20"/>
              </w:rPr>
            </w:pPr>
            <w:r w:rsidRPr="006919B5">
              <w:rPr>
                <w:rFonts w:ascii="Arial" w:hAnsi="Arial" w:cs="Arial"/>
                <w:bCs/>
                <w:sz w:val="20"/>
                <w:szCs w:val="20"/>
              </w:rPr>
              <w:t>Select one of these titles as the final figure title</w:t>
            </w:r>
          </w:p>
          <w:p w14:paraId="46526438" w14:textId="4F2F1975" w:rsidR="008C4882" w:rsidRPr="006919B5" w:rsidRDefault="006919B5" w:rsidP="006919B5">
            <w:pPr>
              <w:pStyle w:val="ListParagraph"/>
              <w:numPr>
                <w:ilvl w:val="0"/>
                <w:numId w:val="12"/>
              </w:numPr>
              <w:rPr>
                <w:rFonts w:ascii="Arial" w:hAnsi="Arial" w:cs="Arial"/>
                <w:bCs/>
                <w:sz w:val="20"/>
                <w:szCs w:val="20"/>
              </w:rPr>
            </w:pPr>
            <w:r w:rsidRPr="006919B5">
              <w:rPr>
                <w:rFonts w:ascii="Arial" w:hAnsi="Arial" w:cs="Arial"/>
                <w:bCs/>
                <w:sz w:val="20"/>
                <w:szCs w:val="20"/>
              </w:rPr>
              <w:t>Revise all instances of “EMERGENCY ROUTE” and “EMERGENCY ROUTE TO” to “INCIDENT BYPASS”</w:t>
            </w:r>
          </w:p>
        </w:tc>
      </w:tr>
      <w:tr w:rsidR="008C4882" w:rsidRPr="00CE599A" w14:paraId="2D84379B" w14:textId="77777777" w:rsidTr="00FF5FD1">
        <w:trPr>
          <w:cantSplit/>
        </w:trPr>
        <w:tc>
          <w:tcPr>
            <w:tcW w:w="1170" w:type="dxa"/>
          </w:tcPr>
          <w:p w14:paraId="0DD53100" w14:textId="30EC1E02" w:rsidR="008C4882" w:rsidRPr="00CE599A" w:rsidRDefault="008C4882" w:rsidP="008C4882">
            <w:pPr>
              <w:rPr>
                <w:rFonts w:ascii="Arial" w:hAnsi="Arial" w:cs="Arial"/>
                <w:sz w:val="20"/>
                <w:szCs w:val="20"/>
              </w:rPr>
            </w:pPr>
            <w:r w:rsidRPr="00CE599A">
              <w:rPr>
                <w:rFonts w:ascii="Arial" w:hAnsi="Arial" w:cs="Arial"/>
                <w:sz w:val="20"/>
                <w:szCs w:val="20"/>
              </w:rPr>
              <w:lastRenderedPageBreak/>
              <w:t>Figure 2D-38</w:t>
            </w:r>
          </w:p>
        </w:tc>
        <w:tc>
          <w:tcPr>
            <w:tcW w:w="1167" w:type="dxa"/>
          </w:tcPr>
          <w:p w14:paraId="46C57802" w14:textId="4118B162" w:rsidR="008C4882" w:rsidRPr="00CE599A" w:rsidRDefault="008C4882" w:rsidP="008C4882">
            <w:pPr>
              <w:jc w:val="center"/>
              <w:rPr>
                <w:rFonts w:ascii="Arial" w:hAnsi="Arial" w:cs="Arial"/>
                <w:sz w:val="20"/>
                <w:szCs w:val="20"/>
              </w:rPr>
            </w:pPr>
            <w:r w:rsidRPr="00CE599A">
              <w:rPr>
                <w:rFonts w:ascii="Arial" w:hAnsi="Arial" w:cs="Arial"/>
                <w:sz w:val="20"/>
                <w:szCs w:val="20"/>
              </w:rPr>
              <w:t>NO</w:t>
            </w:r>
          </w:p>
        </w:tc>
        <w:tc>
          <w:tcPr>
            <w:tcW w:w="1183" w:type="dxa"/>
          </w:tcPr>
          <w:p w14:paraId="2099C89C" w14:textId="6B59C3C8" w:rsidR="008C4882" w:rsidRPr="00CE599A" w:rsidRDefault="008C4882" w:rsidP="008C4882">
            <w:pPr>
              <w:jc w:val="center"/>
              <w:rPr>
                <w:rFonts w:ascii="Arial" w:hAnsi="Arial" w:cs="Arial"/>
                <w:sz w:val="20"/>
                <w:szCs w:val="20"/>
              </w:rPr>
            </w:pPr>
            <w:r w:rsidRPr="00CE599A">
              <w:rPr>
                <w:rFonts w:ascii="Arial" w:hAnsi="Arial" w:cs="Arial"/>
                <w:sz w:val="20"/>
                <w:szCs w:val="20"/>
              </w:rPr>
              <w:t>YES</w:t>
            </w:r>
          </w:p>
        </w:tc>
        <w:tc>
          <w:tcPr>
            <w:tcW w:w="1017" w:type="dxa"/>
          </w:tcPr>
          <w:p w14:paraId="46B1C105" w14:textId="6DB8BEEC" w:rsidR="008C4882" w:rsidRPr="00CE599A" w:rsidRDefault="008C4882" w:rsidP="008C4882">
            <w:pPr>
              <w:jc w:val="center"/>
              <w:rPr>
                <w:rFonts w:ascii="Arial" w:hAnsi="Arial" w:cs="Arial"/>
                <w:sz w:val="20"/>
                <w:szCs w:val="20"/>
              </w:rPr>
            </w:pPr>
            <w:r w:rsidRPr="00CE599A">
              <w:rPr>
                <w:rFonts w:ascii="Arial" w:hAnsi="Arial" w:cs="Arial"/>
                <w:sz w:val="20"/>
                <w:szCs w:val="20"/>
              </w:rPr>
              <w:t>N/A</w:t>
            </w:r>
          </w:p>
        </w:tc>
        <w:tc>
          <w:tcPr>
            <w:tcW w:w="6263" w:type="dxa"/>
          </w:tcPr>
          <w:p w14:paraId="0D036B07" w14:textId="77777777" w:rsidR="006919B5" w:rsidRPr="006919B5" w:rsidRDefault="006919B5" w:rsidP="006919B5">
            <w:pPr>
              <w:rPr>
                <w:rFonts w:ascii="Arial" w:hAnsi="Arial" w:cs="Arial"/>
                <w:bCs/>
                <w:sz w:val="20"/>
                <w:szCs w:val="20"/>
              </w:rPr>
            </w:pPr>
            <w:r w:rsidRPr="006919B5">
              <w:rPr>
                <w:rFonts w:ascii="Arial" w:hAnsi="Arial" w:cs="Arial"/>
                <w:bCs/>
                <w:sz w:val="20"/>
                <w:szCs w:val="20"/>
              </w:rPr>
              <w:t>NCUTCD recommends revising Figure 2D-38 in accordance with NCUTCD recommendation 18A-GMI-01 as follows:</w:t>
            </w:r>
          </w:p>
          <w:p w14:paraId="572DB486" w14:textId="2DFA28E5" w:rsidR="006919B5" w:rsidRPr="006919B5" w:rsidRDefault="006919B5" w:rsidP="006919B5">
            <w:pPr>
              <w:pStyle w:val="ListParagraph"/>
              <w:numPr>
                <w:ilvl w:val="0"/>
                <w:numId w:val="13"/>
              </w:numPr>
              <w:rPr>
                <w:rFonts w:ascii="Arial" w:hAnsi="Arial" w:cs="Arial"/>
                <w:bCs/>
                <w:sz w:val="20"/>
                <w:szCs w:val="20"/>
              </w:rPr>
            </w:pPr>
            <w:r w:rsidRPr="006919B5">
              <w:rPr>
                <w:rFonts w:ascii="Arial" w:hAnsi="Arial" w:cs="Arial"/>
                <w:bCs/>
                <w:sz w:val="20"/>
                <w:szCs w:val="20"/>
              </w:rPr>
              <w:t>Select one of these titles as the final figure title</w:t>
            </w:r>
          </w:p>
          <w:p w14:paraId="0F734F60" w14:textId="70FF97AE" w:rsidR="006919B5" w:rsidRPr="006919B5" w:rsidRDefault="006919B5" w:rsidP="006919B5">
            <w:pPr>
              <w:pStyle w:val="ListParagraph"/>
              <w:numPr>
                <w:ilvl w:val="0"/>
                <w:numId w:val="13"/>
              </w:numPr>
              <w:rPr>
                <w:rFonts w:ascii="Arial" w:hAnsi="Arial" w:cs="Arial"/>
                <w:bCs/>
                <w:sz w:val="20"/>
                <w:szCs w:val="20"/>
              </w:rPr>
            </w:pPr>
            <w:r w:rsidRPr="006919B5">
              <w:rPr>
                <w:rFonts w:ascii="Arial" w:hAnsi="Arial" w:cs="Arial"/>
                <w:bCs/>
                <w:sz w:val="20"/>
                <w:szCs w:val="20"/>
              </w:rPr>
              <w:t>Revise all instances of “EMERGENCY ROUTE” and “EMERGENCY ROUTE TO” to “INCIDENT BYPASS”</w:t>
            </w:r>
          </w:p>
          <w:p w14:paraId="2C46A712" w14:textId="186ADAC9" w:rsidR="008C4882" w:rsidRPr="006919B5" w:rsidRDefault="006919B5" w:rsidP="006919B5">
            <w:pPr>
              <w:pStyle w:val="ListParagraph"/>
              <w:numPr>
                <w:ilvl w:val="0"/>
                <w:numId w:val="13"/>
              </w:numPr>
              <w:rPr>
                <w:rFonts w:ascii="Arial" w:hAnsi="Arial" w:cs="Arial"/>
                <w:sz w:val="20"/>
                <w:szCs w:val="20"/>
              </w:rPr>
            </w:pPr>
            <w:r w:rsidRPr="006919B5">
              <w:rPr>
                <w:rFonts w:ascii="Arial" w:hAnsi="Arial" w:cs="Arial"/>
                <w:bCs/>
                <w:sz w:val="20"/>
                <w:szCs w:val="20"/>
              </w:rPr>
              <w:t>Remove the contour and river/stream lines as they provide no value to the reader</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bookmarkEnd w:id="1"/>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3A1559D" w:rsidR="00FE495D" w:rsidRPr="00A67B2B" w:rsidRDefault="00FE495D" w:rsidP="00FE495D">
            <w:pPr>
              <w:rPr>
                <w:rFonts w:ascii="Arial" w:hAnsi="Arial" w:cs="Arial"/>
                <w:sz w:val="20"/>
                <w:szCs w:val="20"/>
              </w:rPr>
            </w:pPr>
          </w:p>
          <w:p w14:paraId="40E1BA12" w14:textId="1287C244" w:rsidR="002A11FF" w:rsidRPr="00A67B2B" w:rsidRDefault="002A11FF" w:rsidP="00A67B2B">
            <w:pPr>
              <w:spacing w:line="259" w:lineRule="auto"/>
              <w:rPr>
                <w:rFonts w:ascii="Arial" w:hAnsi="Arial" w:cs="Arial"/>
                <w:sz w:val="20"/>
                <w:szCs w:val="20"/>
              </w:rPr>
            </w:pPr>
          </w:p>
        </w:tc>
        <w:tc>
          <w:tcPr>
            <w:tcW w:w="1361" w:type="dxa"/>
          </w:tcPr>
          <w:p w14:paraId="2EAC2220" w14:textId="0F5E6B50" w:rsidR="002A11FF" w:rsidRPr="00A67B2B" w:rsidRDefault="002A11FF" w:rsidP="00A67B2B">
            <w:pPr>
              <w:spacing w:line="259" w:lineRule="auto"/>
              <w:jc w:val="center"/>
              <w:rPr>
                <w:rFonts w:ascii="Arial" w:hAnsi="Arial" w:cs="Arial"/>
                <w:sz w:val="20"/>
                <w:szCs w:val="20"/>
              </w:rPr>
            </w:pPr>
          </w:p>
        </w:tc>
        <w:tc>
          <w:tcPr>
            <w:tcW w:w="1306" w:type="dxa"/>
          </w:tcPr>
          <w:p w14:paraId="1CA5FA72" w14:textId="34479888"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05DC4" w14:textId="77777777" w:rsidR="00B73674" w:rsidRDefault="00B73674" w:rsidP="00CA28CD">
      <w:pPr>
        <w:spacing w:after="0" w:line="240" w:lineRule="auto"/>
      </w:pPr>
      <w:r>
        <w:separator/>
      </w:r>
    </w:p>
  </w:endnote>
  <w:endnote w:type="continuationSeparator" w:id="0">
    <w:p w14:paraId="64FEA0A7" w14:textId="77777777" w:rsidR="00B73674" w:rsidRDefault="00B73674"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A4926C9" w:rsidR="00CE599A" w:rsidRPr="00A67B2B" w:rsidRDefault="00CE599A" w:rsidP="006F22B4">
    <w:pPr>
      <w:pStyle w:val="Footer"/>
      <w:tabs>
        <w:tab w:val="clear" w:pos="4680"/>
        <w:tab w:val="clear" w:pos="9360"/>
        <w:tab w:val="right" w:pos="972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Pr>
        <w:rFonts w:ascii="Arial" w:hAnsi="Arial" w:cs="Arial"/>
        <w:sz w:val="21"/>
        <w:szCs w:val="21"/>
      </w:rPr>
      <w:tab/>
      <w:t>National Committee on Uniform Traffic Control Devices (NCUTCD) - Chapter 2D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EAEE2" w14:textId="77777777" w:rsidR="00B73674" w:rsidRDefault="00B73674" w:rsidP="00CA28CD">
      <w:pPr>
        <w:spacing w:after="0" w:line="240" w:lineRule="auto"/>
      </w:pPr>
      <w:r>
        <w:separator/>
      </w:r>
    </w:p>
  </w:footnote>
  <w:footnote w:type="continuationSeparator" w:id="0">
    <w:p w14:paraId="7ADF0F76" w14:textId="77777777" w:rsidR="00B73674" w:rsidRDefault="00B73674"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CE599A" w:rsidRPr="00A67B2B" w:rsidRDefault="00CE599A"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E599A" w:rsidRPr="00A67B2B" w:rsidRDefault="00CE599A"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5E3D"/>
    <w:multiLevelType w:val="hybridMultilevel"/>
    <w:tmpl w:val="4740D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AE78BE"/>
    <w:multiLevelType w:val="hybridMultilevel"/>
    <w:tmpl w:val="E75A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47316"/>
    <w:multiLevelType w:val="hybridMultilevel"/>
    <w:tmpl w:val="B1D82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7B42BE"/>
    <w:multiLevelType w:val="hybridMultilevel"/>
    <w:tmpl w:val="6D5E2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1B033A"/>
    <w:multiLevelType w:val="hybridMultilevel"/>
    <w:tmpl w:val="DF66D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E2CB3"/>
    <w:multiLevelType w:val="hybridMultilevel"/>
    <w:tmpl w:val="1F240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C9008A"/>
    <w:multiLevelType w:val="hybridMultilevel"/>
    <w:tmpl w:val="9E9AE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6F3788"/>
    <w:multiLevelType w:val="hybridMultilevel"/>
    <w:tmpl w:val="53A0A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80367E"/>
    <w:multiLevelType w:val="hybridMultilevel"/>
    <w:tmpl w:val="82C2C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570AD6"/>
    <w:multiLevelType w:val="hybridMultilevel"/>
    <w:tmpl w:val="C4208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B64C96"/>
    <w:multiLevelType w:val="hybridMultilevel"/>
    <w:tmpl w:val="92544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4557F8"/>
    <w:multiLevelType w:val="hybridMultilevel"/>
    <w:tmpl w:val="F594C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CF6DEA"/>
    <w:multiLevelType w:val="hybridMultilevel"/>
    <w:tmpl w:val="FDE84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6"/>
  </w:num>
  <w:num w:numId="4">
    <w:abstractNumId w:val="3"/>
  </w:num>
  <w:num w:numId="5">
    <w:abstractNumId w:val="0"/>
  </w:num>
  <w:num w:numId="6">
    <w:abstractNumId w:val="13"/>
  </w:num>
  <w:num w:numId="7">
    <w:abstractNumId w:val="7"/>
  </w:num>
  <w:num w:numId="8">
    <w:abstractNumId w:val="1"/>
  </w:num>
  <w:num w:numId="9">
    <w:abstractNumId w:val="11"/>
  </w:num>
  <w:num w:numId="10">
    <w:abstractNumId w:val="4"/>
  </w:num>
  <w:num w:numId="11">
    <w:abstractNumId w:val="8"/>
  </w:num>
  <w:num w:numId="12">
    <w:abstractNumId w:val="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37DC3"/>
    <w:rsid w:val="00056B32"/>
    <w:rsid w:val="00057668"/>
    <w:rsid w:val="00064834"/>
    <w:rsid w:val="00084279"/>
    <w:rsid w:val="000B28D3"/>
    <w:rsid w:val="000B5CB7"/>
    <w:rsid w:val="000C12B2"/>
    <w:rsid w:val="000D7F45"/>
    <w:rsid w:val="000E5FF2"/>
    <w:rsid w:val="000F6CA9"/>
    <w:rsid w:val="001177E6"/>
    <w:rsid w:val="00126B3C"/>
    <w:rsid w:val="00132073"/>
    <w:rsid w:val="00142413"/>
    <w:rsid w:val="001467C2"/>
    <w:rsid w:val="001566EE"/>
    <w:rsid w:val="00160C94"/>
    <w:rsid w:val="00167C41"/>
    <w:rsid w:val="00185458"/>
    <w:rsid w:val="00187D5A"/>
    <w:rsid w:val="00192171"/>
    <w:rsid w:val="001B1B30"/>
    <w:rsid w:val="001B5156"/>
    <w:rsid w:val="001C7E04"/>
    <w:rsid w:val="001E1EBD"/>
    <w:rsid w:val="002063CD"/>
    <w:rsid w:val="00225108"/>
    <w:rsid w:val="00241940"/>
    <w:rsid w:val="00242B8E"/>
    <w:rsid w:val="00260856"/>
    <w:rsid w:val="002715A2"/>
    <w:rsid w:val="002715A7"/>
    <w:rsid w:val="00275DFC"/>
    <w:rsid w:val="00277785"/>
    <w:rsid w:val="002822C9"/>
    <w:rsid w:val="00286AE2"/>
    <w:rsid w:val="0029338F"/>
    <w:rsid w:val="00295CAE"/>
    <w:rsid w:val="002A11FF"/>
    <w:rsid w:val="002A1D98"/>
    <w:rsid w:val="002A50E5"/>
    <w:rsid w:val="002B60BF"/>
    <w:rsid w:val="002C4CE5"/>
    <w:rsid w:val="002E2E5A"/>
    <w:rsid w:val="002E486E"/>
    <w:rsid w:val="003156ED"/>
    <w:rsid w:val="00320508"/>
    <w:rsid w:val="00354FE9"/>
    <w:rsid w:val="00371935"/>
    <w:rsid w:val="003774EE"/>
    <w:rsid w:val="00393E82"/>
    <w:rsid w:val="00396819"/>
    <w:rsid w:val="003A5B25"/>
    <w:rsid w:val="003A68AB"/>
    <w:rsid w:val="003C400F"/>
    <w:rsid w:val="003C79CF"/>
    <w:rsid w:val="003D605E"/>
    <w:rsid w:val="003F578E"/>
    <w:rsid w:val="003F6748"/>
    <w:rsid w:val="004053A2"/>
    <w:rsid w:val="004110FD"/>
    <w:rsid w:val="00412ED2"/>
    <w:rsid w:val="00417593"/>
    <w:rsid w:val="00423E54"/>
    <w:rsid w:val="0043299E"/>
    <w:rsid w:val="00433326"/>
    <w:rsid w:val="004430D7"/>
    <w:rsid w:val="004465CE"/>
    <w:rsid w:val="00460EB9"/>
    <w:rsid w:val="004616D1"/>
    <w:rsid w:val="004A03C4"/>
    <w:rsid w:val="004B5FCB"/>
    <w:rsid w:val="004F0FF0"/>
    <w:rsid w:val="004F5CCE"/>
    <w:rsid w:val="005072BD"/>
    <w:rsid w:val="00520AAA"/>
    <w:rsid w:val="00523D43"/>
    <w:rsid w:val="00525497"/>
    <w:rsid w:val="00525FE6"/>
    <w:rsid w:val="00552921"/>
    <w:rsid w:val="005703C8"/>
    <w:rsid w:val="005738DB"/>
    <w:rsid w:val="00596CAD"/>
    <w:rsid w:val="005A3DB4"/>
    <w:rsid w:val="005B694A"/>
    <w:rsid w:val="005D60D5"/>
    <w:rsid w:val="005F11B8"/>
    <w:rsid w:val="0060265C"/>
    <w:rsid w:val="00634404"/>
    <w:rsid w:val="00675E0A"/>
    <w:rsid w:val="006919B5"/>
    <w:rsid w:val="00692B40"/>
    <w:rsid w:val="00692BC8"/>
    <w:rsid w:val="006944BC"/>
    <w:rsid w:val="006957FF"/>
    <w:rsid w:val="006A2A89"/>
    <w:rsid w:val="006B07AA"/>
    <w:rsid w:val="006E6A82"/>
    <w:rsid w:val="006F22B4"/>
    <w:rsid w:val="007068F7"/>
    <w:rsid w:val="00717E10"/>
    <w:rsid w:val="007209EB"/>
    <w:rsid w:val="007535A7"/>
    <w:rsid w:val="00765D73"/>
    <w:rsid w:val="007746E2"/>
    <w:rsid w:val="00782C18"/>
    <w:rsid w:val="00782EC5"/>
    <w:rsid w:val="007A2B2D"/>
    <w:rsid w:val="007B00D6"/>
    <w:rsid w:val="007B7135"/>
    <w:rsid w:val="007D2681"/>
    <w:rsid w:val="007E6FEB"/>
    <w:rsid w:val="007F2B70"/>
    <w:rsid w:val="007F64EB"/>
    <w:rsid w:val="00801DC8"/>
    <w:rsid w:val="0083322F"/>
    <w:rsid w:val="00836E4A"/>
    <w:rsid w:val="00841830"/>
    <w:rsid w:val="00845000"/>
    <w:rsid w:val="00866520"/>
    <w:rsid w:val="008827E3"/>
    <w:rsid w:val="00885A12"/>
    <w:rsid w:val="00885E70"/>
    <w:rsid w:val="00886FE4"/>
    <w:rsid w:val="008905E8"/>
    <w:rsid w:val="008B2A22"/>
    <w:rsid w:val="008B5B38"/>
    <w:rsid w:val="008C4882"/>
    <w:rsid w:val="008E32CA"/>
    <w:rsid w:val="008F321F"/>
    <w:rsid w:val="008F5F1A"/>
    <w:rsid w:val="008F6A14"/>
    <w:rsid w:val="009155B7"/>
    <w:rsid w:val="00920AB6"/>
    <w:rsid w:val="00924717"/>
    <w:rsid w:val="009252C2"/>
    <w:rsid w:val="009272C9"/>
    <w:rsid w:val="00927EB7"/>
    <w:rsid w:val="0093583B"/>
    <w:rsid w:val="00951FD1"/>
    <w:rsid w:val="009816AB"/>
    <w:rsid w:val="00986E47"/>
    <w:rsid w:val="009937CF"/>
    <w:rsid w:val="009953F9"/>
    <w:rsid w:val="00997A49"/>
    <w:rsid w:val="009A121F"/>
    <w:rsid w:val="009B20E9"/>
    <w:rsid w:val="009E0658"/>
    <w:rsid w:val="009E57F1"/>
    <w:rsid w:val="00A23A3A"/>
    <w:rsid w:val="00A470F2"/>
    <w:rsid w:val="00A54333"/>
    <w:rsid w:val="00A60135"/>
    <w:rsid w:val="00A65DDD"/>
    <w:rsid w:val="00A66C4F"/>
    <w:rsid w:val="00A67B2B"/>
    <w:rsid w:val="00A824EB"/>
    <w:rsid w:val="00A95DA2"/>
    <w:rsid w:val="00AA01D9"/>
    <w:rsid w:val="00AB519D"/>
    <w:rsid w:val="00AB56E7"/>
    <w:rsid w:val="00AC2635"/>
    <w:rsid w:val="00AC2CBE"/>
    <w:rsid w:val="00AC4B74"/>
    <w:rsid w:val="00AD21D8"/>
    <w:rsid w:val="00AD2CBE"/>
    <w:rsid w:val="00AF0E95"/>
    <w:rsid w:val="00B014CB"/>
    <w:rsid w:val="00B02FA0"/>
    <w:rsid w:val="00B06C0A"/>
    <w:rsid w:val="00B2559F"/>
    <w:rsid w:val="00B570CF"/>
    <w:rsid w:val="00B64366"/>
    <w:rsid w:val="00B73674"/>
    <w:rsid w:val="00B80D10"/>
    <w:rsid w:val="00B824F8"/>
    <w:rsid w:val="00B8673B"/>
    <w:rsid w:val="00BB104C"/>
    <w:rsid w:val="00BB56A0"/>
    <w:rsid w:val="00BC3B64"/>
    <w:rsid w:val="00BD7682"/>
    <w:rsid w:val="00C0337D"/>
    <w:rsid w:val="00C03636"/>
    <w:rsid w:val="00C1721D"/>
    <w:rsid w:val="00C178C9"/>
    <w:rsid w:val="00C243F5"/>
    <w:rsid w:val="00C25593"/>
    <w:rsid w:val="00C25EA4"/>
    <w:rsid w:val="00C27DB3"/>
    <w:rsid w:val="00C356DE"/>
    <w:rsid w:val="00C4768F"/>
    <w:rsid w:val="00C52EA2"/>
    <w:rsid w:val="00C65E5F"/>
    <w:rsid w:val="00C73D16"/>
    <w:rsid w:val="00C74A71"/>
    <w:rsid w:val="00C75FEE"/>
    <w:rsid w:val="00C77B28"/>
    <w:rsid w:val="00C77D56"/>
    <w:rsid w:val="00C855DC"/>
    <w:rsid w:val="00CA28CD"/>
    <w:rsid w:val="00CB1EA5"/>
    <w:rsid w:val="00CB2B44"/>
    <w:rsid w:val="00CC0DA7"/>
    <w:rsid w:val="00CC5670"/>
    <w:rsid w:val="00CD0FD3"/>
    <w:rsid w:val="00CE0F95"/>
    <w:rsid w:val="00CE599A"/>
    <w:rsid w:val="00D015E1"/>
    <w:rsid w:val="00D040FA"/>
    <w:rsid w:val="00D1100B"/>
    <w:rsid w:val="00D121D6"/>
    <w:rsid w:val="00D22B25"/>
    <w:rsid w:val="00D40A56"/>
    <w:rsid w:val="00D543C1"/>
    <w:rsid w:val="00D66D26"/>
    <w:rsid w:val="00D67AB1"/>
    <w:rsid w:val="00D7094B"/>
    <w:rsid w:val="00D72EC6"/>
    <w:rsid w:val="00D85085"/>
    <w:rsid w:val="00D86280"/>
    <w:rsid w:val="00D9190F"/>
    <w:rsid w:val="00DA6D06"/>
    <w:rsid w:val="00DA7226"/>
    <w:rsid w:val="00DB0FBC"/>
    <w:rsid w:val="00DB37DB"/>
    <w:rsid w:val="00DC684D"/>
    <w:rsid w:val="00DF130A"/>
    <w:rsid w:val="00E0501E"/>
    <w:rsid w:val="00E05E1B"/>
    <w:rsid w:val="00E07BC7"/>
    <w:rsid w:val="00E14F60"/>
    <w:rsid w:val="00E425AB"/>
    <w:rsid w:val="00E62DF5"/>
    <w:rsid w:val="00E75A26"/>
    <w:rsid w:val="00E7709C"/>
    <w:rsid w:val="00E846E5"/>
    <w:rsid w:val="00E972AB"/>
    <w:rsid w:val="00EA2B2F"/>
    <w:rsid w:val="00EA5DC6"/>
    <w:rsid w:val="00EA682C"/>
    <w:rsid w:val="00ED78AA"/>
    <w:rsid w:val="00EE246A"/>
    <w:rsid w:val="00EE7A55"/>
    <w:rsid w:val="00F061E8"/>
    <w:rsid w:val="00F06647"/>
    <w:rsid w:val="00F127BF"/>
    <w:rsid w:val="00F1362C"/>
    <w:rsid w:val="00F17C8E"/>
    <w:rsid w:val="00F43942"/>
    <w:rsid w:val="00F73A1F"/>
    <w:rsid w:val="00F741D7"/>
    <w:rsid w:val="00F80644"/>
    <w:rsid w:val="00F926DD"/>
    <w:rsid w:val="00FA1E54"/>
    <w:rsid w:val="00FA73EB"/>
    <w:rsid w:val="00FC696E"/>
    <w:rsid w:val="00FD1F4F"/>
    <w:rsid w:val="00FE495D"/>
    <w:rsid w:val="00FE6294"/>
    <w:rsid w:val="00FF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customStyle="1" w:styleId="Section">
    <w:name w:val="Section"/>
    <w:basedOn w:val="Normal"/>
    <w:rsid w:val="00841830"/>
    <w:pPr>
      <w:spacing w:before="120" w:after="60" w:line="240" w:lineRule="auto"/>
    </w:pPr>
    <w:rPr>
      <w:rFonts w:ascii="Times" w:eastAsia="Times New Roman" w:hAnsi="Times" w:cs="Times New Roman"/>
      <w:b/>
      <w:sz w:val="24"/>
      <w:szCs w:val="20"/>
    </w:rPr>
  </w:style>
  <w:style w:type="paragraph" w:customStyle="1" w:styleId="Standard">
    <w:name w:val="Standard"/>
    <w:basedOn w:val="Normal"/>
    <w:next w:val="Normal"/>
    <w:link w:val="StandardChar"/>
    <w:rsid w:val="00320508"/>
    <w:pPr>
      <w:tabs>
        <w:tab w:val="left" w:pos="360"/>
      </w:tabs>
      <w:spacing w:after="40" w:line="240" w:lineRule="auto"/>
    </w:pPr>
    <w:rPr>
      <w:rFonts w:ascii="Times" w:eastAsia="Times New Roman" w:hAnsi="Times" w:cs="Times New Roman"/>
      <w:b/>
      <w:szCs w:val="20"/>
    </w:rPr>
  </w:style>
  <w:style w:type="character" w:customStyle="1" w:styleId="StandardChar">
    <w:name w:val="Standard Char"/>
    <w:link w:val="Standard"/>
    <w:rsid w:val="00320508"/>
    <w:rPr>
      <w:rFonts w:ascii="Times" w:eastAsia="Times New Roman" w:hAnsi="Times" w:cs="Times New Roman"/>
      <w:b/>
      <w:szCs w:val="20"/>
    </w:rPr>
  </w:style>
  <w:style w:type="paragraph" w:customStyle="1" w:styleId="sup-guid-opt">
    <w:name w:val="* sup-guid-opt"/>
    <w:basedOn w:val="Normal"/>
    <w:next w:val="Standard"/>
    <w:link w:val="sup-guid-optChar"/>
    <w:rsid w:val="00320508"/>
    <w:pPr>
      <w:tabs>
        <w:tab w:val="left" w:pos="360"/>
      </w:tabs>
      <w:spacing w:after="60" w:line="240" w:lineRule="auto"/>
    </w:pPr>
    <w:rPr>
      <w:rFonts w:ascii="Times" w:eastAsia="Times New Roman" w:hAnsi="Times" w:cs="Times New Roman"/>
      <w:szCs w:val="20"/>
    </w:rPr>
  </w:style>
  <w:style w:type="character" w:customStyle="1" w:styleId="sup-guid-optChar">
    <w:name w:val="* sup-guid-opt Char"/>
    <w:link w:val="sup-guid-opt"/>
    <w:rsid w:val="00320508"/>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781a52b0-d0f4-44f0-98bb-0d102f5fd161" ContentTypeId="0x0101" PreviousValue="false"/>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97D88F-C3B1-4C1C-AF68-7E050AC96ACD}">
  <ds:schemaRefs>
    <ds:schemaRef ds:uri="http://schemas.openxmlformats.org/officeDocument/2006/bibliography"/>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17</cp:revision>
  <dcterms:created xsi:type="dcterms:W3CDTF">2021-05-07T13:29:00Z</dcterms:created>
  <dcterms:modified xsi:type="dcterms:W3CDTF">2021-05-12T03:38:00Z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