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title"/>
      </w:pPr>
      <w:r>
        <w:rPr>
          <w:color w:val="000000"/>
        </w:rPr>
        <w:t>双511 keV符合标记背散射成像算法说明</w:t>
      </w:r>
    </w:p>
    <w:p>
      <w:r>
        <w:t>壁画界面空鼓横向边界定位　更新版　2026-09-30　D1 8%与D2 15% FWHM @511 keV</w:t>
      </w:r>
    </w:p>
    <w:p>
      <w:pPr>
        <w:pStyle w:val="Heading2"/>
        <ck:id v="overview"/>
      </w:pPr>
      <w:bookmarkStart w:id="1" w:name="overview"/>
      <w:r>
        <w:rPr>
          <w:color w:val="000000"/>
        </w:rPr>
        <w:t>零、一页纸总览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我们做的不是"拍一张照片"，而是"对每一个背散射光子，解一个三角形，把散射点的三维坐标算出来"。</w:t>
                </w:r>
                <w:r>
                  <w:t xml:space="preserve"> 一次事件给出一个点；几十万个点堆成三维分布；空鼓（空气层）在那张分布里表现为</w:t>
                </w:r>
                <w:r>
                  <w:rPr>
                    <w:b/>
                  </w:rPr>
                  <w:t>计数亏空</w:t>
                </w:r>
                <w:r>
                  <w:t>。 最终判据不是看图，而是对"有没有一条边界"做统计假设检验。</w:t>
                </w:r>
              </w:p>
            </w:tc>
          </w:tr>
        </w:tbl>
      </w:sdtContent>
    </w:sdt>
    <w:p>
      <w:r>
        <w:t>本文说明事件合成、探测器响应、筛选、散射点重建及边界判定。正式结果以M3为主、M2为对照；当前厚度扫描最薄检出通过档为10 mm，最薄定位通过档为20 mm。以下先明确两台探测器的分工。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072"/>
        <w:gridCol w:w="3072"/>
        <w:gridCol w:w="3072"/>
      </w:tblGrid>
      <w:tr>
        <w:trPr>
          <w:tblHeader/>
          <w:cantSplit/>
          <w:tblHeader/>
        </w:trPr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D1 背散射探测器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D2 标记探测器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形状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GAGG </w:t>
            </w:r>
            <w:r>
              <w:rPr>
                <w:b w:val="0"/>
                <w:color w:val="000000"/>
                <w:sz w:val="20"/>
              </w:rPr>
              <w:t>环</w:t>
            </w:r>
            <w:r>
              <w:rPr>
                <w:b w:val="0"/>
                <w:color w:val="000000"/>
                <w:sz w:val="20"/>
              </w:rPr>
              <w:t>，中心开孔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50×50 </w:t>
            </w:r>
            <w:r>
              <w:rPr>
                <w:b w:val="0"/>
                <w:color w:val="000000"/>
                <w:sz w:val="20"/>
              </w:rPr>
              <w:t>像素阵列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位置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贴近被测物体，源的下方/周围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源的上方远处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接住的是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背散射返回光子；单次90°–180°运动学能量170.3–255.5 keV，实际能窗180–250 keV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背靠背的另一个 511 keV 光子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它给出什么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命中点 </w:t>
            </w:r>
            <w:r>
              <w:rPr>
                <w:rStyle w:val="CkCode"/>
                <w:b w:val="0"/>
                <w:color w:val="000000"/>
                <w:sz w:val="20"/>
              </w:rPr>
              <w:t>H</w:t>
            </w:r>
            <w:r>
              <w:rPr>
                <w:b w:val="0"/>
                <w:color w:val="000000"/>
                <w:sz w:val="20"/>
              </w:rPr>
              <w:t xml:space="preserve"> + 能量 </w:t>
            </w:r>
            <w:r>
              <w:rPr>
                <w:rStyle w:val="CkCode"/>
                <w:b w:val="0"/>
                <w:color w:val="000000"/>
                <w:sz w:val="20"/>
              </w:rPr>
              <w:t>E'</w:t>
            </w:r>
            <w:r>
              <w:rPr>
                <w:b w:val="0"/>
                <w:color w:val="000000"/>
                <w:sz w:val="20"/>
              </w:rPr>
              <w:t xml:space="preserve"> → </w:t>
            </w:r>
            <w:r>
              <w:rPr>
                <w:b w:val="0"/>
                <w:color w:val="000000"/>
                <w:sz w:val="20"/>
              </w:rPr>
              <w:t>散射角 θ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命中点 </w:t>
            </w:r>
            <w:r>
              <w:rPr>
                <w:rStyle w:val="CkCode"/>
                <w:b w:val="0"/>
                <w:color w:val="000000"/>
                <w:sz w:val="20"/>
              </w:rPr>
              <w:t>T</w:t>
            </w:r>
            <w:r>
              <w:rPr>
                <w:b w:val="0"/>
                <w:color w:val="000000"/>
                <w:sz w:val="20"/>
              </w:rPr>
              <w:t xml:space="preserve"> → </w:t>
            </w:r>
            <w:r>
              <w:rPr>
                <w:b w:val="0"/>
                <w:color w:val="000000"/>
                <w:sz w:val="20"/>
              </w:rPr>
              <w:t>入射光子的方向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能量分辨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8% @511 keV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15% @511 keV（需求文档指定）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位置分辨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1.55 / 1.55 / 5.0 mm（当前按读出体素解释）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1.0 / 1.0 / 2.5 mm（当前按读出体素解释）</w:t>
            </w:r>
          </w:p>
        </w:tc>
      </w:tr>
    </w:tbl>
    <w:p>
      <w:r>
        <w:t>流水线被</w:t>
      </w:r>
      <w:r>
        <w:rPr>
          <w:b/>
        </w:rPr>
        <w:t>冻结</w:t>
      </w:r>
      <w:r>
        <w:t>为四步，顺序不可调换：</w:t>
      </w:r>
    </w:p>
    <w:p>
      <w:pPr>
        <w:pStyle w:val="CkCodeBlock"/>
        <ck:lang v=""/>
      </w:pPr>
      <w:r>
        <w:t>事件合成(event sum) → 探测器响应(detector response)</w:t>
      </w:r>
    </w:p>
    <w:p>
      <w:pPr>
        <w:pStyle w:val="CkCodeBlock"/>
        <ck:lang v=""/>
      </w:pPr>
      <w:r>
        <w:t xml:space="preserve">     → 可观测量筛选(observable selection) → 闭式散射点重建(closed-form reconstruction)</w:t>
      </w:r>
    </w:p>
    <w:p>
      <w:r>
        <w:t>冻结的理由：每一步都会改变下一步的输入分布。如果先筛选再加响应，筛选用的是无噪声真值，选出率会被系统性高估；如果先重建再做探测器响应，重建就用到了 GATE 的真值能量，等于偷看答案。</w:t>
      </w:r>
      <w:r>
        <w:rPr>
          <w:b/>
        </w:rPr>
        <w:t>顺序一旦改动，之前所有的标定数字全部作废。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输入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输出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关键参数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事件合成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GATE 单次 hit 列表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按(runID,eventID)聚合的沉积能量与位置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符合窗、位置口径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探测器响应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真值能量 / 位置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展宽、体素化后的测量值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8%、D2 15% @511 keV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可观测量筛选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测量值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通过的事件对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光峰窗、D1 能窗、运动学合法性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闭式重建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事件对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散射点 </w:t>
            </w:r>
            <w:r>
              <w:rPr>
                <w:rStyle w:val="CkCode"/>
                <w:b w:val="0"/>
                <w:color w:val="000000"/>
                <w:sz w:val="20"/>
              </w:rPr>
              <w:t>P = (x, y, z)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源位置、探测器位姿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成像与判定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点云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直方图与比值演示；边界位置x_e及检验量T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深度分带、横向分箱、参照计数掩模</w:t>
            </w:r>
          </w:p>
        </w:tc>
      </w:tr>
    </w:tbl>
    <w:p>
      <w:pPr>
        <w:pBdr>
          <w:bottom w:val="single" w:sz="6" w:space="1" w:color="1A1A1A"/>
        </w:pBdr>
      </w:pPr>
    </w:p>
    <w:p>
      <w:pPr>
        <w:pStyle w:val="Heading2"/>
        <ck:id v="notation"/>
      </w:pPr>
      <w:bookmarkStart w:id="2" w:name="notation"/>
      <w:r>
        <w:rPr>
          <w:color w:val="000000"/>
        </w:rPr>
        <w:t>一、记号与坐标系</w:t>
      </w:r>
      <w:bookmarkEnd w:id="2"/>
    </w:p>
    <w:p>
      <w:r>
        <w:t>坐标原点取在</w:t>
      </w:r>
      <w:r>
        <w:rPr>
          <w:b/>
        </w:rPr>
        <w:t>被测物体表面</w:t>
      </w:r>
      <w:r>
        <w:t>，</w:t>
      </w:r>
      <w:r>
        <w:rPr>
          <w:rStyle w:val="CkCode"/>
        </w:rPr>
        <w:t>z</w:t>
      </w:r>
      <w:r>
        <w:t xml:space="preserve"> 轴指向探测器一侧（物体在 </w:t>
      </w:r>
      <w:r>
        <w:rPr>
          <w:rStyle w:val="CkCode"/>
        </w:rPr>
        <w:t>z &lt; 0</w:t>
      </w:r>
      <w:r>
        <w:t xml:space="preserve">，源在 </w:t>
      </w:r>
      <w:r>
        <w:rPr>
          <w:rStyle w:val="CkCode"/>
        </w:rPr>
        <w:t>z = +17.5 mm</w:t>
      </w:r>
      <w:r>
        <w:t>）。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072"/>
        <w:gridCol w:w="3072"/>
        <w:gridCol w:w="3072"/>
      </w:tblGrid>
      <w:tr>
        <w:trPr>
          <w:tblHeader/>
          <w:cantSplit/>
          <w:tblHeader/>
        </w:trPr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符号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来自哪里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S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湮没点（源位置）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已知硬件几何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T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标记命中点，在 </w:t>
            </w:r>
            <w:r>
              <w:rPr>
                <w:b w:val="0"/>
                <w:color w:val="000000"/>
                <w:sz w:val="20"/>
              </w:rPr>
              <w:t>D2</w:t>
            </w:r>
            <w:r>
              <w:rPr>
                <w:b w:val="0"/>
                <w:color w:val="000000"/>
                <w:sz w:val="20"/>
              </w:rPr>
              <w:t xml:space="preserve"> 上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H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背散射命中点，在 </w:t>
            </w:r>
            <w:r>
              <w:rPr>
                <w:b w:val="0"/>
                <w:color w:val="000000"/>
                <w:sz w:val="20"/>
              </w:rPr>
              <w:t>D1</w:t>
            </w:r>
            <w:r>
              <w:rPr>
                <w:b w:val="0"/>
                <w:color w:val="000000"/>
                <w:sz w:val="20"/>
              </w:rPr>
              <w:t xml:space="preserve"> 上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E'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</w:t>
            </w:r>
            <w:r>
              <w:rPr>
                <w:b w:val="0"/>
                <w:color w:val="000000"/>
                <w:sz w:val="20"/>
              </w:rPr>
              <w:t xml:space="preserve"> 上测得的背散射光子能量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测量（已加 8% 展宽）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入射光子进入物体的单位方向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由背靠背性质从 </w:t>
            </w:r>
            <w:r>
              <w:rPr>
                <w:rStyle w:val="CkCode"/>
                <w:b w:val="0"/>
                <w:color w:val="000000"/>
                <w:sz w:val="20"/>
              </w:rPr>
              <w:t>T</w:t>
            </w:r>
            <w:r>
              <w:rPr>
                <w:b w:val="0"/>
                <w:color w:val="000000"/>
                <w:sz w:val="20"/>
              </w:rPr>
              <w:t xml:space="preserve"> 反推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d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向量 </w:t>
            </w:r>
            <w:r>
              <w:rPr>
                <w:rStyle w:val="CkCode"/>
                <w:b w:val="0"/>
                <w:color w:val="000000"/>
                <w:sz w:val="20"/>
              </w:rPr>
              <w:t>H − S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导出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θ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康普顿散射角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由 </w:t>
            </w:r>
            <w:r>
              <w:rPr>
                <w:rStyle w:val="CkCode"/>
                <w:b w:val="0"/>
                <w:color w:val="000000"/>
                <w:sz w:val="20"/>
              </w:rPr>
              <w:t>E'</w:t>
            </w:r>
            <w:r>
              <w:rPr>
                <w:b w:val="0"/>
                <w:color w:val="000000"/>
                <w:sz w:val="20"/>
              </w:rPr>
              <w:t xml:space="preserve"> 反解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α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在 </w:t>
            </w:r>
            <w:r>
              <w:rPr>
                <w:rStyle w:val="CkCode"/>
                <w:b w:val="0"/>
                <w:color w:val="000000"/>
                <w:sz w:val="20"/>
              </w:rPr>
              <w:t>S</w:t>
            </w:r>
            <w:r>
              <w:rPr>
                <w:b w:val="0"/>
                <w:color w:val="000000"/>
                <w:sz w:val="20"/>
              </w:rPr>
              <w:t xml:space="preserve"> 处 </w:t>
            </w:r>
            <w:r>
              <w:rPr>
                <w:rStyle w:val="CkCode"/>
                <w:b w:val="0"/>
                <w:color w:val="000000"/>
                <w:sz w:val="20"/>
              </w:rPr>
              <w:t>v</w:t>
            </w:r>
            <w:r>
              <w:rPr>
                <w:b w:val="0"/>
                <w:color w:val="000000"/>
                <w:sz w:val="20"/>
              </w:rPr>
              <w:t xml:space="preserve"> 与 </w:t>
            </w:r>
            <w:r>
              <w:rPr>
                <w:rStyle w:val="CkCode"/>
                <w:b w:val="0"/>
                <w:color w:val="000000"/>
                <w:sz w:val="20"/>
              </w:rPr>
              <w:t>d</w:t>
            </w:r>
            <w:r>
              <w:rPr>
                <w:b w:val="0"/>
                <w:color w:val="000000"/>
                <w:sz w:val="20"/>
              </w:rPr>
              <w:t xml:space="preserve"> 的夹角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导出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t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S</w:t>
            </w:r>
            <w:r>
              <w:rPr>
                <w:b w:val="0"/>
                <w:color w:val="000000"/>
                <w:sz w:val="20"/>
              </w:rPr>
              <w:t xml:space="preserve"> 到散射点的路程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待求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P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散射点（重建结果）</w:t>
            </w:r>
            <w:r>
              <w:rPr>
                <w:rStyle w:val="CkCode"/>
                <w:b w:val="0"/>
                <w:color w:val="000000"/>
                <w:sz w:val="20"/>
              </w:rPr>
              <w:t>P = S + t·v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x_e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空鼓边界的横向位置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最终要报的物理量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k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横向刻度系数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标定，见第七节</w:t>
            </w:r>
          </w:p>
        </w:tc>
      </w:tr>
    </w:tbl>
    <w:p>
      <w:pPr>
        <w:pBdr>
          <w:bottom w:val="single" w:sz="6" w:space="1" w:color="1A1A1A"/>
        </w:pBdr>
      </w:pPr>
    </w:p>
    <w:p>
      <w:pPr>
        <w:pStyle w:val="Heading2"/>
        <ck:id v="event-sum"/>
      </w:pPr>
      <w:bookmarkStart w:id="3" w:name="event_sum"/>
      <w:r>
        <w:rPr>
          <w:color w:val="000000"/>
        </w:rPr>
        <w:t>二、第一步：事件合成</w:t>
      </w:r>
      <w:bookmarkEnd w:id="3"/>
    </w:p>
    <w:p>
      <w:r>
        <w:t>GATE 的 hits 树里，</w:t>
      </w:r>
      <w:r>
        <w:rPr>
          <w:b/>
        </w:rPr>
        <w:t>一个入射光子在同一块探测器里可能留下多条 hit</w:t>
      </w:r>
      <w:r>
        <w:t>（多次相互作用、次级电子输运）。直接把每条 hit 当成一次"探测"会把一个事件数成好几个，而且每条的能量都偏低。</w:t>
      </w:r>
    </w:p>
    <w:p>
      <w:r>
        <w:t>按(runID, eventID)及探测器分组，沉积能量求和，位置按能量加权求质心。当前是模拟事例级合成，不是已经实现的实验脉冲合成。</w:t>
      </w:r>
    </w:p>
    <w:p>
      <w:pPr>
        <w:pStyle w:val="CkCodeBlock"/>
        <ck:lang v=""/>
      </w:pPr>
      <w:r>
        <w:t>E_sum = Σ E_i</w:t>
      </w:r>
    </w:p>
    <w:p>
      <w:pPr>
        <w:pStyle w:val="CkCodeBlock"/>
        <ck:lang v=""/>
      </w:pPr>
      <w:r>
        <w:t>X_sum = Σ (E_i · X_i) / E_sum</w:t>
      </w:r>
    </w:p>
    <w:p>
      <w:pPr>
        <w:pStyle w:val="Heading3"/>
        <ck:id v="readout"/>
      </w:pPr>
      <w:r>
        <w:rPr>
          <w:color w:val="000000"/>
        </w:rPr>
        <w:t>2.1 D2位置读出口径与未实现的改进</w:t>
      </w:r>
    </w:p>
    <w:p>
      <w:r>
        <w:t>历史D2位置读出诊断记录了多点相互作用及不同位置口径的差异。下表保留该诊断的数值，但不把它们当作当前M3、D2 15%条件下已经重新验证的空间分辨率。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位置口径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历史横向诊断值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是否只用可观测量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现状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能量加权重心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4.15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当前默认；4.15 mm非本轮新测值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最大沉积晶体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基本无效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康普顿序列重建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2.53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历史估计；完整算法未实现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最早时间晶体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1.46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否</w:t>
            </w:r>
            <w:r>
              <w:rPr>
                <w:b w:val="0"/>
                <w:color w:val="000000"/>
                <w:sz w:val="20"/>
              </w:rPr>
              <w:t>（需 10–100 ps 定序）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可行性上界，不是指标</w:t>
            </w:r>
          </w:p>
        </w:tc>
      </w:tr>
    </w:tbl>
    <w:p>
      <w:pPr>
        <w:pStyle w:val="Quote"/>
        <w:ind w:left="720"/>
      </w:pPr>
      <w:r>
        <w:rPr>
          <w:b/>
        </w:rPr>
        <w:t>必须说清楚的两件事：</w:t>
      </w:r>
    </w:p>
    <w:p>
      <w:pPr>
        <w:pStyle w:val="Quote"/>
        <w:numPr>
          <w:ilvl w:val="0"/>
          <w:numId w:val="1"/>
        </w:numPr>
        <w:ind w:left="1440"/>
      </w:pPr>
      <w:r>
        <w:t>当前流程实际使用能量加权质心。康普顿序列读出的2.53 mm是历史诊断估计，完整读出算法尚未实现；它是候选改进，不是本轮已交付性能。</w:t>
      </w:r>
    </w:p>
    <w:p>
      <w:pPr>
        <w:pStyle w:val="Quote"/>
        <w:numPr>
          <w:ilvl w:val="0"/>
          <w:numId w:val="1"/>
        </w:numPr>
        <w:ind w:left="1440"/>
      </w:pPr>
      <w:r>
        <w:t>最早时间晶体的1.46 mm依赖理想相互作用顺序，只能作为历史诊断中的理想基准。本项目没有实现足以给晶体内相互作用定序的时间读出，不能将其报为系统分辨率。</w:t>
      </w:r>
    </w:p>
    <w:p>
      <w:pPr>
        <w:pStyle w:val="Quote"/>
        <w:ind w:left="720"/>
      </w:pPr>
      <w:r>
        <w:t>为什么"最大沉积晶体"没用：晶体内的康普顿事件里，第一个作用点只沉积反冲电子的能量，散射光子往往在第二颗晶体里被完全光电吸收、沉积更多。所以"能量最高"约有一半概率指向</w:t>
      </w:r>
      <w:r>
        <w:rPr>
          <w:b/>
        </w:rPr>
        <w:t>出射</w:t>
      </w:r>
      <w:r>
        <w:t>晶体而不是入射晶体。</w:t>
      </w:r>
    </w:p>
    <w:p>
      <w:pPr>
        <w:pBdr>
          <w:bottom w:val="single" w:sz="6" w:space="1" w:color="1A1A1A"/>
        </w:pBdr>
      </w:pPr>
    </w:p>
    <w:p>
      <w:pPr/>
      <w:r>
        <w:t>实现边界：事件编号与不同初级光子身份用于理想配对，尚无1 ns时间响应和跨事例偶然符合模型；位置参数按体素中心量化，不是已标定的位置高斯FWHM。物体相互作用真值仅用于诊断，正式phantom_truth_policy=ignore。</w:t>
      </w:r>
    </w:p>
    <w:p>
      <w:pPr>
        <w:pStyle w:val="Heading2"/>
        <ck:id v="response"/>
      </w:pPr>
      <w:bookmarkStart w:id="5" w:name="response"/>
      <w:r>
        <w:rPr>
          <w:color w:val="000000"/>
        </w:rPr>
        <w:t>三、第二步：探测器响应</w:t>
      </w:r>
      <w:bookmarkEnd w:id="5"/>
    </w:p>
    <w:p>
      <w:r>
        <w:t>在筛选和重建之前施加，把"物理真值"变成"仪器读数"。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项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D1 背散射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D2 标记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能量分辨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高斯，FWHM ∝ √E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8% @511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15% @511 keV（需求文档指定）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位置读出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体素化 + 能量加权质心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1.55 / 1.55 / 5.0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1.0 / 1.0 / 2.5 mm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时间分辨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缺</w:t>
            </w:r>
            <w:r>
              <w:rPr>
                <w:b w:val="0"/>
                <w:color w:val="000000"/>
                <w:sz w:val="20"/>
              </w:rPr>
              <w:t>（当前未建模）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死时间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缺</w:t>
            </w:r>
            <w:r>
              <w:rPr>
                <w:b w:val="0"/>
                <w:color w:val="000000"/>
                <w:sz w:val="20"/>
              </w:rPr>
              <w:t>（当前未建模）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</w:tbl>
    <w:p>
      <w:r>
        <w:t>能量展宽采用高斯模型，FWHM(E)=f×511×√(E/511) keV，σ(E)=FWHM(E)/2.355。D1取f=0.08，D2取f=0.15；D1在255.5 keV处的FWHM约28.9 keV。能量误差经散射角反解放大，是深度误差的重要来源；位置读出、几何条件和多次散射也会影响结果。</w:t>
      </w:r>
    </w:p>
    <w:p>
      <w:pPr>
        <w:pBdr>
          <w:bottom w:val="single" w:sz="6" w:space="1" w:color="1A1A1A"/>
        </w:pBdr>
      </w:pPr>
    </w:p>
    <w:p>
      <w:pPr>
        <w:pStyle w:val="Heading2"/>
        <ck:id v="selection"/>
      </w:pPr>
      <w:bookmarkStart w:id="6" w:name="selection"/>
      <w:r>
        <w:rPr>
          <w:color w:val="000000"/>
        </w:rPr>
        <w:t>四、第三步：可观测量筛选</w:t>
      </w:r>
      <w:bookmarkEnd w:id="6"/>
    </w:p>
    <w:p>
      <w:r>
        <w:t>下列能量、位置、时间差和运动学条件使用施加探测器响应后的读数。但配对仍按模拟事例编号进行，并要求不同初级光子的模拟身份掩码不重叠。这是理想符合条件，不应把整个链条称为完全不使用模拟标签。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标记门（D2）</w:t>
      </w:r>
      <w:r>
        <w:t xml:space="preserve">：D2 上有一次沉积，能量落在 </w:t>
      </w:r>
      <w:r>
        <w:rPr>
          <w:b/>
        </w:rPr>
        <w:t>400–600 keV</w:t>
      </w:r>
      <w:r>
        <w:t xml:space="preserve"> 的 511 keV 光峰窗内 → 认定为标记光子，由命中点 </w:t>
      </w:r>
      <w:r>
        <w:rPr>
          <w:rStyle w:val="CkCode"/>
        </w:rPr>
        <w:t>T</w:t>
      </w:r>
      <w:r>
        <w:t xml:space="preserve"> 定出入射方向。</w:t>
      </w:r>
    </w:p>
    <w:p>
      <w:pPr>
        <w:pStyle w:val="ListParagraph"/>
        <w:numPr>
          <w:ilvl w:val="0"/>
          <w:numId w:val="2"/>
        </w:numPr>
      </w:pPr>
      <w:r>
        <w:t>能窗门（D1）：180–250 keV。按理想单次康普顿关系，下限180 keV对应θ≈147.0°，上限250 keV对应θ≈92.5°，即约92.5°–147.0°。能量展宽会使真实散射角在窗边缘混入或漏出，所以不是对真实角度的硬切。</w:t>
      </w:r>
    </w:p>
    <w:p>
      <w:pPr>
        <w:pStyle w:val="ListParagraph"/>
        <w:numPr>
          <w:ilvl w:val="0"/>
          <w:numId w:val="2"/>
        </w:numPr>
      </w:pPr>
      <w:r>
        <w:t>其他门：时间差绝对值≤10 ns；D1有效半径12.5–100 mm；D2有效面半宽25 mm；标记方向极角0°–35°；散射角反解合法。闭式求解还要求θ&gt;α、sinθ非退化，路程在1–280 mm内。当前求解器不要求散射点必须落在真值空气层内。</w:t>
      </w:r>
    </w:p>
    <w:p>
      <w:r>
        <w:rPr>
          <w:b/>
        </w:rPr>
        <w:t>筛选率必须报两个数，只报一个会得出错误结论</w:t>
      </w:r>
      <w:r>
        <w:t>——见第九节的"记账陷阱"。</w:t>
      </w:r>
    </w:p>
    <w:p>
      <w:pPr>
        <w:pBdr>
          <w:bottom w:val="single" w:sz="6" w:space="1" w:color="1A1A1A"/>
        </w:pBdr>
      </w:pPr>
    </w:p>
    <w:p>
      <w:pPr>
        <w:pStyle w:val="Heading2"/>
        <ck:id v="closed-form"/>
      </w:pPr>
      <w:bookmarkStart w:id="7" w:name="closed_form"/>
      <w:r>
        <w:rPr>
          <w:color w:val="000000"/>
        </w:rPr>
        <w:t>五、第四步：闭式散射点重建（核心）</w:t>
      </w:r>
      <w:bookmarkEnd w:id="7"/>
    </w:p>
    <w:p>
      <w:pPr>
        <w:pStyle w:val="Heading3"/>
        <ck:id v="closed-form-picture"/>
      </w:pPr>
      <w:bookmarkStart w:id="8" w:name="closed_form_picture"/>
      <w:r>
        <w:rPr>
          <w:color w:val="000000"/>
        </w:rPr>
        <w:t>5.1 物理图像</w:t>
      </w:r>
      <w:bookmarkEnd w:id="8"/>
    </w:p>
    <w:p>
      <w:r>
        <w:t>一次事件给我们三件事：</w:t>
      </w:r>
    </w:p>
    <w:p>
      <w:pPr>
        <w:pStyle w:val="ListParagraph"/>
        <w:numPr>
          <w:ilvl w:val="0"/>
          <w:numId w:val="3"/>
        </w:numPr>
      </w:pPr>
      <w:r>
        <w:t>入射光子的估计直线由源位置和D2测量位置确定；它受D2位置读出和理想背靠背假设的影响，并不是无误差的真实轨迹。</w:t>
      </w:r>
    </w:p>
    <w:p>
      <w:pPr>
        <w:pStyle w:val="ListParagraph"/>
        <w:numPr>
          <w:ilvl w:val="0"/>
          <w:numId w:val="3"/>
        </w:numPr>
      </w:pPr>
      <w:r>
        <w:t>散射发生后光子</w:t>
      </w:r>
      <w:r>
        <w:rPr>
          <w:b/>
        </w:rPr>
        <w:t>打在哪里</w:t>
      </w:r>
      <w:r>
        <w:t xml:space="preserve"> —— </w:t>
      </w:r>
      <w:r>
        <w:rPr>
          <w:rStyle w:val="CkCode"/>
        </w:rPr>
        <w:t>H</w:t>
      </w:r>
      <w:r>
        <w:t>；</w:t>
      </w:r>
    </w:p>
    <w:p>
      <w:pPr>
        <w:pStyle w:val="ListParagraph"/>
        <w:numPr>
          <w:ilvl w:val="0"/>
          <w:numId w:val="3"/>
        </w:numPr>
      </w:pPr>
      <w:r>
        <w:t>散射</w:t>
      </w:r>
      <w:r>
        <w:rPr>
          <w:b/>
        </w:rPr>
        <w:t>转过多大角度</w:t>
      </w:r>
      <w:r>
        <w:t xml:space="preserve"> —— 由 </w:t>
      </w:r>
      <w:r>
        <w:rPr>
          <w:rStyle w:val="CkCode"/>
        </w:rPr>
        <w:t>E'</w:t>
      </w:r>
      <w:r>
        <w:t xml:space="preserve"> 通过康普顿公式给出。</w:t>
      </w:r>
    </w:p>
    <w:p>
      <w:r>
        <w:t>散射点在估计入射直线上，并满足由D1能量推得的散射角约束。等价地，候选点位于以H为顶点、以−v为轴、半角θ的锥面上。模型假设物体内发生单次康普顿散射，且D1读数可近似代表散射后光子的能量；实际数据中的部分沉积和多次散射会破坏这一假设。</w:t>
      </w:r>
    </w:p>
    <w:p>
      <w:pPr>
        <w:pStyle w:val="Heading3"/>
        <ck:id v="closed-form-triangle"/>
      </w:pPr>
      <w:bookmarkStart w:id="9" w:name="closed_form_triangle"/>
      <w:r>
        <w:rPr>
          <w:color w:val="000000"/>
        </w:rPr>
        <w:t>5.2 我们实际用的解法：解三角形</w:t>
      </w:r>
      <w:bookmarkEnd w:id="9"/>
    </w:p>
    <w:p>
      <w:r>
        <w:t xml:space="preserve">不必真去求"直线∩圆锥"的二次方程。注意到 </w:t>
      </w:r>
      <w:r>
        <w:rPr>
          <w:rStyle w:val="CkCode"/>
        </w:rPr>
        <w:t>S</w:t>
      </w:r>
      <w:r>
        <w:t>、</w:t>
      </w:r>
      <w:r>
        <w:rPr>
          <w:rStyle w:val="CkCode"/>
        </w:rPr>
        <w:t>P</w:t>
      </w:r>
      <w:r>
        <w:t>、</w:t>
      </w:r>
      <w:r>
        <w:rPr>
          <w:rStyle w:val="CkCode"/>
        </w:rPr>
        <w:t>H</w:t>
      </w:r>
      <w:r>
        <w:t xml:space="preserve"> 三点共面，构成一个三角形：</w:t>
      </w:r>
    </w:p>
    <w:p>
      <w:pPr>
        <w:pStyle w:val="ListParagraph"/>
        <w:numPr>
          <w:ilvl w:val="0"/>
          <w:numId w:val="4"/>
        </w:numPr>
      </w:pPr>
      <w:r>
        <w:t xml:space="preserve">在 </w:t>
      </w:r>
      <w:r>
        <w:rPr>
          <w:rStyle w:val="CkCode"/>
        </w:rPr>
        <w:t>S</w:t>
      </w:r>
      <w:r>
        <w:t xml:space="preserve"> 处的内角是 </w:t>
      </w:r>
      <w:r>
        <w:rPr>
          <w:rStyle w:val="CkCode"/>
        </w:rPr>
        <w:t>α</w:t>
      </w:r>
      <w:r>
        <w:t>（</w:t>
      </w:r>
      <w:r>
        <w:rPr>
          <w:rStyle w:val="CkCode"/>
        </w:rPr>
        <w:t>v</w:t>
      </w:r>
      <w:r>
        <w:t xml:space="preserve"> 与 </w:t>
      </w:r>
      <w:r>
        <w:rPr>
          <w:rStyle w:val="CkCode"/>
        </w:rPr>
        <w:t>d</w:t>
      </w:r>
      <w:r>
        <w:t xml:space="preserve"> 的夹角）；</w:t>
      </w:r>
    </w:p>
    <w:p>
      <w:pPr>
        <w:pStyle w:val="ListParagraph"/>
        <w:numPr>
          <w:ilvl w:val="0"/>
          <w:numId w:val="4"/>
        </w:numPr>
      </w:pPr>
      <w:r>
        <w:t xml:space="preserve">在 </w:t>
      </w:r>
      <w:r>
        <w:rPr>
          <w:rStyle w:val="CkCode"/>
        </w:rPr>
        <w:t>P</w:t>
      </w:r>
      <w:r>
        <w:t xml:space="preserve"> 处，入射方向 </w:t>
      </w:r>
      <w:r>
        <w:rPr>
          <w:rStyle w:val="CkCode"/>
        </w:rPr>
        <w:t>v</w:t>
      </w:r>
      <w:r>
        <w:t xml:space="preserve"> 转到出射方向 </w:t>
      </w:r>
      <w:r>
        <w:rPr>
          <w:rStyle w:val="CkCode"/>
        </w:rPr>
        <w:t>P→H</w:t>
      </w:r>
      <w:r>
        <w:t xml:space="preserve"> 转过了 </w:t>
      </w:r>
      <w:r>
        <w:rPr>
          <w:rStyle w:val="CkCode"/>
        </w:rPr>
        <w:t>θ</w:t>
      </w:r>
      <w:r>
        <w:t>，所以</w:t>
      </w:r>
      <w:r>
        <w:rPr>
          <w:b/>
        </w:rPr>
        <w:t>三角形在 P 处的内角</w:t>
      </w:r>
      <w:r>
        <w:t xml:space="preserve">是 </w:t>
      </w:r>
      <w:r>
        <w:rPr>
          <w:rStyle w:val="CkCode"/>
        </w:rPr>
        <w:t>π − θ</w:t>
      </w:r>
      <w:r>
        <w:t>；</w:t>
      </w:r>
    </w:p>
    <w:p>
      <w:pPr>
        <w:pStyle w:val="ListParagraph"/>
        <w:numPr>
          <w:ilvl w:val="0"/>
          <w:numId w:val="4"/>
        </w:numPr>
      </w:pPr>
      <w:r>
        <w:t xml:space="preserve">于是在 </w:t>
      </w:r>
      <w:r>
        <w:rPr>
          <w:rStyle w:val="CkCode"/>
        </w:rPr>
        <w:t>H</w:t>
      </w:r>
      <w:r>
        <w:t xml:space="preserve"> 处的内角是 </w:t>
      </w:r>
      <w:r>
        <w:rPr>
          <w:rStyle w:val="CkCode"/>
        </w:rPr>
        <w:t>π − α − (π − θ) = θ − α</w:t>
      </w:r>
      <w:r>
        <w:t>。</w:t>
      </w:r>
    </w:p>
    <w:p>
      <w:r>
        <w:t>正弦定理直接给出路程：</w:t>
      </w:r>
    </w:p>
    <w:p>
      <w:pPr>
        <w:pStyle w:val="CkCodeBlock"/>
        <ck:lang v=""/>
      </w:pPr>
      <w:r>
        <w:t>cos θ = 2 − 511 / E'                       （入射 511 keV 时的康普顿反解）</w:t>
      </w:r>
    </w:p>
    <w:p>
      <w:pPr>
        <w:pStyle w:val="CkCodeBlock"/>
        <ck:lang v=""/>
      </w:pPr>
      <w:r>
        <w:t>v = −(T − S) / |T − S|　（由D2标记反推入射单位方向）</w:t>
      </w:r>
    </w:p>
    <w:p>
      <w:pPr>
        <w:pStyle w:val="CkCodeBlock"/>
        <ck:lang v=""/>
      </w:pPr>
      <w:r>
        <w:t>d     = H − S ,   α = arccos( v·d / |d| )</w:t>
      </w:r>
    </w:p>
    <w:p>
      <w:pPr>
        <w:pStyle w:val="CkCodeBlock"/>
        <ck:lang v=""/>
      </w:pPr>
      <w:r>
        <w:t>t     = |d| · sin(θ − α) / sin θ</w:t>
      </w:r>
    </w:p>
    <w:p>
      <w:pPr>
        <w:pStyle w:val="CkCodeBlock"/>
        <ck:lang v=""/>
      </w:pPr>
      <w:r>
        <w:t>P     = S + t · v</w:t>
      </w:r>
    </w:p>
    <w:p>
      <w:r>
        <w:t>在能量和几何合法、θ&gt;α的条件下直接求出物理解，无需迭代。无解或退化事例仍须分类记录。</w:t>
      </w:r>
    </w:p>
    <w:p>
      <w:pPr>
        <w:pStyle w:val="Heading3"/>
        <ck:id v="closed-form-quadratic"/>
      </w:pPr>
      <w:bookmarkStart w:id="10" w:name="closed_form_quadratic"/>
      <w:r>
        <w:rPr>
          <w:color w:val="000000"/>
        </w:rPr>
        <w:t>5.3 与"直线∩圆锥"二次方程的关系</w:t>
      </w:r>
      <w:bookmarkEnd w:id="10"/>
    </w:p>
    <w:p>
      <w:r>
        <w:t>常见的写法是把交点问题化成二次方程：</w:t>
      </w:r>
    </w:p>
    <w:p>
      <w:pPr>
        <w:pStyle w:val="CkCodeBlock"/>
        <ck:lang v=""/>
      </w:pPr>
      <w:r>
        <w:t>t² − 2 a t + (a² − c²|d|²) / (1 − c²) = 0 ,    a = v·d ,  c = cos θ</w:t>
      </w:r>
    </w:p>
    <w:p>
      <w:r>
        <w:t>这个方程有</w:t>
      </w:r>
      <w:r>
        <w:rPr>
          <w:b/>
        </w:rPr>
        <w:t>两个根</w:t>
      </w:r>
      <w:r>
        <w:t>，其中一个是平方时引入的</w:t>
      </w:r>
      <w:r>
        <w:rPr>
          <w:b/>
        </w:rPr>
        <w:t>伪根</w:t>
      </w:r>
      <w:r>
        <w:t xml:space="preserve">——它对应半角为 </w:t>
      </w:r>
      <w:r>
        <w:rPr>
          <w:rStyle w:val="CkCode"/>
        </w:rPr>
        <w:t>π − θ</w:t>
      </w:r>
      <w:r>
        <w:t xml:space="preserve"> 的反向锥叶，物理上不存在。必须再加一条判据把它剔除：</w:t>
      </w:r>
    </w:p>
    <w:p>
      <w:pPr>
        <w:pStyle w:val="CkCodeBlock"/>
        <ck:lang v=""/>
      </w:pPr>
      <w:r>
        <w:t>sign(a − t) = sign(cos θ)</w:t>
      </w:r>
    </w:p>
    <w:p>
      <w:r>
        <w:t>历史C++/ROOT自检中，4000个测试事例有2088个有解，两种解法的最大差值显示为0.000000 mm（输出精度范围内）。这验证两种数学实现的一致性，不代表实际成像误差为零。</w:t>
      </w:r>
    </w:p>
    <w:p>
      <w:pPr>
        <w:pStyle w:val="Heading3"/>
        <ck:id v="closed-form-figure"/>
      </w:pPr>
      <w:bookmarkStart w:id="26" w:name="closed_form_figure"/>
      <w:r>
        <w:rPr>
          <w:color w:val="000000"/>
        </w:rPr>
        <w:t>5.4 两种解法的图示（同一个事件）</w:t>
      </w:r>
      <w:bookmarkEnd w:id="26"/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>下面两幅图画的是</w:t>
      </w:r>
      <w:r>
        <w:rPr>
          <w:b/>
        </w:rPr>
        <w:t>同一个事件</w:t>
      </w:r>
      <w:r>
        <w:t xml:space="preserve">：同一个源 </w:t>
      </w:r>
      <w:r>
        <w:rPr>
          <w:rStyle w:val="CkCode"/>
        </w:rPr>
        <w:t>S</w:t>
      </w:r>
      <w:r>
        <w:t xml:space="preserve">、同一个背散射命中点 </w:t>
      </w:r>
      <w:r>
        <w:rPr>
          <w:rStyle w:val="CkCode"/>
        </w:rPr>
        <w:t>H</w:t>
      </w:r>
      <w:r>
        <w:t xml:space="preserve">、同一个由 </w:t>
      </w:r>
      <w:r>
        <w:rPr>
          <w:rStyle w:val="CkCode"/>
        </w:rPr>
        <w:t>E′</w:t>
      </w:r>
      <w:r>
        <w:t xml:space="preserve"> 反解出来的散射角 </w:t>
      </w:r>
      <w:r>
        <w:rPr>
          <w:rStyle w:val="CkCode"/>
        </w:rPr>
        <w:t>θ = 120°</w:t>
      </w:r>
      <w:r>
        <w:t>。差别只在于用什么方法去求散射点。</w:t>
      </w:r>
    </w:p>
    <w:p>
      <w:r>
        <w:drawing>
          <wp:inline distT="0" distB="0" distL="0" distR="0">
            <wp:extent cx="5943600" cy="4438650"/>
            <wp:docPr id="30" name="Picture 30" descr="① 解三角形：由 α、θ、|d| 用正弦定理直接求出 t，只有一个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30" descr="① 解三角形：由 α、θ、|d| 用正弦定理直接求出 t，只有一个解"/>
                    <pic:cNvPicPr>
                      <a:picLocks noChangeAspect="1"/>
                    </pic:cNvPicPr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438650"/>
            <wp:docPr id="31" name="Picture 31" descr="② 直线∩圆锥：二次方程给出两个都大于零的根，伪根落在半角 180°−θ 的那一叶锥面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31" descr="② 直线∩圆锥：二次方程给出两个都大于零的根，伪根落在半角 180°−θ 的那一叶锥面上"/>
                    <pic:cNvPicPr>
                      <a:picLocks noChangeAspect="1"/>
                    </pic:cNvPicPr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072"/>
        <w:gridCol w:w="3072"/>
        <w:gridCol w:w="3072"/>
      </w:tblGrid>
      <w:tr>
        <w:trPr>
          <w:tblHeader/>
          <w:cantSplit/>
          <w:tblHeader/>
        </w:trPr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项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① 解三角形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② 直线 ∩ 圆锥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画的是什么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三角形 S–P–H，三个内角都标出来了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入射</w:t>
            </w:r>
            <w:r>
              <w:rPr>
                <w:b w:val="0"/>
                <w:color w:val="000000"/>
                <w:sz w:val="20"/>
              </w:rPr>
              <w:t>直线</w:t>
            </w:r>
            <w:r>
              <w:rPr>
                <w:b w:val="0"/>
                <w:color w:val="000000"/>
                <w:sz w:val="20"/>
              </w:rPr>
              <w:t xml:space="preserve">与以 </w:t>
            </w:r>
            <w:r>
              <w:rPr>
                <w:rStyle w:val="CkCode"/>
                <w:b w:val="0"/>
                <w:color w:val="000000"/>
                <w:sz w:val="20"/>
              </w:rPr>
              <w:t>H</w:t>
            </w:r>
            <w:r>
              <w:rPr>
                <w:b w:val="0"/>
                <w:color w:val="000000"/>
                <w:sz w:val="20"/>
              </w:rPr>
              <w:t xml:space="preserve"> 为顶点的</w:t>
            </w:r>
            <w:r>
              <w:rPr>
                <w:b w:val="0"/>
                <w:color w:val="000000"/>
                <w:sz w:val="20"/>
              </w:rPr>
              <w:t>双叶锥面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已知量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|d|</w:t>
            </w:r>
            <w:r>
              <w:rPr>
                <w:b w:val="0"/>
                <w:color w:val="000000"/>
                <w:sz w:val="20"/>
              </w:rPr>
              <w:t xml:space="preserve"> = 31.62 mm（</w:t>
            </w:r>
            <w:r>
              <w:rPr>
                <w:rStyle w:val="CkCode"/>
                <w:b w:val="0"/>
                <w:color w:val="000000"/>
                <w:sz w:val="20"/>
              </w:rPr>
              <w:t>H − S</w:t>
            </w:r>
            <w:r>
              <w:rPr>
                <w:b w:val="0"/>
                <w:color w:val="000000"/>
                <w:sz w:val="20"/>
              </w:rPr>
              <w:t>）、</w:t>
            </w:r>
            <w:r>
              <w:rPr>
                <w:rStyle w:val="CkCode"/>
                <w:b w:val="0"/>
                <w:color w:val="000000"/>
                <w:sz w:val="20"/>
              </w:rPr>
              <w:t>α</w:t>
            </w:r>
            <w:r>
              <w:rPr>
                <w:b w:val="0"/>
                <w:color w:val="000000"/>
                <w:sz w:val="20"/>
              </w:rPr>
              <w:t xml:space="preserve"> = 48.4°（几何）、</w:t>
            </w:r>
            <w:r>
              <w:rPr>
                <w:rStyle w:val="CkCode"/>
                <w:b w:val="0"/>
                <w:color w:val="000000"/>
                <w:sz w:val="20"/>
              </w:rPr>
              <w:t>θ</w:t>
            </w:r>
            <w:r>
              <w:rPr>
                <w:b w:val="0"/>
                <w:color w:val="000000"/>
                <w:sz w:val="20"/>
              </w:rPr>
              <w:t xml:space="preserve"> = 120°（由 </w:t>
            </w:r>
            <w:r>
              <w:rPr>
                <w:rStyle w:val="CkCode"/>
                <w:b w:val="0"/>
                <w:color w:val="000000"/>
                <w:sz w:val="20"/>
              </w:rPr>
              <w:t>E′</w:t>
            </w:r>
            <w:r>
              <w:rPr>
                <w:b w:val="0"/>
                <w:color w:val="000000"/>
                <w:sz w:val="20"/>
              </w:rPr>
              <w:t xml:space="preserve"> = 204.4 keV 反解）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同左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怎么出答案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正弦定理一步：</w:t>
            </w:r>
            <w:r>
              <w:rPr>
                <w:rStyle w:val="CkCode"/>
                <w:b w:val="0"/>
                <w:color w:val="000000"/>
                <w:sz w:val="20"/>
              </w:rPr>
              <w:t>t = |d|·sin(θ−α)/sin θ</w:t>
            </w:r>
            <w:r>
              <w:rPr>
                <w:b w:val="0"/>
                <w:color w:val="000000"/>
                <w:sz w:val="20"/>
              </w:rPr>
              <w:t xml:space="preserve"> = 34.65 mm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二次方程两个根：</w:t>
            </w:r>
            <w:r>
              <w:rPr>
                <w:rStyle w:val="CkCode"/>
                <w:b w:val="0"/>
                <w:color w:val="000000"/>
                <w:sz w:val="20"/>
              </w:rPr>
              <w:t>t1</w:t>
            </w:r>
            <w:r>
              <w:rPr>
                <w:b w:val="0"/>
                <w:color w:val="000000"/>
                <w:sz w:val="20"/>
              </w:rPr>
              <w:t xml:space="preserve"> = 34.65 mm、</w:t>
            </w:r>
            <w:r>
              <w:rPr>
                <w:rStyle w:val="CkCode"/>
                <w:b w:val="0"/>
                <w:color w:val="000000"/>
                <w:sz w:val="20"/>
              </w:rPr>
              <w:t>t2</w:t>
            </w:r>
            <w:r>
              <w:rPr>
                <w:b w:val="0"/>
                <w:color w:val="000000"/>
                <w:sz w:val="20"/>
              </w:rPr>
              <w:t xml:space="preserve"> = 7.36 mm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有没有假解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没有</w:t>
            </w:r>
            <w:r>
              <w:rPr>
                <w:b w:val="0"/>
                <w:color w:val="000000"/>
                <w:sz w:val="20"/>
              </w:rPr>
              <w:t>。正弦定理只给一个解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有</w:t>
            </w:r>
            <w:r>
              <w:rPr>
                <w:b w:val="0"/>
                <w:color w:val="000000"/>
                <w:sz w:val="20"/>
              </w:rPr>
              <w:t xml:space="preserve">。而且这个算例里两个根都大于零，光靠 </w:t>
            </w:r>
            <w:r>
              <w:rPr>
                <w:rStyle w:val="CkCode"/>
                <w:b w:val="0"/>
                <w:color w:val="000000"/>
                <w:sz w:val="20"/>
              </w:rPr>
              <w:t>t &gt; 0</w:t>
            </w:r>
            <w:r>
              <w:rPr>
                <w:b w:val="0"/>
                <w:color w:val="000000"/>
                <w:sz w:val="20"/>
              </w:rPr>
              <w:t xml:space="preserve"> 去不掉</w:t>
            </w:r>
          </w:p>
        </w:tc>
      </w:tr>
      <w:tr>
        <w:trPr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需要的额外判据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sign(a − t) = sign(cos θ)</w:t>
            </w:r>
            <w:r>
              <w:rPr>
                <w:b w:val="0"/>
                <w:color w:val="000000"/>
                <w:sz w:val="20"/>
              </w:rPr>
              <w:t>：</w:t>
            </w:r>
            <w:r>
              <w:rPr>
                <w:rStyle w:val="CkCode"/>
                <w:b w:val="0"/>
                <w:color w:val="000000"/>
                <w:sz w:val="20"/>
              </w:rPr>
              <w:t>t1</w:t>
            </w:r>
            <w:r>
              <w:rPr>
                <w:b w:val="0"/>
                <w:color w:val="000000"/>
                <w:sz w:val="20"/>
              </w:rPr>
              <w:t xml:space="preserve"> 给 </w:t>
            </w:r>
            <w:r>
              <w:rPr>
                <w:rStyle w:val="CkCode"/>
                <w:b w:val="0"/>
                <w:color w:val="000000"/>
                <w:sz w:val="20"/>
              </w:rPr>
              <w:t>a − t = −13.65</w:t>
            </w:r>
            <w:r>
              <w:rPr>
                <w:b w:val="0"/>
                <w:color w:val="000000"/>
                <w:sz w:val="20"/>
              </w:rPr>
              <w:t xml:space="preserve">（与 </w:t>
            </w:r>
            <w:r>
              <w:rPr>
                <w:rStyle w:val="CkCode"/>
                <w:b w:val="0"/>
                <w:color w:val="000000"/>
                <w:sz w:val="20"/>
              </w:rPr>
              <w:t>cos θ = −0.5</w:t>
            </w:r>
            <w:r>
              <w:rPr>
                <w:b w:val="0"/>
                <w:color w:val="000000"/>
                <w:sz w:val="20"/>
              </w:rPr>
              <w:t xml:space="preserve"> 同号，保留），</w:t>
            </w:r>
            <w:r>
              <w:rPr>
                <w:rStyle w:val="CkCode"/>
                <w:b w:val="0"/>
                <w:color w:val="000000"/>
                <w:sz w:val="20"/>
              </w:rPr>
              <w:t>t2</w:t>
            </w:r>
            <w:r>
              <w:rPr>
                <w:b w:val="0"/>
                <w:color w:val="000000"/>
                <w:sz w:val="20"/>
              </w:rPr>
              <w:t xml:space="preserve"> 给 </w:t>
            </w:r>
            <w:r>
              <w:rPr>
                <w:rStyle w:val="CkCode"/>
                <w:b w:val="0"/>
                <w:color w:val="000000"/>
                <w:sz w:val="20"/>
              </w:rPr>
              <w:t>+13.65</w:t>
            </w:r>
            <w:r>
              <w:rPr>
                <w:b w:val="0"/>
                <w:color w:val="000000"/>
                <w:sz w:val="20"/>
              </w:rPr>
              <w:t>（反号，剔除）</w:t>
            </w:r>
          </w:p>
        </w:tc>
      </w:tr>
    </w:tbl>
    <w:p>
      <w:r>
        <w:rPr>
          <w:b/>
        </w:rPr>
        <w:t>第 ② 幅里的紫线与红虚线，是理解伪根的关键。</w:t>
      </w:r>
      <w:r>
        <w:t xml:space="preserve"> 把"夹角等于 θ"这个条件两边平方以后，方程描述的已经不再是半角 </w:t>
      </w:r>
      <w:r>
        <w:rPr>
          <w:rStyle w:val="CkCode"/>
        </w:rPr>
        <w:t>θ</w:t>
      </w:r>
      <w:r>
        <w:t xml:space="preserve"> 的那一叶锥面（紫线），而是它与半角 </w:t>
      </w:r>
      <w:r>
        <w:rPr>
          <w:rStyle w:val="CkCode"/>
        </w:rPr>
        <w:t>180° − θ = 60°</w:t>
      </w:r>
      <w:r>
        <w:t xml:space="preserve"> 那一叶（红虚线）的</w:t>
      </w:r>
      <w:r>
        <w:rPr>
          <w:b/>
        </w:rPr>
        <w:t>并集</w:t>
      </w:r>
      <w:r>
        <w:t xml:space="preserve">。伪根 </w:t>
      </w:r>
      <w:r>
        <w:rPr>
          <w:rStyle w:val="CkCode"/>
        </w:rPr>
        <w:t>P′</w:t>
      </w:r>
      <w:r>
        <w:t xml:space="preserve"> 就落在红虚线上——在 </w:t>
      </w:r>
      <w:r>
        <w:rPr>
          <w:rStyle w:val="CkCode"/>
        </w:rPr>
        <w:t>P′</w:t>
      </w:r>
      <w:r>
        <w:t xml:space="preserve"> 处，</w:t>
      </w:r>
      <w:r>
        <w:rPr>
          <w:rStyle w:val="CkCode"/>
        </w:rPr>
        <w:t>v</w:t>
      </w:r>
      <w:r>
        <w:t xml:space="preserve"> 与 </w:t>
      </w:r>
      <w:r>
        <w:rPr>
          <w:rStyle w:val="CkCode"/>
        </w:rPr>
        <w:t>P′→H</w:t>
      </w:r>
      <w:r>
        <w:t xml:space="preserve"> 的夹角是 60°，不是 120°。符号判据做的事情，就是把平方时丢掉的那个方向信息再装回去。</w:t>
      </w:r>
    </w:p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rPr>
                    <w:b/>
                  </w:rPr>
                  <w:t>图中数据的出处（不混淆示意与实测）</w:t>
                </w:r>
              </w:p>
              <w:p>
                <w:r>
                  <w:t xml:space="preserve">探测器坐标取自新构型（源 </w:t>
                </w:r>
                <w:r>
                  <w:rPr>
                    <w:rStyle w:val="CkCode"/>
                  </w:rPr>
                  <w:t>z = 17.5</w:t>
                </w:r>
                <w:r>
                  <w:t xml:space="preserve">；D1 </w:t>
                </w:r>
                <w:r>
                  <w:rPr>
                    <w:rStyle w:val="CkCode"/>
                  </w:rPr>
                  <w:t>z ∈ [2.5, 12.5]</w:t>
                </w:r>
                <w:r>
                  <w:t xml:space="preserve">，内半径 12.5、外半径 100；D2 </w:t>
                </w:r>
                <w:r>
                  <w:rPr>
                    <w:rStyle w:val="CkCode"/>
                  </w:rPr>
                  <w:t>z ∈ [42.5, 62.5]</w:t>
                </w:r>
                <w:r>
                  <w:t>，半宽 25）。为了把画幅压进正文，</w:t>
                </w:r>
                <w:r>
                  <w:rPr>
                    <w:rStyle w:val="CkCode"/>
                  </w:rPr>
                  <w:t>T</w:t>
                </w:r>
                <w:r>
                  <w:t xml:space="preserve"> 点画在框外，只用一支箭头表示"标记光子飞向 D2 上的 T"。</w:t>
                </w:r>
              </w:p>
              <w:p>
                <w:r>
                  <w:rPr>
                    <w:b/>
                  </w:rPr>
                  <w:t>事件参数（</w:t>
                </w:r>
                <w:r>
                  <w:rPr>
                    <w:rStyle w:val="CkCode"/>
                    <w:b/>
                  </w:rPr>
                  <w:t>T</w:t>
                </w:r>
                <w:r>
                  <w:rPr>
                    <w:b/>
                  </w:rPr>
                  <w:t>、</w:t>
                </w:r>
                <w:r>
                  <w:rPr>
                    <w:rStyle w:val="CkCode"/>
                    <w:b/>
                  </w:rPr>
                  <w:t>H</w:t>
                </w:r>
                <w:r>
                  <w:rPr>
                    <w:b/>
                  </w:rPr>
                  <w:t>、</w:t>
                </w:r>
                <w:r>
                  <w:rPr>
                    <w:rStyle w:val="CkCode"/>
                    <w:b/>
                  </w:rPr>
                  <w:t>θ</w:t>
                </w:r>
                <w:r>
                  <w:rPr>
                    <w:b/>
                  </w:rPr>
                  <w:t>）是为了演示"两个根都为正"而构造的一个自洽算例，不是 GATE 实测事件。</w:t>
                </w:r>
                <w:r>
                  <w:t xml:space="preserve"> 图上所有角度、长度与两个根都由脚本 </w:t>
                </w:r>
                <w:r>
                  <w:rPr>
                    <w:rStyle w:val="CkCode"/>
                  </w:rPr>
                  <w:t>scripts/make_reconstruction_figure.py</w:t>
                </w:r>
                <w:r>
                  <w:t xml:space="preserve"> 现算，未手填；脚本里用断言把关"正弦定理的解必须等于二次方程的物理根"，实测差 7×10⁻¹⁵ mm。</w:t>
                </w:r>
              </w:p>
              <w:p>
                <w:r>
                  <w:t>本文档的插图尺寸由导出器封顶在约 3.12 × 2.33 英寸（</w:t>
                </w:r>
                <w:r>
                  <w:rPr>
                    <w:rStyle w:val="CkCode"/>
                  </w:rPr>
                  <w:t>w=</w:t>
                </w:r>
                <w:r>
                  <w:t xml:space="preserve"> 之类的尺寸属性 docx 导出器不认，像素数与 dpi 也不影响），所以这里放的是按这个尺寸重画的紧凑版。同一个事件另有一份</w:t>
                </w:r>
                <w:r>
                  <w:rPr>
                    <w:b/>
                  </w:rPr>
                  <w:t>大幅详图</w:t>
                </w:r>
                <w:r>
                  <w:t xml:space="preserve">（左右并排、带完整推导与逐项数字），文件为 </w:t>
                </w:r>
                <w:r>
                  <w:rPr>
                    <w:rStyle w:val="CkCode"/>
                  </w:rPr>
                  <w:t>outputs/closed_form_reconstruction.png</w:t>
                </w:r>
                <w:r>
                  <w:t xml:space="preserve"> / </w:t>
                </w:r>
                <w:r>
                  <w:rPr>
                    <w:rStyle w:val="CkCode"/>
                  </w:rPr>
                  <w:t>.pdf</w:t>
                </w:r>
                <w:r>
                  <w:t>，做 PPT 或打印时用那一份。</w:t>
                </w:r>
              </w:p>
            </w:tc>
          </w:tr>
        </w:tbl>
      </w:sdtContent>
    </w:sdt>
    <w:p>
      <w:pPr>
        <w:pStyle w:val="Heading3"/>
        <ck:id v="closed-form-failures"/>
      </w:pPr>
      <w:bookmarkStart w:id="27" w:name="closed_form_failures"/>
      <w:r>
        <w:rPr>
          <w:color w:val="000000"/>
        </w:rPr>
        <w:t>5.5 失败分类</w:t>
      </w:r>
      <w:bookmarkEnd w:id="27"/>
    </w:p>
    <w:p>
      <w:r>
        <w:t>当前正式Python求解器使用以下数字失败码。旧C++二次方程实现中的额外失败码不与这套编号混用。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4608"/>
        <w:gridCol w:w="4608"/>
      </w:tblGrid>
      <w:tr>
        <w:trPr>
          <w:tblHeader/>
          <w:cantSplit/>
          <w:tblHeader/>
          <w:cantSplit/>
          <w:tblHeader/>
        </w:trPr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失败码</w:t>
            </w:r>
          </w:p>
        </w:tc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当前Python求解器含义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重建合法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D2与源的方向退化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能量不满足单次康普顿运动学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θ≤α或sinθ退化等几何条件失败</w:t>
            </w:r>
          </w:p>
        </w:tc>
      </w:tr>
      <w:tr>
        <w:trPr>
          <w:cantSplit/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解出的路程不在1–280 mm内</w:t>
            </w:r>
          </w:p>
        </w:tc>
      </w:tr>
    </w:tbl>
    <w:p>
      <w:r>
        <w:t>物体深度分带属于后续分析，不应当用真值缺陷边界裁剪重建点来使成像变好。当前phantom_truth_policy为ignore，不以物体内单次散射真值筛选正式样本；模拟光子身份和事例编号的配对例外已在第四节说明。</w:t>
      </w:r>
    </w:p>
    <w:p>
      <w:pPr>
        <w:pStyle w:val="Heading2"/>
        <ck:id v="resolution"/>
      </w:pPr>
      <w:r>
        <w:rPr>
          <w:color w:val="000000"/>
        </w:rPr>
        <w:t>六、横向误差与深度误差的不同来源</w:t>
      </w:r>
    </w:p>
    <w:p>
      <w:r>
        <w:t>横向位置对标记几何较敏感，深度对散射角与能量读数较敏感；两者并非完全独立。当前研究以空鼓的横向边界定位为目标，不声称已经准确恢复空气层的厚度或深度。</w:t>
      </w:r>
    </w:p>
    <w:p>
      <w:r>
        <w:t>对cosθ=2−511/E′线性求导，得到dθ/dE′=−511/(E′²sinθ)。下表按D1 8% @511 keV及√E展宽模型估算局部角度标准差。θ接近180°时导数发散，线性传播不再可靠；不能将539°当作实际可定义的角度误差。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散射角 θ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对应 E' (keV)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dθ/dE' (°/keV)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σ(θ) (°)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60°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340.7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−0.291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4.13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75°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293.5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−0.352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4.63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90°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255.5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−0.449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5.51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105°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226.2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−0.592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6.84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120°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204.4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−0.809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8.88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135°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188.8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−1.162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12.26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150°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178.3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−1.842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18.89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165°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172.3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−3.811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38.42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180°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170.3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发散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线性传播失效</w:t>
            </w:r>
          </w:p>
        </w:tc>
      </w:tr>
    </w:tbl>
    <w:p>
      <w:pPr>
        <w:pStyle w:val="Quote"/>
        <w:ind w:left="720"/>
      </w:pPr>
      <w:r>
        <w:rPr>
          <w:b/>
        </w:rPr>
        <w:t>通俗解释：</w:t>
      </w:r>
      <w:r>
        <w:t xml:space="preserve"> 背散射越接近"原路返回"，光子丢掉的能量越接近饱和——散射角从 150° 变到 180°，能量只变 8 keV。反过来，探测器读数差 8 keV，角度就能差 30°。所以</w:t>
      </w:r>
      <w:r>
        <w:rPr>
          <w:b/>
        </w:rPr>
        <w:t>越接近正背散射，角度越测不准</w:t>
      </w:r>
      <w:r>
        <w:t>，而深度恰恰是靠角度定的。</w:t>
      </w:r>
    </w:p>
    <w:p>
      <w:r>
        <w:t>历史端到端合成测试记录了横向绝对误差中位1.91 mm、深度绝对误差中位11.38 mm，约相差6倍。这些是历史测试的误差中位数，不是FWHM，也不是当前M3的边界定位区间。</w:t>
      </w:r>
    </w:p>
    <w:p>
      <w:r>
        <w:t>当前15%响应诊断中，M2与M3的深度残差中央68%半宽分别为15.09和10.93 mm，即(p84−p16)/2；深度绝对误差中位分别为8.81和6.30 mm。改善与几何杠杆臂缩短相符，但本轮同时改变多项几何，不能把全部改善归因于单一参数。这也不能解释为深度完全不可测。</w:t>
      </w:r>
    </w:p>
    <w:p>
      <w:pPr>
        <w:pBdr>
          <w:bottom w:val="single" w:sz="6" w:space="1" w:color="1A1A1A"/>
        </w:pBdr>
      </w:pPr>
    </w:p>
    <w:p>
      <w:pPr>
        <w:pStyle w:val="Heading2"/>
        <ck:id v="scale"/>
      </w:pPr>
      <w:bookmarkStart w:id="13" w:name="scale"/>
      <w:r>
        <w:rPr>
          <w:color w:val="000000"/>
        </w:rPr>
        <w:t>七、横向刻度系数 k</w:t>
      </w:r>
      <w:bookmarkEnd w:id="13"/>
    </w:p>
    <w:p>
      <w:pPr>
        <w:pStyle w:val="Heading3"/>
        <ck:id v="scale-phenomenon"/>
      </w:pPr>
      <w:bookmarkStart w:id="14" w:name="scale_phenomenon"/>
      <w:r>
        <w:rPr>
          <w:color w:val="000000"/>
        </w:rPr>
        <w:t>7.1 现象</w:t>
      </w:r>
      <w:bookmarkEnd w:id="14"/>
    </w:p>
    <w:p>
      <w:r>
        <w:t>对按重建深度分带的横向边界进行离轴标定，边界估计存在向视场中心收缩的现象：M2的k约0.795，M3约0.920。它描述边界估计刻度，不是位置FWHM。</w:t>
      </w:r>
    </w:p>
    <w:p>
      <w:pPr>
        <w:pStyle w:val="Heading3"/>
        <ck:id v="scale-mechanism"/>
      </w:pPr>
      <w:r>
        <w:rPr>
          <w:color w:val="000000"/>
        </w:rPr>
        <w:t>7.2 条件选择与深度泄漏</w:t>
      </w:r>
    </w:p>
    <w:p>
      <w:r>
        <w:t>条件选择是主要解释：按重建深度分带，真实深度分布受到深度误差及离轴接受几何影响。M3参照场诊断的深度残差中位为−0.15 mm；整体中位接近零，并不排除局部或分带后的偏差。</w:t>
      </w:r>
    </w:p>
    <w:p>
      <w:r>
        <w:t>落入某一重建深度带的事例，不一定来自同一真实深度带。离轴后入射与回程的几何接受也会变化，造成边界估计收缩。真值在这里用于机制诊断，不用于正式边界拟合。</w:t>
      </w:r>
    </w:p>
    <w:p>
      <w:pPr>
        <w:pStyle w:val="Heading3"/>
        <ck:id v="scale-calibration"/>
      </w:pPr>
      <w:bookmarkStart w:id="16" w:name="scale_calibration"/>
      <w:r>
        <w:rPr>
          <w:color w:val="000000"/>
        </w:rPr>
        <w:t>7.3 标定</w:t>
      </w:r>
      <w:bookmarkEnd w:id="16"/>
    </w:p>
    <w:p>
      <w:r>
        <w:t>下表为M2四个边界位置在D2 15%下的结果；M3另有轴心、离轴−8和−16 mm三个点。均按探测头坐标做自由截距、无权线性拟合。各位置共享参照场，拟合参数误差不应解读为独立重复测量验证。</w:t>
      </w:r>
    </w:p>
    <w:p>
      <w:pPr>
        <w:pStyle w:val="CkCodeBlock"/>
        <ck:lang v=""/>
      </w:pPr>
      <w:r>
        <w:t>û − L = k · u + b</w:t>
      </w:r>
    </w:p>
    <w:p>
      <w:pPr>
        <w:pStyle w:val="CkCodeBlock"/>
        <ck:lang v=""/>
      </w:pPr>
      <w:r>
        <w:t>M2：k=0.7953±0.0260，b=+0.414±0.255 mm，r²=0.99787；M3：k=0.9197±0.0195，b=+0.017±0.201 mm，r²=0.99955。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/>
          <w:cantSplit/>
          <w:tblHeader/>
          <w:cantSplit/>
          <w:tblHeader/>
        </w:trPr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档位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真边界/mm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离轴/mm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重建/mm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68%区间/mm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偏差/mm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T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轴心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-15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-15.13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[-15.65, -14.62]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-0.13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325.2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−8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-23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-8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-20.83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[-21.37, -20.29]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+2.17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255.5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−16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-31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-16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-27.21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[-28.38, -26.27]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+3.79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140.3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+8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-7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-7.90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[-8.51, -7.27]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-0.90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261.7</w:t>
            </w:r>
          </w:p>
        </w:tc>
      </w:tr>
    </w:tbl>
    <w:p>
      <w:r>
        <w:t>M2候选模型的描述性比较如下。用拟合系数的误差单位量化距离，不把小样本、共享参照场的拟合当作严格的独立显著性检验。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3072"/>
        <w:gridCol w:w="3072"/>
        <w:gridCol w:w="3072"/>
      </w:tblGrid>
      <w:tr>
        <w:trPr>
          <w:tblHeader/>
          <w:cantSplit/>
          <w:tblHeader/>
          <w:cantSplit/>
          <w:tblHeader/>
        </w:trPr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候选模型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预期</w:t>
            </w:r>
          </w:p>
        </w:tc>
        <w:tc>
          <w:tcPr>
            <w:tcW w:type="dxa" w:w="3072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15%结果的描述性距离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k=1.00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无收缩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与M2拟合k相距7.9个拟合标准误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固定平移+2.2 mm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不随离轴变化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+8 mm档与该模型相距约5.0个区间半宽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k=0.70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历史两点外推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与M2拟合k相距3.7个拟合标准误</w:t>
            </w:r>
          </w:p>
        </w:tc>
      </w:tr>
      <w:tr>
        <w:trPr>
          <w:cantSplit/>
          <w:cantSplit/>
        </w:trPr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k=0.83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几何预测</w:t>
            </w:r>
          </w:p>
        </w:tc>
        <w:tc>
          <w:tcPr>
            <w:tcW w:type="dxa" w:w="3072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与M2拟合k相距1.3个拟合标准误</w:t>
            </w:r>
          </w:p>
        </w:tc>
      </w:tr>
    </w:tbl>
    <w:p>
      <w:pPr>
        <w:pStyle w:val="Quote"/>
        <w:ind w:left="720"/>
      </w:pPr>
      <w:r>
        <w:t>k=0.70来自历史两点外推；正式报告以15%响应下自由截距拟合为准。M3三点标定比M2更接近k=1，但缺少独立验证点，不应由拟合残差直接保证新测量精度。</w:t>
      </w:r>
    </w:p>
    <w:p>
      <w:pPr>
        <w:pStyle w:val="Heading3"/>
        <ck:id v="scale-modes"/>
      </w:pPr>
      <w:bookmarkStart w:id="17" w:name="scale_modes"/>
      <w:r>
        <w:rPr>
          <w:color w:val="000000"/>
        </w:rPr>
        <w:t>7.4 两种工作模式</w:t>
      </w:r>
      <w:bookmarkEnd w:id="17"/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模式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做法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精度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适用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(a) 扫到中心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 xml:space="preserve">移动探测头，使边界落在视场中心 </w:t>
            </w:r>
            <w:r>
              <w:rPr>
                <w:rStyle w:val="CkCode"/>
                <w:b w:val="0"/>
                <w:color w:val="000000"/>
                <w:sz w:val="20"/>
              </w:rPr>
              <w:t>u ≈ 0</w:t>
            </w:r>
            <w:r>
              <w:rPr>
                <w:b w:val="0"/>
                <w:color w:val="000000"/>
                <w:sz w:val="20"/>
              </w:rPr>
              <w:t xml:space="preserve">，直接报 </w:t>
            </w:r>
            <w:r>
              <w:rPr>
                <w:rStyle w:val="CkCode"/>
                <w:b w:val="0"/>
                <w:color w:val="000000"/>
                <w:sz w:val="20"/>
              </w:rPr>
              <w:t>û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M3轴心偏差−0.07 mm；68%区间半宽0.33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拟议精定位模式；尚无现场验证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(b) 刻度改正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u = (û − L − b) / k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须传播统计与标定不确定性；未独立验证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一次成像普查</w:t>
            </w:r>
          </w:p>
        </w:tc>
      </w:tr>
    </w:tbl>
    <w:p>
      <w:r>
        <w:t>模式(a)将探测头移到边界附近，减少离轴刻度影响；模式(b)固定探测头并用标定系数改正。二者是基于模拟结果提出的作业方案，尚不是现场实验验证结论。</w:t>
      </w:r>
    </w:p>
    <w:p>
      <w:r>
        <w:t>下表为M3三个已运行位置、未经刻度改正的正式结果。68%区间是剖面似然给出的边界位置区间，离轴−16 mm档不对称。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1843"/>
        <w:gridCol w:w="1843"/>
        <w:gridCol w:w="1843"/>
        <w:gridCol w:w="1843"/>
        <w:gridCol w:w="1843"/>
      </w:tblGrid>
      <w:tr>
        <w:trPr>
          <w:tblHeader/>
          <w:cantSplit/>
          <w:tblHeader/>
          <w:cantSplit/>
          <w:tblHeader/>
        </w:trPr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离轴/mm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重建世界x/mm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偏差/mm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68%区间/mm</w:t>
            </w:r>
          </w:p>
        </w:tc>
        <w:tc>
          <w:tcPr>
            <w:tcW w:type="dxa" w:w="1843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半宽/mm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-15.07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-0.07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[-15.40, -14.74]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0.33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-8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-22.16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+0.84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[-22.56, -21.73]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0.41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-16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-29.79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+1.21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[-31.18, -28.84]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1.17</w:t>
            </w:r>
          </w:p>
        </w:tc>
      </w:tr>
    </w:tbl>
    <w:p>
      <w:r>
        <w:t>标定残差尺度s=√(Σ残差²/(n−2))：M2为0.465 mm，M3为0.221 mm。它不是空间FWHM，也不能作为独立新测量的误差上限。</w:t>
      </w:r>
    </w:p>
    <w:p>
      <w:pPr>
        <w:pStyle w:val="Quote"/>
        <w:ind w:left="720"/>
      </w:pPr>
      <w:r>
        <w:t>模式(b)的新测量误差需同时考虑边界统计不确定性、k与b及其协方差、参考场和模型失配。现有三点M3标定没有形成独立验证后的完整误差预算，因此不沿用历史旧参数预算来作性能保证。</w:t>
      </w:r>
    </w:p>
    <w:p>
      <w:pPr>
        <w:pStyle w:val="Heading2"/>
        <ck:id v="imaging"/>
      </w:pPr>
      <w:bookmarkStart w:id="18" w:name="imaging"/>
      <w:r>
        <w:rPr>
          <w:color w:val="000000"/>
        </w:rPr>
        <w:t>八、第五步：成像与统计判定</w:t>
      </w:r>
      <w:bookmarkEnd w:id="18"/>
    </w:p>
    <w:p>
      <w:pPr>
        <w:pStyle w:val="Heading3"/>
        <ck:id v="mlem"/>
      </w:pPr>
      <w:r>
        <w:rPr>
          <w:color w:val="000000"/>
        </w:rPr>
        <w:t>8.1 历史MLEM诊断与当前成像图</w:t>
      </w:r>
    </w:p>
    <w:p>
      <w:r>
        <w:t>历史合成测试使用过下式的MLEM迭代，用于诊断图像和灵敏度掩模。当前正式M3成像演示使用闭式重建点的二维直方图、空鼓场与参照场的归一化比值及深度带剖面，不是下面这套MLEM输出。</w:t>
      </w:r>
    </w:p>
    <w:p>
      <w:pPr>
        <w:pStyle w:val="CkCodeBlock"/>
        <ck:lang v=""/>
      </w:pPr>
      <w:r>
        <w:t>λ_j^(n+1) = λ_j^(n) / s_j · Σ_i [ H_ij · y_i / ( Σ_k H_ik λ_k^(n) ) ]</w:t>
      </w:r>
    </w:p>
    <w:p>
      <w:r>
        <w:t xml:space="preserve">其中 </w:t>
      </w:r>
      <w:r>
        <w:rPr>
          <w:rStyle w:val="CkCode"/>
        </w:rPr>
        <w:t>s_j = Σ_i H_ij</w:t>
      </w:r>
      <w:r>
        <w:t xml:space="preserve"> 是灵敏度。</w:t>
      </w:r>
    </w:p>
    <w:p>
      <w:pPr>
        <w:pStyle w:val="Quote"/>
        <w:ind w:left="720"/>
      </w:pPr>
      <w:r>
        <w:t>历史MLEM测试曾出现低灵敏度边缘放大噪声，使用s_j&lt;0.05×max(s)的掩模后，真值横向线带内图像质量占比为67.5%（均匀基准20%）。这是测试诊断，不是当前M3性能指标。</w:t>
      </w:r>
    </w:p>
    <w:p>
      <w:r>
        <w:t>同一历史测试的真值深度带内占比为26.2%（均匀基准25%）。它说明该测试中的深度图像恢复有限，不能据此证明所有几何和所有算法下深度都不可测。</w:t>
      </w:r>
    </w:p>
    <w:p>
      <w:r>
        <w:t>当前图像负责展示计数分布，正式结论来自下一节的边界似然拟合。图上的真值轮廓只用于比对，不进入拟合；图上描述性双比值对比度与拟合c_b不是同一个量，正文数字引用后者。</w:t>
      </w:r>
    </w:p>
    <w:p>
      <w:pPr>
        <w:pStyle w:val="Heading3"/>
        <ck:id v="likelihood"/>
      </w:pPr>
      <w:bookmarkStart w:id="20" w:name="likelihood"/>
      <w:r>
        <w:rPr>
          <w:color w:val="000000"/>
        </w:rPr>
        <w:t>8.2 真正的判据：多深度带共享边界二项似然</w:t>
      </w:r>
      <w:bookmarkEnd w:id="20"/>
    </w:p>
    <w:p>
      <w:r>
        <w:t>这是我们下结论的地方，和"看图"无关。</w:t>
      </w:r>
    </w:p>
    <w:p>
      <w:r>
        <w:rPr>
          <w:b/>
        </w:rPr>
        <w:t>观测量</w:t>
      </w:r>
      <w:r>
        <w:t xml:space="preserve">：在横向位置 </w:t>
      </w:r>
      <w:r>
        <w:rPr>
          <w:rStyle w:val="CkCode"/>
        </w:rPr>
        <w:t>x</w:t>
      </w:r>
      <w:r>
        <w:t xml:space="preserve"> 的每个 bin、每个深度带 </w:t>
      </w:r>
      <w:r>
        <w:rPr>
          <w:rStyle w:val="CkCode"/>
        </w:rPr>
        <w:t>b</w:t>
      </w:r>
      <w:r>
        <w:t xml:space="preserve"> 里，记录空鼓测量的计数 </w:t>
      </w:r>
      <w:r>
        <w:rPr>
          <w:rStyle w:val="CkCode"/>
        </w:rPr>
        <w:t>n_void</w:t>
      </w:r>
      <w:r>
        <w:t xml:space="preserve"> 和参考场（无空鼓、同几何同统计）的计数 </w:t>
      </w:r>
      <w:r>
        <w:rPr>
          <w:rStyle w:val="CkCode"/>
        </w:rPr>
        <w:t>n_ref</w:t>
      </w:r>
      <w:r>
        <w:t xml:space="preserve">，令 </w:t>
      </w:r>
      <w:r>
        <w:rPr>
          <w:rStyle w:val="CkCode"/>
        </w:rPr>
        <w:t>n_tot = n_void + n_ref</w:t>
      </w:r>
      <w:r>
        <w:t>。</w:t>
      </w:r>
    </w:p>
    <w:p>
      <w:r>
        <w:rPr>
          <w:b/>
        </w:rPr>
        <w:t>模型</w:t>
      </w:r>
      <w:r>
        <w:t>：</w:t>
      </w:r>
    </w:p>
    <w:p>
      <w:pPr>
        <w:pStyle w:val="CkCodeBlock"/>
        <ck:lang v=""/>
      </w:pPr>
      <w:r>
        <w:t>n_void | n_tot  ~  Binomial( n_tot , ρ/(1+ρ) )</w:t>
      </w:r>
    </w:p>
    <w:p>
      <w:pPr>
        <w:pStyle w:val="CkCodeBlock"/>
        <ck:lang v=""/>
      </w:pPr>
      <w:r>
        <w:t/>
      </w:r>
    </w:p>
    <w:p>
      <w:pPr>
        <w:pStyle w:val="CkCodeBlock"/>
        <ck:lang v=""/>
      </w:pPr>
      <w:r>
        <w:t>ρ(x, b) = s · A_b · ( 1 − c_b · Φ( (x − x_e) / w ) )</w:t>
      </w:r>
    </w:p>
    <w:p>
      <w:pPr>
        <w:pStyle w:val="ListParagraph"/>
        <w:numPr>
          <w:ilvl w:val="0"/>
          <w:numId w:val="5"/>
        </w:numPr>
      </w:pPr>
      <w:r>
        <w:rPr>
          <w:rStyle w:val="CkCode"/>
        </w:rPr>
        <w:t>x_e</w:t>
      </w:r>
      <w:r>
        <w:t xml:space="preserve">（边界位置）与 </w:t>
      </w:r>
      <w:r>
        <w:rPr>
          <w:rStyle w:val="CkCode"/>
        </w:rPr>
        <w:t>w</w:t>
      </w:r>
      <w:r>
        <w:t>（过渡宽度）在</w:t>
      </w:r>
      <w:r>
        <w:rPr>
          <w:b/>
        </w:rPr>
        <w:t>所有深度带之间共享</w:t>
      </w:r>
      <w:r>
        <w:t>——这正是"同一条物理边界"的数学表述，也是这个估计量比单带拟合强得多的原因；</w:t>
      </w:r>
    </w:p>
    <w:p>
      <w:pPr>
        <w:pStyle w:val="ListParagraph"/>
        <w:numPr>
          <w:ilvl w:val="0"/>
          <w:numId w:val="5"/>
        </w:numPr>
      </w:pPr>
      <w:r>
        <w:rPr>
          <w:rStyle w:val="CkCode"/>
        </w:rPr>
        <w:t>A_b</w:t>
      </w:r>
      <w:r>
        <w:t xml:space="preserve">（该带的整体归一）与 </w:t>
      </w:r>
      <w:r>
        <w:rPr>
          <w:rStyle w:val="CkCode"/>
        </w:rPr>
        <w:t>c_b</w:t>
      </w:r>
      <w:r>
        <w:t>（该带的对比度）</w:t>
      </w:r>
      <w:r>
        <w:rPr>
          <w:b/>
        </w:rPr>
        <w:t>每带自由</w:t>
      </w:r>
      <w:r>
        <w:t>；</w:t>
      </w:r>
    </w:p>
    <w:p>
      <w:pPr>
        <w:pStyle w:val="ListParagraph"/>
        <w:numPr>
          <w:ilvl w:val="0"/>
          <w:numId w:val="5"/>
        </w:numPr>
      </w:pPr>
      <w:r>
        <w:t>条件二项似然可消去每个箱的公共总强度；不同初级事例数用已知曝光比例s归一。它不保证任意材料、几何漂移或偶然符合本底都会相消。</w:t>
      </w:r>
    </w:p>
    <w:p>
      <w:r>
        <w:rPr>
          <w:b/>
        </w:rPr>
        <w:t>检验量</w:t>
      </w:r>
      <w:r>
        <w:t>：</w:t>
      </w:r>
    </w:p>
    <w:p>
      <w:pPr>
        <w:pStyle w:val="CkCodeBlock"/>
        <ck:lang v=""/>
      </w:pPr>
      <w:r>
        <w:t>T = −2 ln L(平坦模型) + 2 ln L(带边界模型)</w:t>
      </w:r>
    </w:p>
    <w:p>
      <w:r>
        <w:t>无边界时x_e和w不可辨识，因此不直接采用Wilks渐近χ²给p值。阈值沿用见数据前冻结的3000次无边界泊松抽样标定，数值如下；这些抽样次数不是GATE独立重复批次数。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608"/>
        <w:gridCol w:w="4608"/>
      </w:tblGrid>
      <w:tr>
        <w:trPr>
          <w:tblHeader/>
          <w:cantSplit/>
          <w:tblHeader/>
        </w:trPr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分位</w:t>
            </w:r>
          </w:p>
        </w:tc>
        <w:tc>
          <w:tcPr>
            <w:tcW w:type="dxa" w:w="4608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中位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8.0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99%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19.0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99.9%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27.2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最大（3000 次）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28.0</w:t>
            </w:r>
          </w:p>
        </w:tc>
      </w:tr>
    </w:tbl>
    <w:p>
      <w:r>
        <w:t>阈值取T_thr=30。超过有限次标定的最大值，不能自动解释为已经验证了某个严格的现场误报率。</w:t>
      </w:r>
    </w:p>
    <w:p>
      <w:pPr>
        <w:pStyle w:val="Heading3"/>
        <ck:id v="m2-result"/>
      </w:pPr>
      <w:r>
        <w:rPr>
          <w:color w:val="000000"/>
        </w:rPr>
        <w:t>8.3 M2对照组结果</w:t>
      </w:r>
    </w:p>
    <w:p>
      <w:r>
        <w:t>下表由m3/outputs/d2f15/m2_mural_edge/m2_edge_result.json的15%响应结果更新。M3主结果见8.4节。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判据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D2 15%结果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T≥30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T=325.2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边界偏差绝对值≤10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偏差-0.13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负对照和对半T&lt;30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4.20 / 17.74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换参照场边界差≤5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+0.43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四带拟合c_b全正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11.99 / 13.85 / 31.91 / 26.51 %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</w:tr>
    </w:tbl>
    <w:p>
      <w:r>
        <w:t>M2负对照T=4.20，参照場随机对半T=17.74，均小于30。它们支持流程在已测试无缺陷数据上未触发检出，不能证明分析流程在任何数据上都不会误报。</w:t>
      </w:r>
    </w:p>
    <w:p>
      <w:r>
        <w:t>M2换参照场的边界差为+0.43 mm。M3轴心、离轴−8、离轴−16 mm的交叉差分别为−0.29、+0.08、−0.35 mm，满足冻结的5 mm要求。</w:t>
      </w:r>
    </w:p>
    <w:p>
      <w:pPr>
        <w:pStyle w:val="Heading3"/>
      </w:pPr>
      <w:r>
        <w:rPr>
          <w:color w:val="000000"/>
        </w:rPr>
        <w:t>8.4 M3主结果与负对照</w:t>
      </w:r>
    </w:p>
    <w:p>
      <w:pPr/>
      <w:r>
        <w:t>M3轴心20 mm空鼓：T=630.1，边界x=−15.07 mm，偏差−0.07 mm，68%区间[−15.40,−14.74] mm，半宽0.33 mm；四带拟合c_b为2.45%、12.45%、31.53%、36.25%。这里的0.33 mm是一个边界参数的统计区间半宽，不是系统空间FWHM。过渡模型参数w=1.56 mm也不能不经转换直接当作FWHM。</w:t>
      </w:r>
    </w:p>
    <w:p>
      <w:pPr/>
      <w:r>
        <w:t>M3独立参照场负对照T=25.40、参照场对半T=8.35，均未超过30。但25.40高于本轮2000个纯泊松零样本的最大值23.44（99%分位20.05）。运行宏及主要参数核查无差异，负对照拟合的四带对比度正负混杂；原因仍不能仅凭这些检查证明为纯统计涨落。结论保留为负对照通过、但偏尾。</w:t>
      </w:r>
    </w:p>
    <w:p>
      <w:pPr>
        <w:pStyle w:val="Heading3"/>
      </w:pPr>
      <w:r>
        <w:rPr>
          <w:color w:val="000000"/>
        </w:rPr>
        <w:t>8.5 界面空鼓厚度扫描</w:t>
      </w:r>
    </w:p>
    <w:p>
      <w:pPr/>
      <w:r>
        <w:t>在 M3 构型下扫描 20、10、5、3、2、1 mm 厚的空气层。20 mm 沿用主档，其他五档各运行400万初级事例；全部按 D1 8%、D2 15% 的响应分析。空气层下表面固定在深40 mm的地仗与支撑体界面，因此越薄的空气层上表面越深，厚度与埋深没有独立分离。</w:t>
      </w:r>
    </w:p>
    <w:p>
      <w:pPr/>
      <w:r>
        <w:t>检出要求 T≥30 且至少一个深带的拟合对比度为正。定位还要求边界偏差绝对值≤2 mm、68%区间半宽≤2 mm；换参照场后的边界差须≤5 mm。这些条件在本轮数据产生前冻结。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cantSplit/>
          <w:tblHeader/>
          <w:cantSplit/>
          <w:tblHeader/>
        </w:trPr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厚度/mm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T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偏差/mm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68%半宽/mm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换参照场差/mm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检出</w:t>
            </w:r>
          </w:p>
        </w:tc>
        <w:tc>
          <w:tcPr>
            <w:tcW w:type="dxa" w:w="1317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定位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630.1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-0.07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0.33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-0.29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87.5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+1.57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4.02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-3.74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15.2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+6.06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1.14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+3.06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17.4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-5.19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1.24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+13.91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12.9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-7.86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1.55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+16.91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  <w:tr>
        <w:trPr>
          <w:cantSplit/>
          <w:cantSplit/>
        </w:trPr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9.2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+9.90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2.28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-0.09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  <w:tc>
          <w:tcPr>
            <w:tcW w:type="dxa" w:w="1317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未通过</w:t>
            </w:r>
          </w:p>
        </w:tc>
      </w:tr>
    </w:tbl>
    <w:p>
      <w:pPr/>
    </w:p>
    <w:p>
      <w:pPr/>
      <w:r>
        <w:t>10 mm档已经能检出（T=87.5），但边界区间半宽4.02 mm，未满足2 mm定位要求；20 mm档偏差−0.07 mm、半宽0.33 mm，定位通过。5 mm及以下四档均未检出，不能把其噪声拟合出来的小区间解释为准确定位。</w:t>
      </w:r>
    </w:p>
    <w:p>
      <w:pPr/>
      <w:r>
        <w:t>因此，在本次构型、材料模型、深40 mm界面及400万事例条件下，已扫描档位中最薄的检出通过档为10 mm，最薄的定位通过档为20 mm。每个目标档目前只有一个随机实现，且共享参照场；这不是任意深度下的通用厚度极限，也不是横向空间FWHM，更不是经过重复试验测得的检出概率曲线。</w:t>
      </w:r>
    </w:p>
    <w:p>
      <w:pPr>
        <w:pStyle w:val="Heading2"/>
        <ck:id v="new-config"/>
      </w:pPr>
      <w:r>
        <w:rPr>
          <w:color w:val="000000"/>
        </w:rPr>
        <w:t>九、M3实际结果与简化预测的失效</w:t>
      </w:r>
    </w:p>
    <w:p>
      <w:r>
        <w:t>下表比较M2与M3正式拟合对比度，二者均使用D2 15%。此前的事例级简化蒙卡不是正式性能数据，不能继续把预测值写成新构型的结果。</w:t>
      </w:r>
    </w:p>
    <w:tbl>
      <w:tblPr>
        <w:tblStyle w:val="CkTable"/>
        <w:tblW w:w="0" w:type="auto"/>
        <w:tblLayout w:type="fixed"/>
        <w:tblLook w:firstRow="1" w:lastRow="0" w:firstColumn="0" w:lastColumn="0" w:noHBand="0" w:noVBand="1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重建深度带/mm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M2拟合c_b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M3拟合c_b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变化/百分点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0–8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11.99%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2.45%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-9.54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8–15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13.85%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12.45%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-1.39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15–25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31.91%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31.53%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-0.39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25–35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26.51%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36.25%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+9.73</w:t>
            </w:r>
          </w:p>
        </w:tc>
      </w:tr>
    </w:tbl>
    <w:p>
      <w:r>
        <w:t>实际有效视场按每箱参照计数≥30确定：M2最深25–35 mm带为±34.5 mm，M3为±31.5 mm；浅带仍为±16.5 mm。照射锥在真深30 mm处半宽33.3 mm是几何覆盖，不等于重建分析中的有效视场。</w:t>
      </w:r>
    </w:p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rPr>
                    <w:b/>
                  </w:rPr>
                  <w:t>记账陷阱 —— 这一条必须写进任何汇报材料</w:t>
                </w:r>
              </w:p>
              <w:p>
                <w:pPr>
                  <w:pStyle w:val="ListParagraph"/>
                  <w:numPr>
                    <w:ilvl w:val="0"/>
                    <w:numId w:val="6"/>
                  </w:numPr>
                </w:pPr>
                <w:r>
                  <w:rPr>
                    <w:b/>
                  </w:rPr>
                  <w:t>每个初级粒子的选出率：新 / 旧 = 1.047</w:t>
                </w:r>
                <w:r>
                  <w:t xml:space="preserve"> ← 这是 GATE 日志里直接看到的数</w:t>
                </w:r>
              </w:p>
              <w:p>
                <w:pPr>
                  <w:pStyle w:val="ListParagraph"/>
                  <w:numPr>
                    <w:ilvl w:val="0"/>
                    <w:numId w:val="6"/>
                  </w:numPr>
                </w:pPr>
                <w:r>
                  <w:rPr>
                    <w:b/>
                  </w:rPr>
                  <w:t>每次真实湮没的选出率：新 / 旧 = 0.646</w:t>
                </w:r>
                <w:r>
                  <w:t xml:space="preserve"> ← 这是决定实际测量时长的数</w:t>
                </w:r>
              </w:p>
              <w:p>
                <w:r>
                  <w:t>两者不同，是因为发射锥从 45° 收到 35°，立体角从 1.840 sr 降到 1.136 sr（比值 0.6175）。GATE 只在锥内抽样，所以"每个被抽出来的粒子"的效率略有提高；但真实的源是各向同性的，锥外的湮没照样发生、照样浪费。</w:t>
                </w:r>
              </w:p>
              <w:p>
                <w:r>
                  <w:rPr>
                    <w:b/>
                  </w:rPr>
                  <w:t>只报前者会得出"计数率没变"的错误结论。达到同样统计量所需的实际测量时间是原来的 1 / 0.646 ≈ 1.55 倍。</w:t>
                </w:r>
              </w:p>
            </w:tc>
          </w:tr>
        </w:tbl>
      </w:sdtContent>
    </w:sdt>
    <w:p>
      <w:r>
        <w:t>简化预测器在选出率、浅带对比度、视场、四带对比度、泄漏份额和k变化上均有已记录偏差。它只能辅助方案排序。M3的6a（深带对比度）、7（选出率预期范围）、8b（视场扩大预期）未通过，其余相关条件通过；实际视场收窄是工程取舍，不能只说是预测错误而省略。</w:t>
      </w:r>
    </w:p>
    <w:p>
      <w:pPr>
        <w:pBdr>
          <w:bottom w:val="single" w:sz="6" w:space="1" w:color="1A1A1A"/>
        </w:pBdr>
      </w:pPr>
    </w:p>
    <w:p>
      <w:pPr/>
      <w:r>
        <w:t>晶体质量由12.37降至2.05 kg，减少约83.4%，约为原来的1/6，而不是降低一个数量级。</w:t>
      </w:r>
    </w:p>
    <w:p>
      <w:pPr>
        <w:pStyle w:val="Heading2"/>
        <ck:id v="parameters"/>
      </w:pPr>
      <w:bookmarkStart w:id="23" w:name="parameters"/>
      <w:r>
        <w:rPr>
          <w:color w:val="000000"/>
        </w:rPr>
        <w:t>十、参数表</w:t>
      </w:r>
      <w:bookmarkEnd w:id="23"/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参数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旧构型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新构型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来源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发射锥半角 θ_max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45°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35°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用户指定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立体角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1.840 sr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1.136 sr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rStyle w:val="CkCode"/>
                <w:b w:val="0"/>
                <w:color w:val="000000"/>
                <w:sz w:val="20"/>
              </w:rPr>
              <w:t>2π(1−cos θ_max)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源位置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z = 17.5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z = 17.5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厚度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用户指定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内半径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12.5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用户指定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外半径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200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100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M3冻结几何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中心 z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17.5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7.5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M3冻结几何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下表面离物体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10.0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2.5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由上两条导出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下表面离物体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42.5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用户指定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中面离源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42.5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35.0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由 D2 厚度 20 mm 导出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有效面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50×50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50×50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能量分辨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8% @511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8% @511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能量分辨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15% @511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15% @511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需求文档指定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D1 能窗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180–250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180–250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光峰窗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400–600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400–600 keV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深度分带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0–8 / 8–15 / 15–25 / 25–35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同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M1 冻结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判据阈值 T_thr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3000 次零试验标定</w:t>
            </w:r>
          </w:p>
        </w:tc>
      </w:tr>
    </w:tbl>
    <w:p>
      <w:r>
        <w:rPr>
          <w:b/>
        </w:rPr>
        <w:t>几何自洽性核查（新构型，脚本已自动打印）：</w:t>
      </w:r>
    </w:p>
    <w:p>
      <w:pPr>
        <w:pStyle w:val="CkCodeBlock"/>
        <ck:lang v=""/>
      </w:pPr>
      <w:r>
        <w:t>D1 下表面 z = 2.5 mm，源在 z = 17.5 mm</w:t>
      </w:r>
    </w:p>
    <w:p>
      <w:pPr>
        <w:pStyle w:val="CkCodeBlock"/>
        <ck:lang v=""/>
      </w:pPr>
      <w:r>
        <w:t>35° 锥在 D1 下表面处的半径 = 15.0 × tan35° = 10.50 mm</w:t>
      </w:r>
    </w:p>
    <w:p>
      <w:pPr>
        <w:pStyle w:val="CkCodeBlock"/>
        <ck:lang v=""/>
      </w:pPr>
      <w:r>
        <w:t>D1 内半径实取 12.5 mm  →  余量 +2.00 mm      ✓ 源不直接照射 D1 内壁</w:t>
      </w:r>
    </w:p>
    <w:p>
      <w:pPr>
        <w:pStyle w:val="CkCodeBlock"/>
        <ck:lang v=""/>
      </w:pPr>
      <w:r>
        <w:t>源到 D2 中面 = 35.0 mm，D2 半宽 25 mm</w:t>
      </w:r>
    </w:p>
    <w:p>
      <w:pPr>
        <w:pStyle w:val="CkCodeBlock"/>
        <ck:lang v=""/>
      </w:pPr>
      <w:r>
        <w:t>D2 边缘接受半角 = atan(25/35) = 35.5°  ≈  发射锥 35°    ✓ 锥恰好填满 D2 内接圆</w:t>
      </w:r>
    </w:p>
    <w:p>
      <w:pPr>
        <w:pStyle w:val="CkCodeBlock"/>
        <ck:lang v=""/>
      </w:pPr>
      <w:r>
        <w:t>深 30 mm 处视场半宽 = 33.3 mm</w:t>
      </w:r>
    </w:p>
    <w:p>
      <w:r>
        <w:t>参考场每百万模拟初级选出M2 19759.75、M3 27507.75，比例1.392；乘相应发射锥立体角后，每真实湮没选出率分别为2.894×10⁻³与2.487×10⁻³，比例0.860。相同活度、理想符合条件下，达到相同选出计数约需1.16倍时间；这不是相同定位性能的时间保证，也未包含实际死时间和偶然符合。</w:t>
      </w:r>
    </w:p>
    <w:p>
      <w:pPr>
        <w:pBdr>
          <w:bottom w:val="single" w:sz="6" w:space="1" w:color="1A1A1A"/>
        </w:pBdr>
      </w:pPr>
    </w:p>
    <w:p>
      <w:pPr>
        <w:pStyle w:val="Heading2"/>
        <ck:id v="gaps"/>
      </w:pPr>
      <w:r>
        <w:rPr>
          <w:color w:val="000000"/>
        </w:rPr>
        <w:t>十一、尚未完成的工作与已完成的厚度扫描</w:t>
      </w:r>
    </w:p>
    <w:tbl>
      <w:tblPr>
        <w:tblStyle w:val="CkTable"/>
        <w:tblW w:w="0" w:type="auto"/>
        <w:jc w:val="center"/>
        <w:tblLayout w:type="fixed"/>
        <w:tblLook w:firstRow="1" w:lastRow="0" w:firstColumn="0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304"/>
        <w:gridCol w:w="2304"/>
        <w:gridCol w:w="2304"/>
        <w:gridCol w:w="2304"/>
      </w:tblGrid>
      <w:tr>
        <w:trPr>
          <w:tblHeader/>
          <w:cantSplit/>
          <w:tblHeader/>
        </w:trPr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缺口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现状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影响</w:t>
            </w:r>
          </w:p>
        </w:tc>
        <w:tc>
          <w:tcPr>
            <w:tcW w:type="dxa" w:w="2304"/>
            <w:vAlign w:val="center"/>
            <w:shd w:fill="E9EEF4"/>
          </w:tcPr>
          <w:p>
            <w:pPr>
              <w:keepNext w:val="0"/>
              <w:spacing w:before="20" w:after="40" w:line="264" w:lineRule="auto"/>
            </w:pPr>
            <w:r>
              <w:rPr>
                <w:b/>
                <w:color w:val="000000"/>
                <w:sz w:val="20"/>
              </w:rPr>
              <w:t>计划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时间分辨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未建模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无法评估偶然符合本底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导师提出，应补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偶然符合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未建模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真实测量中会抬高平坦本底、压低对比度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应补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MLEM 收敛判据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无自动停止</w:t>
            </w:r>
            <w:r>
              <w:rPr>
                <w:b w:val="0"/>
                <w:color w:val="000000"/>
                <w:sz w:val="20"/>
              </w:rPr>
              <w:t>，固定迭代次数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迭代次数成了隐含的自由参数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导师提出，应补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死时间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未建模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高流强下低估计数损失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低优先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空鼓厚度下限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已完成6档；最薄检出通过10 mm，定位通过20 mm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限于当前界面深度、材料及400万事例条件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不自动追加新扫描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位置口径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当前质心读出；序列算法完整实现缺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历史2.53 mm估计不是已验证新性能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候选改进，需另行设计和验证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多位姿融合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单位姿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视场受限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已有框架，未跑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D2 厚度 × 像素间距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未扫描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未优化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before="20" w:after="40" w:line="264" w:lineRule="auto"/>
            </w:pPr>
            <w:r>
              <w:rPr>
                <w:b w:val="0"/>
                <w:color w:val="000000"/>
                <w:sz w:val="20"/>
              </w:rPr>
              <w:t>低优先</w:t>
            </w:r>
          </w:p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分寸：这套方法目前能可靠给出的是"空鼓横向边界在哪里"，误差约 0.5 mm（扫到中心模式）到 1.5 mm（刻度改正模式）。它目前不能可靠给出空鼓的深度，也不能给出空鼓的厚度。</w:t>
                </w:r>
              </w:p>
              <w:p>
                <w:r>
                  <w:t>任何把深度当作结论来报的做法，都与第六节的表格直接冲突。</w:t>
                </w:r>
              </w:p>
            </w:tc>
          </w:tr>
        </w:tbl>
      </w:sdtContent>
    </w:sdt>
    <w:p>
      <w:pPr>
        <w:pStyle w:val="Heading2"/>
      </w:pPr>
      <w:r>
        <w:rPr>
          <w:color w:val="000000"/>
        </w:rPr>
        <w:t>十二、数据来源与适用范围</w:t>
      </w:r>
    </w:p>
    <w:p>
      <w:r>
        <w:t>M3与M2正式数字取自m3/outputs/d2f15/下的m2_edge_result.json、m3_d2f15_summary.json和m2_d2f15_summary.json；F3取自f3_thickness/f3_summary.json。数字汇总为numbers_d2f15.json。D2响应随机种子24080601，能量和位置响应在分析时施加，未重跑GATE输运。</w:t>
      </w:r>
    </w:p>
    <w:p>
      <w:r>
        <w:t>体模细泥层5 mm、粗泥层35 mm、支撑体100 mm，密度1.70和2.20 g/cm³为仿真取值而非实测。源按理想背靠背511 keV光子模拟，有限活性区、封装与完整核素衰变未建模；M3配置记录GATE 9.4.2/Geant4 11.4.0，旧数据记录9.4.1/11.3.0，跨构型绝对量比较需说明版本差异。本文尚无实验数据或现场剂量与采集时间验证。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000000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color w:val="000000"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color w:val="000000"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000000"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Img26" Type="http://schemas.openxmlformats.org/officeDocument/2006/relationships/image" Target="media/image26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modified xsi:type="dcterms:W3CDTF">2026-09-30T08:40:00Z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