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LifeStation Caregiver Mobile App v1.0 — Shortlist Follow-Up</w:t>
      </w:r>
    </w:p>
    <w:p>
      <w:pPr>
        <w:jc w:val="center"/>
      </w:pPr>
      <w:r>
        <w:rPr>
          <w:b/>
        </w:rPr>
        <w:t>Responses to code ownership, independence, and architecture questions</w:t>
        <w:br/>
      </w:r>
    </w:p>
    <w:p>
      <w:pPr>
        <w:jc w:val="center"/>
      </w:pPr>
      <w:r>
        <w:t>Prepared for: LifeStation</w:t>
        <w:br/>
        <w:t>Prepared by: AllWell (AiAssistant.co)</w:t>
        <w:br/>
        <w:t>Date: April 28, 2026</w:t>
        <w:br/>
      </w:r>
    </w:p>
    <w:p/>
    <w:p>
      <w:r>
        <w:rPr>
          <w:b/>
        </w:rPr>
        <w:t xml:space="preserve">Executive note. </w:t>
      </w:r>
      <w:r>
        <w:t xml:space="preserve">AllWell confirms a work-for-hire engagement with exclusive intellectual property ownership by LifeStation, consistent with the RFP. In response to LifeStation’s request for a fully independent solution, we are aligning delivery to a </w:t>
      </w:r>
      <w:r>
        <w:rPr>
          <w:b/>
        </w:rPr>
        <w:t>new, LifeStation-controlled codebase</w:t>
      </w:r>
      <w:r>
        <w:t xml:space="preserve"> implemented and deployed entirely within LifeStation’s AWS accounts and Git repositories. The delivered application will not require ongoing access to AllWell-hosted runtime services, shared platforms, or AllWell proprietary backends to operate. Domain knowledge and integration patterns from prior LifeStation-related work may inform engineering, but </w:t>
      </w:r>
      <w:r>
        <w:rPr>
          <w:b/>
        </w:rPr>
        <w:t>no coupling or dependency</w:t>
      </w:r>
      <w:r>
        <w:t xml:space="preserve"> is introduced on AllWell’s internal systems as part of the delivered product.</w:t>
      </w:r>
    </w:p>
    <w:p/>
    <w:p>
      <w:pPr>
        <w:pStyle w:val="Heading1"/>
      </w:pPr>
      <w:r>
        <w:t>1. Code ownership and independence</w:t>
      </w:r>
    </w:p>
    <w:p>
      <w:r>
        <w:rPr>
          <w:i/>
        </w:rPr>
        <w:t xml:space="preserve">LifeStation context (from your questions). </w:t>
      </w:r>
      <w:r>
        <w:t>You asked how work-for-hire would work in practice and how the solution remains fully independent and deployable in LifeStation’s environment, including backend and infrastructure scope.</w:t>
      </w:r>
    </w:p>
    <w:p>
      <w:r>
        <w:rPr>
          <w:b/>
        </w:rPr>
        <w:t xml:space="preserve">Q1.1 </w:t>
      </w:r>
      <w:r>
        <w:t>Will the delivered codebase include all components required to run the application independently, including backend services and infrastructure?</w:t>
      </w:r>
    </w:p>
    <w:p>
      <w:r>
        <w:rPr>
          <w:b/>
        </w:rPr>
        <w:t xml:space="preserve">Answer. </w:t>
      </w:r>
      <w:r>
        <w:t xml:space="preserve">Yes. AllWell will deliver a complete, runnable v1.0 system for mobile (iOS/Android), web (per RFP scope), and the application backend/middleware required for v1.0—including API integration, authentication flows, event/notification handling, and data aggregation needed to satisfy the RFP feature set. LifeStation will own all custom application source code and configuration delivered under the engagement. Infrastructure will be provisioned in </w:t>
      </w:r>
      <w:r>
        <w:rPr>
          <w:b/>
        </w:rPr>
        <w:t>LifeStation’s AWS accounts</w:t>
      </w:r>
      <w:r>
        <w:t xml:space="preserve"> (or as LifeStation directs), using standard AWS services and the third-party observability/analytics tools described in the RFP (e.g. Mixpanel, Datadog, crash reporting, Userpilot), wired to </w:t>
      </w:r>
      <w:r>
        <w:rPr>
          <w:b/>
        </w:rPr>
        <w:t>LifeStation-owned</w:t>
      </w:r>
      <w:r>
        <w:t xml:space="preserve"> subscriptions and API keys—not AllWell-operated tenants.</w:t>
      </w:r>
    </w:p>
    <w:p>
      <w:r>
        <w:rPr>
          <w:b/>
        </w:rPr>
        <w:t xml:space="preserve">Q1.2 </w:t>
      </w:r>
      <w:r>
        <w:t>Will the application be deployable entirely within LifeStation’s AWS environment, without any dependency on AllWell-hosted services or shared platforms?</w:t>
      </w:r>
    </w:p>
    <w:p>
      <w:r>
        <w:rPr>
          <w:b/>
        </w:rPr>
        <w:t xml:space="preserve">Answer. </w:t>
      </w:r>
      <w:r>
        <w:t xml:space="preserve">Yes, for production operation of the delivered product. Runtime components (compute, data stores, secrets, queues, logging) will run under LifeStation’s control. The apps will call LifeStation-deployed backend services and LifeStation-approved external APIs (Affiliated Monitoring, billing, push providers, etc.). There is </w:t>
      </w:r>
      <w:r>
        <w:rPr>
          <w:b/>
        </w:rPr>
        <w:t>no requirement</w:t>
      </w:r>
      <w:r>
        <w:t xml:space="preserve"> that LifeStation’s users or systems depend on AllWell’s private hosting, VPNs, or proprietary SaaS control planes to use the caregiver app or web experience after cutover.</w:t>
      </w:r>
    </w:p>
    <w:p>
      <w:r>
        <w:rPr>
          <w:b/>
        </w:rPr>
        <w:t xml:space="preserve">Q1.3 </w:t>
      </w:r>
      <w:r>
        <w:t>What would be required for your team to install, configure, and validate the full system within LifeStation’s AWS environment as part of this engagement?</w:t>
      </w:r>
    </w:p>
    <w:p>
      <w:r>
        <w:rPr>
          <w:b/>
        </w:rPr>
        <w:t xml:space="preserve">Answer. </w:t>
      </w:r>
      <w:r>
        <w:t xml:space="preserve">AllWell will deliver and execute, jointly with LifeStation: </w:t>
      </w:r>
    </w:p>
    <w:p>
      <w:pPr>
        <w:pStyle w:val="ListBullet"/>
      </w:pPr>
      <w:r>
        <w:t>AWS account structure and least-privilege IAM roles for CI/CD and runtime (aligned to LifeStation security standards).</w:t>
      </w:r>
    </w:p>
    <w:p>
      <w:pPr>
        <w:pStyle w:val="ListBullet"/>
      </w:pPr>
      <w:r>
        <w:t>Infrastructure-as-code or documented provisioning for dev/staging/production (method agreed at kickoff: e.g. Terraform, AWS CDK, or LifeStation’s preferred pattern).</w:t>
      </w:r>
    </w:p>
    <w:p>
      <w:pPr>
        <w:pStyle w:val="ListBullet"/>
      </w:pPr>
      <w:r>
        <w:t>Secrets management (e.g. AWS Secrets Manager/Parameter Store) for Affiliated Monitoring, billing, SMS, push, and analytics keys.</w:t>
      </w:r>
    </w:p>
    <w:p>
      <w:pPr>
        <w:pStyle w:val="ListBullet"/>
      </w:pPr>
      <w:r>
        <w:t>CI/CD pipelines targeting LifeStation’s repositories and deployment targets.</w:t>
      </w:r>
    </w:p>
    <w:p>
      <w:pPr>
        <w:pStyle w:val="ListBullet"/>
      </w:pPr>
      <w:r>
        <w:t>End-to-end validation: integration tests against Affiliated/Brighton APIs, push notification paths, and RFP-critical user journeys.</w:t>
      </w:r>
    </w:p>
    <w:p>
      <w:pPr>
        <w:pStyle w:val="ListBullet"/>
      </w:pPr>
      <w:r>
        <w:t>Runbooks for deployment, rollback, monitoring dashboards, and on-call basics (Datadog/Crashlytics as applicable).</w:t>
      </w:r>
    </w:p>
    <w:p>
      <w:pPr>
        <w:pStyle w:val="ListBullet"/>
      </w:pPr>
      <w:r>
        <w:t>Knowledge transfer sessions and handover documentation so LifeStation engineering can operate the system independently.</w:t>
      </w:r>
    </w:p>
    <w:p>
      <w:r>
        <w:rPr>
          <w:b/>
        </w:rPr>
        <w:t xml:space="preserve">Q1.4 </w:t>
      </w:r>
      <w:r>
        <w:t>Are there any components of the system (services, libraries, infrastructure, or data models) that would remain coupled to AllWell’s internal platform?</w:t>
      </w:r>
    </w:p>
    <w:p>
      <w:r>
        <w:rPr>
          <w:b/>
        </w:rPr>
        <w:t xml:space="preserve">Answer. </w:t>
      </w:r>
      <w:r>
        <w:t xml:space="preserve">No. The production system will not rely on AllWell-internal databases, queues, identity directories, or private microservices. The only ongoing “dependencies” are </w:t>
      </w:r>
      <w:r>
        <w:rPr>
          <w:b/>
        </w:rPr>
        <w:t>industry-standard</w:t>
      </w:r>
      <w:r>
        <w:t>: open-source and vendor SDKs (with licenses compatible with LifeStation distribution), and third-party services that LifeStation already expects per the RFP (monitoring, analytics, app stores, SMS, etc.). AllWell will provide a software bill of materials (SBOM) and a dependency/license summary as part of delivery.</w:t>
      </w:r>
    </w:p>
    <w:p>
      <w:r>
        <w:rPr>
          <w:b/>
        </w:rPr>
        <w:t xml:space="preserve">Q1.5 </w:t>
      </w:r>
      <w:r>
        <w:t>If your proposal assumes use of your existing backend environment, what changes would be required to instead provision and run this in a separate, LifeStation-owned environment?</w:t>
      </w:r>
    </w:p>
    <w:p>
      <w:r>
        <w:rPr>
          <w:b/>
        </w:rPr>
        <w:t xml:space="preserve">Answer. </w:t>
      </w:r>
      <w:r>
        <w:t xml:space="preserve">We will </w:t>
      </w:r>
      <w:r>
        <w:rPr>
          <w:b/>
        </w:rPr>
        <w:t>not</w:t>
      </w:r>
      <w:r>
        <w:t xml:space="preserve"> deliver a solution that requires LifeStation to operate inside AllWell’s backend environment. The implementation path is a </w:t>
      </w:r>
      <w:r>
        <w:rPr>
          <w:b/>
        </w:rPr>
        <w:t>greenfield, LifeStation-owned</w:t>
      </w:r>
      <w:r>
        <w:t xml:space="preserve"> codebase and deployment: new repositories under LifeStation control, new AWS footprint in LifeStation accounts, and environment-specific configuration. Prior exploratory or prototype work may have informed API understanding; it does not create a runtime tether in the delivered architecture.</w:t>
      </w:r>
    </w:p>
    <w:p>
      <w:r>
        <w:rPr>
          <w:b/>
        </w:rPr>
        <w:t xml:space="preserve">Q1.6 </w:t>
      </w:r>
      <w:r>
        <w:t>What impact would that have on cost, timeline, and functionality?</w:t>
      </w:r>
    </w:p>
    <w:p>
      <w:r>
        <w:rPr>
          <w:b/>
        </w:rPr>
        <w:t xml:space="preserve">Answer. </w:t>
      </w:r>
      <w:r>
        <w:rPr>
          <w:b/>
        </w:rPr>
        <w:t xml:space="preserve">Functionality: </w:t>
      </w:r>
      <w:r>
        <w:t>No change to the committed v1.0 RFP feature set—caregiver/senior experiences, device visibility, events, contacts, D2C billing (where applicable), web parity (excluding push), security and observability as proposed.</w:t>
      </w:r>
    </w:p>
    <w:p>
      <w:r>
        <w:rPr>
          <w:b/>
        </w:rPr>
        <w:t xml:space="preserve">Timeline: </w:t>
      </w:r>
      <w:r>
        <w:t xml:space="preserve">A fresh implementation repeats integration hardening, performance validation, and security review on the new stack. Compared with extending an existing codebase, this may add a </w:t>
      </w:r>
      <w:r>
        <w:rPr>
          <w:b/>
        </w:rPr>
        <w:t>modest schedule buffer</w:t>
      </w:r>
      <w:r>
        <w:t xml:space="preserve"> (on the order of a few weeks, exact amount to be confirmed at kickoff based on environment readiness and API access). We remain aligned with LifeStation’s target market timing and will publish a milestone plan within the first sprint after award.</w:t>
      </w:r>
    </w:p>
    <w:p>
      <w:r>
        <w:rPr>
          <w:b/>
        </w:rPr>
        <w:t xml:space="preserve">Cost: </w:t>
      </w:r>
      <w:r>
        <w:t xml:space="preserve">The engagement remains work-for-hire under LifeStation ownership. A greenfield build can increase engineering effort versus “delta only” maintenance on a pre-existing repo; </w:t>
      </w:r>
      <w:r>
        <w:rPr>
          <w:b/>
        </w:rPr>
        <w:t>AllWell will confirm whether the prior estimate remains valid or provide a concise revised estimate</w:t>
      </w:r>
      <w:r>
        <w:t xml:space="preserve"> within five (5) business days of award, before final SOW signature, so LifeStation has certainty before commitment. We do not anticipate scope reduction—only transparency on effort if the baseline assumed heavy reuse.</w:t>
      </w:r>
    </w:p>
    <w:p>
      <w:pPr>
        <w:pStyle w:val="Heading1"/>
      </w:pPr>
      <w:r>
        <w:t>2. Licensing and ongoing dependencies</w:t>
      </w:r>
    </w:p>
    <w:p>
      <w:r>
        <w:rPr>
          <w:i/>
        </w:rPr>
        <w:t xml:space="preserve">LifeStation context. </w:t>
      </w:r>
      <w:r>
        <w:t>You assume no licensing or platform dependencies required post-delivery.</w:t>
      </w:r>
    </w:p>
    <w:p>
      <w:r>
        <w:rPr>
          <w:b/>
        </w:rPr>
        <w:t xml:space="preserve">Q2.1 </w:t>
      </w:r>
      <w:r>
        <w:t>Would there be any requirement to continue working with AllWell post-launch? How does this relate to question 1?</w:t>
      </w:r>
    </w:p>
    <w:p>
      <w:r>
        <w:rPr>
          <w:b/>
        </w:rPr>
        <w:t xml:space="preserve">Answer. </w:t>
      </w:r>
      <w:r>
        <w:t xml:space="preserve">There is </w:t>
      </w:r>
      <w:r>
        <w:rPr>
          <w:b/>
        </w:rPr>
        <w:t>no</w:t>
      </w:r>
      <w:r>
        <w:t xml:space="preserve"> technical requirement for LifeStation to retain AllWell after handover. Because the runtime stack lives in LifeStation’s AWS and uses LifeStation-controlled credentials (per Section 1), LifeStation can operate and evolve the product with internal staff or another vendor. AllWell will provide stabilization support for 30–60 days post-launch as proposed; beyond that, any continued relationship would be </w:t>
      </w:r>
      <w:r>
        <w:rPr>
          <w:b/>
        </w:rPr>
        <w:t>optional</w:t>
      </w:r>
      <w:r>
        <w:t xml:space="preserve"> (e.g. enhancement backlog or managed services) under a separate agreement—not a hidden license or platform fee.</w:t>
      </w:r>
    </w:p>
    <w:p>
      <w:pPr>
        <w:pStyle w:val="Heading1"/>
      </w:pPr>
      <w:r>
        <w:t>3. Backend / middleware scope</w:t>
      </w:r>
    </w:p>
    <w:p>
      <w:r>
        <w:rPr>
          <w:i/>
        </w:rPr>
        <w:t xml:space="preserve">LifeStation context. </w:t>
      </w:r>
      <w:r>
        <w:t>You want to avoid implicit dependency on AllWell’s backend for event handling (webhooks), notifications, authentication, and data aggregation, and to clarify division of responsibilities.</w:t>
      </w:r>
    </w:p>
    <w:p>
      <w:r>
        <w:rPr>
          <w:b/>
        </w:rPr>
        <w:t xml:space="preserve">Q3.1 </w:t>
      </w:r>
      <w:r>
        <w:t>What would you expect LifeStation to build vs what your team would deliver?</w:t>
      </w:r>
    </w:p>
    <w:p>
      <w:r>
        <w:rPr>
          <w:b/>
        </w:rPr>
        <w:t xml:space="preserve">Answer. </w:t>
      </w:r>
      <w:r>
        <w:t xml:space="preserve">AllWell delivers (in LifeStation AWS, LifeStation-owned repos): </w:t>
      </w:r>
    </w:p>
    <w:p>
      <w:pPr>
        <w:pStyle w:val="ListBullet"/>
      </w:pPr>
      <w:r>
        <w:t>Mobile apps (React Native) and web app (shared-codebase approach per RFP).</w:t>
      </w:r>
    </w:p>
    <w:p>
      <w:pPr>
        <w:pStyle w:val="ListBullet"/>
      </w:pPr>
      <w:r>
        <w:t>Application backend / BFF (backend-for-frontend) services: orchestration of Affiliated Monitoring Account API, REST Report API, and Brighton Device API calls; normalization of responses for the apps; session and authorization enforcement at the API layer.</w:t>
      </w:r>
    </w:p>
    <w:p>
      <w:pPr>
        <w:pStyle w:val="ListBullet"/>
      </w:pPr>
      <w:r>
        <w:t>Authentication and account flows as specified in Section 4 (SMS OTP, invitations, RBAC)—implemented as LifeStation-owned services integrated to LifeStation’s customer-of-record validation rules.</w:t>
      </w:r>
    </w:p>
    <w:p>
      <w:pPr>
        <w:pStyle w:val="ListBullet"/>
      </w:pPr>
      <w:r>
        <w:t>Webhook/event ingestion endpoints (if required by monitoring architecture), idempotency, and mapping to push notification and in-app event surfaces.</w:t>
      </w:r>
    </w:p>
    <w:p>
      <w:pPr>
        <w:pStyle w:val="ListBullet"/>
      </w:pPr>
      <w:r>
        <w:t>Push notification pipeline integration (FCM/APNs) using LifeStation credentials.</w:t>
      </w:r>
    </w:p>
    <w:p>
      <w:pPr>
        <w:pStyle w:val="ListBullet"/>
      </w:pPr>
      <w:r>
        <w:t>Observability wiring (Datadog, crash analytics), product analytics events (Mixpanel), and onboarding tooling (Userpilot) using LifeStation accounts.</w:t>
      </w:r>
    </w:p>
    <w:p>
      <w:pPr>
        <w:pStyle w:val="ListBullet"/>
      </w:pPr>
      <w:r>
        <w:t>Technical documentation, API documentation for LifeStation-internal consumers, deployment runbooks, and test evidence.</w:t>
      </w:r>
    </w:p>
    <w:p>
      <w:r>
        <w:t xml:space="preserve">LifeStation provides / operates: </w:t>
      </w:r>
    </w:p>
    <w:p>
      <w:pPr>
        <w:pStyle w:val="ListBullet"/>
      </w:pPr>
      <w:r>
        <w:t>AWS accounts, networking/VPC standards, IAM guardrails, and approval for production changes.</w:t>
      </w:r>
    </w:p>
    <w:p>
      <w:pPr>
        <w:pStyle w:val="ListBullet"/>
      </w:pPr>
      <w:r>
        <w:t>Credentials and access for Affiliated Monitoring and Brighton APIs; billing/payment provider interfaces for D2C as applicable.</w:t>
      </w:r>
    </w:p>
    <w:p>
      <w:pPr>
        <w:pStyle w:val="ListBullet"/>
      </w:pPr>
      <w:r>
        <w:t>Corporate SSO or identity standards if LifeStation mandates specific enterprise IdP patterns beyond the RFP baseline.</w:t>
      </w:r>
    </w:p>
    <w:p>
      <w:pPr>
        <w:pStyle w:val="ListBullet"/>
      </w:pPr>
      <w:r>
        <w:t>Legal/compliance artifacts (e.g. BAA posture, privacy policies) and final decisions on vendor subscriptions under LifeStation contracts.</w:t>
      </w:r>
    </w:p>
    <w:p>
      <w:pPr>
        <w:pStyle w:val="ListBullet"/>
      </w:pPr>
      <w:r>
        <w:t>App Store / Google Play publisher of record and release governance per RFP.</w:t>
      </w:r>
    </w:p>
    <w:p>
      <w:pPr>
        <w:pStyle w:val="Heading1"/>
      </w:pPr>
      <w:r>
        <w:t>4. Feature clarification — authentication</w:t>
      </w:r>
    </w:p>
    <w:p>
      <w:r>
        <w:rPr>
          <w:b/>
        </w:rPr>
        <w:t xml:space="preserve">Q4.1 </w:t>
      </w:r>
      <w:r>
        <w:t>Authentication — are you intending to use an authentication / user management model from your existing platform, or build a custom model aligned to our requirements?</w:t>
      </w:r>
    </w:p>
    <w:p>
      <w:r>
        <w:rPr>
          <w:b/>
        </w:rPr>
        <w:t xml:space="preserve">Answer. </w:t>
      </w:r>
      <w:r>
        <w:t xml:space="preserve">We will </w:t>
      </w:r>
      <w:r>
        <w:rPr>
          <w:b/>
        </w:rPr>
        <w:t>not</w:t>
      </w:r>
      <w:r>
        <w:t xml:space="preserve"> tie LifeStation’s production identity to AllWell’s internal user management product. We will implement an authentication and authorization model </w:t>
      </w:r>
      <w:r>
        <w:rPr>
          <w:b/>
        </w:rPr>
        <w:t>aligned to LifeStation’s RFP</w:t>
      </w:r>
      <w:r>
        <w:t xml:space="preserve">: SMS-based verification, validation against LifeStation customer records, invitation flows (primary vs invited users), and role-based permissions for caregivers vs end-users. The likely pattern is a </w:t>
      </w:r>
      <w:r>
        <w:rPr>
          <w:b/>
        </w:rPr>
        <w:t>LifeStation-managed identity service</w:t>
      </w:r>
      <w:r>
        <w:t xml:space="preserve"> (for example Amazon Cognito or an equivalent AWS-native approach) plus a small profile/account service owned by LifeStation that enforces business rules (entitlements, device linkage, account types). Final selection will be confirmed at kickoff with LifeStation security architecture; in all cases, credentials, tokens, and directory data reside in </w:t>
      </w:r>
      <w:r>
        <w:rPr>
          <w:b/>
        </w:rPr>
        <w:t>LifeStation’s environment</w:t>
      </w:r>
      <w:r>
        <w:t>, not AllWell’s.</w:t>
      </w:r>
    </w:p>
    <w:p/>
    <w:p>
      <w:r>
        <w:rPr>
          <w:b/>
        </w:rPr>
        <w:t xml:space="preserve">Closing. </w:t>
      </w:r>
      <w:r>
        <w:t>AllWell welcomes the opportunity to finalize a detailed SOW that reflects this independence model. Please direct technical clarifications to your LifeStation engineering counterpart; commercial confirmation of any estimate adjustment will be provided promptly after award as noted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