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280" w:line="331.2" w:lineRule="auto"/>
        <w:rPr>
          <w:b w:val="1"/>
          <w:color w:val="36394d"/>
          <w:sz w:val="26"/>
          <w:szCs w:val="26"/>
        </w:rPr>
      </w:pPr>
      <w:bookmarkStart w:colFirst="0" w:colLast="0" w:name="_xc68ys1pzbv4" w:id="0"/>
      <w:bookmarkEnd w:id="0"/>
      <w:r w:rsidDel="00000000" w:rsidR="00000000" w:rsidRPr="00000000">
        <w:rPr>
          <w:b w:val="1"/>
          <w:color w:val="36394d"/>
          <w:sz w:val="26"/>
          <w:szCs w:val="26"/>
          <w:rtl w:val="0"/>
        </w:rPr>
        <w:t xml:space="preserve">How to Write an Effective Application Brick</w:t>
      </w:r>
    </w:p>
    <w:p w:rsidR="00000000" w:rsidDel="00000000" w:rsidP="00000000" w:rsidRDefault="00000000" w:rsidRPr="00000000" w14:paraId="00000002">
      <w:pPr>
        <w:shd w:fill="ffffff" w:val="clear"/>
        <w:spacing w:after="240" w:before="240" w:line="331.2" w:lineRule="auto"/>
        <w:rPr>
          <w:color w:val="36394d"/>
        </w:rPr>
      </w:pPr>
      <w:r w:rsidDel="00000000" w:rsidR="00000000" w:rsidRPr="00000000">
        <w:rPr>
          <w:color w:val="36394d"/>
          <w:rtl w:val="0"/>
        </w:rPr>
        <w:t xml:space="preserve">The </w:t>
      </w:r>
      <w:r w:rsidDel="00000000" w:rsidR="00000000" w:rsidRPr="00000000">
        <w:rPr>
          <w:b w:val="1"/>
          <w:color w:val="36394d"/>
          <w:rtl w:val="0"/>
        </w:rPr>
        <w:t xml:space="preserve">Application Brick</w:t>
      </w:r>
      <w:r w:rsidDel="00000000" w:rsidR="00000000" w:rsidRPr="00000000">
        <w:rPr>
          <w:color w:val="36394d"/>
          <w:rtl w:val="0"/>
        </w:rPr>
        <w:t xml:space="preserve"> is where you turn inspiration into actionable steps, helping your viewers achieve real results. This builds goodwill, trust, and loyalty while cementing the value of your content. Here’s how to create one that works.</w:t>
      </w:r>
    </w:p>
    <w:p w:rsidR="00000000" w:rsidDel="00000000" w:rsidP="00000000" w:rsidRDefault="00000000" w:rsidRPr="00000000" w14:paraId="00000003">
      <w:pPr>
        <w:pStyle w:val="Heading3"/>
        <w:keepNext w:val="0"/>
        <w:keepLines w:val="0"/>
        <w:shd w:fill="ffffff" w:val="clear"/>
        <w:spacing w:before="280" w:line="331.2" w:lineRule="auto"/>
        <w:rPr>
          <w:b w:val="1"/>
          <w:color w:val="36394d"/>
          <w:sz w:val="26"/>
          <w:szCs w:val="26"/>
        </w:rPr>
      </w:pPr>
      <w:bookmarkStart w:colFirst="0" w:colLast="0" w:name="_436utzf8sizu" w:id="1"/>
      <w:bookmarkEnd w:id="1"/>
      <w:r w:rsidDel="00000000" w:rsidR="00000000" w:rsidRPr="00000000">
        <w:rPr>
          <w:b w:val="1"/>
          <w:color w:val="36394d"/>
          <w:sz w:val="26"/>
          <w:szCs w:val="26"/>
          <w:rtl w:val="0"/>
        </w:rPr>
        <w:t xml:space="preserve">Step 1: Transition with Cement</w:t>
      </w:r>
    </w:p>
    <w:p w:rsidR="00000000" w:rsidDel="00000000" w:rsidP="00000000" w:rsidRDefault="00000000" w:rsidRPr="00000000" w14:paraId="00000004">
      <w:pPr>
        <w:numPr>
          <w:ilvl w:val="0"/>
          <w:numId w:val="2"/>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Purpose</w:t>
      </w:r>
      <w:r w:rsidDel="00000000" w:rsidR="00000000" w:rsidRPr="00000000">
        <w:rPr>
          <w:color w:val="36394d"/>
          <w:rtl w:val="0"/>
        </w:rPr>
        <w:t xml:space="preserve">: Smoothly move from the example brick to the application section.</w:t>
        <w:br w:type="textWrapping"/>
      </w:r>
    </w:p>
    <w:p w:rsidR="00000000" w:rsidDel="00000000" w:rsidP="00000000" w:rsidRDefault="00000000" w:rsidRPr="00000000" w14:paraId="00000005">
      <w:pPr>
        <w:numPr>
          <w:ilvl w:val="0"/>
          <w:numId w:val="2"/>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How</w:t>
      </w:r>
      <w:r w:rsidDel="00000000" w:rsidR="00000000" w:rsidRPr="00000000">
        <w:rPr>
          <w:color w:val="36394d"/>
          <w:rtl w:val="0"/>
        </w:rPr>
        <w:t xml:space="preserve">: Use a simple line to bridge the gap:</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i w:val="1"/>
          <w:color w:val="36394d"/>
          <w:rtl w:val="0"/>
        </w:rPr>
        <w:t xml:space="preserve">“But how do you do this yourself? Let me show you.”</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i w:val="1"/>
          <w:color w:val="36394d"/>
          <w:rtl w:val="0"/>
        </w:rPr>
        <w:t xml:space="preserve">“Next, let’s break down how you can apply this step by step.”</w:t>
        <w:br w:type="textWrapping"/>
      </w:r>
    </w:p>
    <w:p w:rsidR="00000000" w:rsidDel="00000000" w:rsidP="00000000" w:rsidRDefault="00000000" w:rsidRPr="00000000" w14:paraId="00000008">
      <w:pPr>
        <w:numPr>
          <w:ilvl w:val="0"/>
          <w:numId w:val="2"/>
        </w:numPr>
        <w:shd w:fill="ffffff" w:val="clear"/>
        <w:spacing w:before="0" w:beforeAutospacing="0" w:lineRule="auto"/>
        <w:ind w:left="720" w:hanging="360"/>
        <w:rPr>
          <w:sz w:val="22"/>
          <w:szCs w:val="22"/>
        </w:rPr>
      </w:pPr>
      <w:r w:rsidDel="00000000" w:rsidR="00000000" w:rsidRPr="00000000">
        <w:rPr>
          <w:b w:val="1"/>
          <w:color w:val="36394d"/>
          <w:rtl w:val="0"/>
        </w:rPr>
        <w:t xml:space="preserve">Why It Matters</w:t>
      </w:r>
      <w:r w:rsidDel="00000000" w:rsidR="00000000" w:rsidRPr="00000000">
        <w:rPr>
          <w:color w:val="36394d"/>
          <w:rtl w:val="0"/>
        </w:rPr>
        <w:t xml:space="preserve">: A clear transition primes viewers to stay engaged and anticipate actionable value.</w:t>
      </w:r>
    </w:p>
    <w:p w:rsidR="00000000" w:rsidDel="00000000" w:rsidP="00000000" w:rsidRDefault="00000000" w:rsidRPr="00000000" w14:paraId="00000009">
      <w:pPr>
        <w:pStyle w:val="Heading3"/>
        <w:keepNext w:val="0"/>
        <w:keepLines w:val="0"/>
        <w:shd w:fill="ffffff" w:val="clear"/>
        <w:spacing w:before="280" w:line="331.2" w:lineRule="auto"/>
        <w:rPr>
          <w:b w:val="1"/>
          <w:color w:val="36394d"/>
          <w:sz w:val="26"/>
          <w:szCs w:val="26"/>
        </w:rPr>
      </w:pPr>
      <w:bookmarkStart w:colFirst="0" w:colLast="0" w:name="_jn1aby2djspw" w:id="2"/>
      <w:bookmarkEnd w:id="2"/>
      <w:r w:rsidDel="00000000" w:rsidR="00000000" w:rsidRPr="00000000">
        <w:rPr>
          <w:b w:val="1"/>
          <w:color w:val="36394d"/>
          <w:sz w:val="26"/>
          <w:szCs w:val="26"/>
          <w:rtl w:val="0"/>
        </w:rPr>
        <w:t xml:space="preserve">Step 2: Make It Big, Easy, and Specific</w:t>
      </w:r>
    </w:p>
    <w:p w:rsidR="00000000" w:rsidDel="00000000" w:rsidP="00000000" w:rsidRDefault="00000000" w:rsidRPr="00000000" w14:paraId="0000000A">
      <w:pPr>
        <w:numPr>
          <w:ilvl w:val="0"/>
          <w:numId w:val="3"/>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Avoid Vague Advice</w:t>
      </w:r>
      <w:r w:rsidDel="00000000" w:rsidR="00000000" w:rsidRPr="00000000">
        <w:rPr>
          <w:color w:val="36394d"/>
          <w:rtl w:val="0"/>
        </w:rPr>
        <w:t xml:space="preserve">:</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color w:val="36394d"/>
          <w:rtl w:val="0"/>
        </w:rPr>
        <w:t xml:space="preserve">Bad: </w:t>
      </w:r>
      <w:r w:rsidDel="00000000" w:rsidR="00000000" w:rsidRPr="00000000">
        <w:rPr>
          <w:i w:val="1"/>
          <w:color w:val="36394d"/>
          <w:rtl w:val="0"/>
        </w:rPr>
        <w:t xml:space="preserve">“Follow your dreams!”</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color w:val="36394d"/>
          <w:rtl w:val="0"/>
        </w:rPr>
        <w:t xml:space="preserve">Good: </w:t>
      </w:r>
      <w:r w:rsidDel="00000000" w:rsidR="00000000" w:rsidRPr="00000000">
        <w:rPr>
          <w:i w:val="1"/>
          <w:color w:val="36394d"/>
          <w:rtl w:val="0"/>
        </w:rPr>
        <w:t xml:space="preserve">“Block off one hour a day to work on your dream project.”</w:t>
        <w:br w:type="textWrapping"/>
      </w:r>
    </w:p>
    <w:p w:rsidR="00000000" w:rsidDel="00000000" w:rsidP="00000000" w:rsidRDefault="00000000" w:rsidRPr="00000000" w14:paraId="0000000D">
      <w:pPr>
        <w:numPr>
          <w:ilvl w:val="0"/>
          <w:numId w:val="3"/>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Hit the Sweet Spot</w:t>
      </w:r>
      <w:r w:rsidDel="00000000" w:rsidR="00000000" w:rsidRPr="00000000">
        <w:rPr>
          <w:color w:val="36394d"/>
          <w:rtl w:val="0"/>
        </w:rPr>
        <w:t xml:space="preserve">:</w:t>
        <w:br w:type="textWrapping"/>
        <w:br w:type="textWrapping"/>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b w:val="1"/>
          <w:color w:val="36394d"/>
          <w:rtl w:val="0"/>
        </w:rPr>
        <w:t xml:space="preserve">Big</w:t>
      </w:r>
      <w:r w:rsidDel="00000000" w:rsidR="00000000" w:rsidRPr="00000000">
        <w:rPr>
          <w:color w:val="36394d"/>
          <w:rtl w:val="0"/>
        </w:rPr>
        <w:t xml:space="preserve">: Show steps that make a meaningful difference.</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b w:val="1"/>
          <w:color w:val="36394d"/>
          <w:rtl w:val="0"/>
        </w:rPr>
        <w:t xml:space="preserve">Easy</w:t>
      </w:r>
      <w:r w:rsidDel="00000000" w:rsidR="00000000" w:rsidRPr="00000000">
        <w:rPr>
          <w:color w:val="36394d"/>
          <w:rtl w:val="0"/>
        </w:rPr>
        <w:t xml:space="preserve">: Make it feel achievable.</w:t>
      </w:r>
    </w:p>
    <w:p w:rsidR="00000000" w:rsidDel="00000000" w:rsidP="00000000" w:rsidRDefault="00000000" w:rsidRPr="00000000" w14:paraId="00000010">
      <w:pPr>
        <w:numPr>
          <w:ilvl w:val="1"/>
          <w:numId w:val="3"/>
        </w:numPr>
        <w:spacing w:before="0" w:beforeAutospacing="0" w:lineRule="auto"/>
        <w:ind w:left="1440" w:hanging="360"/>
      </w:pPr>
      <w:r w:rsidDel="00000000" w:rsidR="00000000" w:rsidRPr="00000000">
        <w:rPr>
          <w:b w:val="1"/>
          <w:color w:val="36394d"/>
          <w:rtl w:val="0"/>
        </w:rPr>
        <w:t xml:space="preserve">Specific</w:t>
      </w:r>
      <w:r w:rsidDel="00000000" w:rsidR="00000000" w:rsidRPr="00000000">
        <w:rPr>
          <w:color w:val="36394d"/>
          <w:rtl w:val="0"/>
        </w:rPr>
        <w:t xml:space="preserve">: Provide clear instructions.</w:t>
      </w:r>
    </w:p>
    <w:p w:rsidR="00000000" w:rsidDel="00000000" w:rsidP="00000000" w:rsidRDefault="00000000" w:rsidRPr="00000000" w14:paraId="00000011">
      <w:pPr>
        <w:pStyle w:val="Heading3"/>
        <w:keepNext w:val="0"/>
        <w:keepLines w:val="0"/>
        <w:shd w:fill="ffffff" w:val="clear"/>
        <w:spacing w:before="280" w:line="331.2" w:lineRule="auto"/>
        <w:rPr>
          <w:b w:val="1"/>
          <w:color w:val="36394d"/>
          <w:sz w:val="26"/>
          <w:szCs w:val="26"/>
        </w:rPr>
      </w:pPr>
      <w:bookmarkStart w:colFirst="0" w:colLast="0" w:name="_cf9ae9ejq4ub" w:id="3"/>
      <w:bookmarkEnd w:id="3"/>
      <w:r w:rsidDel="00000000" w:rsidR="00000000" w:rsidRPr="00000000">
        <w:rPr>
          <w:b w:val="1"/>
          <w:color w:val="36394d"/>
          <w:sz w:val="26"/>
          <w:szCs w:val="26"/>
          <w:rtl w:val="0"/>
        </w:rPr>
        <w:t xml:space="preserve">Step 3: Break It Down</w:t>
      </w:r>
    </w:p>
    <w:p w:rsidR="00000000" w:rsidDel="00000000" w:rsidP="00000000" w:rsidRDefault="00000000" w:rsidRPr="00000000" w14:paraId="00000012">
      <w:pPr>
        <w:numPr>
          <w:ilvl w:val="0"/>
          <w:numId w:val="7"/>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Slice Big Tasks</w:t>
      </w:r>
      <w:r w:rsidDel="00000000" w:rsidR="00000000" w:rsidRPr="00000000">
        <w:rPr>
          <w:color w:val="36394d"/>
          <w:rtl w:val="0"/>
        </w:rPr>
        <w:t xml:space="preserve">: Break overwhelming tasks into smaller, manageable steps.</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color w:val="36394d"/>
          <w:rtl w:val="0"/>
        </w:rPr>
        <w:t xml:space="preserve">Example: You wouldn’t eat a loaf of bread whole—you’d slice it up.</w:t>
        <w:br w:type="textWrapping"/>
      </w:r>
    </w:p>
    <w:p w:rsidR="00000000" w:rsidDel="00000000" w:rsidP="00000000" w:rsidRDefault="00000000" w:rsidRPr="00000000" w14:paraId="00000014">
      <w:pPr>
        <w:numPr>
          <w:ilvl w:val="0"/>
          <w:numId w:val="7"/>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Use a Framework</w:t>
      </w:r>
      <w:r w:rsidDel="00000000" w:rsidR="00000000" w:rsidRPr="00000000">
        <w:rPr>
          <w:color w:val="36394d"/>
          <w:rtl w:val="0"/>
        </w:rPr>
        <w:t xml:space="preserve">:</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color w:val="36394d"/>
          <w:rtl w:val="0"/>
        </w:rPr>
        <w:t xml:space="preserve">Numbered steps.</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color w:val="36394d"/>
          <w:rtl w:val="0"/>
        </w:rPr>
        <w:t xml:space="preserve">Visual props.</w:t>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color w:val="36394d"/>
          <w:rtl w:val="0"/>
        </w:rPr>
        <w:t xml:space="preserve">Roadmaps or charts.</w:t>
        <w:br w:type="textWrapping"/>
      </w:r>
    </w:p>
    <w:p w:rsidR="00000000" w:rsidDel="00000000" w:rsidP="00000000" w:rsidRDefault="00000000" w:rsidRPr="00000000" w14:paraId="00000018">
      <w:pPr>
        <w:numPr>
          <w:ilvl w:val="0"/>
          <w:numId w:val="7"/>
        </w:numPr>
        <w:shd w:fill="ffffff" w:val="clear"/>
        <w:spacing w:before="0" w:beforeAutospacing="0" w:lineRule="auto"/>
        <w:ind w:left="720" w:hanging="360"/>
        <w:rPr>
          <w:sz w:val="22"/>
          <w:szCs w:val="22"/>
        </w:rPr>
      </w:pPr>
      <w:r w:rsidDel="00000000" w:rsidR="00000000" w:rsidRPr="00000000">
        <w:rPr>
          <w:b w:val="1"/>
          <w:color w:val="36394d"/>
          <w:rtl w:val="0"/>
        </w:rPr>
        <w:t xml:space="preserve">Test Simplicity</w:t>
      </w:r>
      <w:r w:rsidDel="00000000" w:rsidR="00000000" w:rsidRPr="00000000">
        <w:rPr>
          <w:color w:val="36394d"/>
          <w:rtl w:val="0"/>
        </w:rPr>
        <w:t xml:space="preserve">: Ask yourself, </w:t>
      </w:r>
      <w:r w:rsidDel="00000000" w:rsidR="00000000" w:rsidRPr="00000000">
        <w:rPr>
          <w:i w:val="1"/>
          <w:color w:val="36394d"/>
          <w:rtl w:val="0"/>
        </w:rPr>
        <w:t xml:space="preserve">“Could my nan follow this?”</w:t>
      </w:r>
      <w:r w:rsidDel="00000000" w:rsidR="00000000" w:rsidRPr="00000000">
        <w:rPr>
          <w:color w:val="36394d"/>
          <w:rtl w:val="0"/>
        </w:rPr>
        <w:t xml:space="preserve"> (Your nan, not Ed’s—she’s unavailable.)</w:t>
      </w:r>
    </w:p>
    <w:p w:rsidR="00000000" w:rsidDel="00000000" w:rsidP="00000000" w:rsidRDefault="00000000" w:rsidRPr="00000000" w14:paraId="00000019">
      <w:pPr>
        <w:pStyle w:val="Heading3"/>
        <w:keepNext w:val="0"/>
        <w:keepLines w:val="0"/>
        <w:shd w:fill="ffffff" w:val="clear"/>
        <w:spacing w:before="280" w:line="331.2" w:lineRule="auto"/>
        <w:rPr>
          <w:b w:val="1"/>
          <w:color w:val="36394d"/>
          <w:sz w:val="26"/>
          <w:szCs w:val="26"/>
        </w:rPr>
      </w:pPr>
      <w:bookmarkStart w:colFirst="0" w:colLast="0" w:name="_ljlpy3318gi4" w:id="4"/>
      <w:bookmarkEnd w:id="4"/>
      <w:r w:rsidDel="00000000" w:rsidR="00000000" w:rsidRPr="00000000">
        <w:rPr>
          <w:b w:val="1"/>
          <w:color w:val="36394d"/>
          <w:sz w:val="26"/>
          <w:szCs w:val="26"/>
          <w:rtl w:val="0"/>
        </w:rPr>
        <w:t xml:space="preserve">Step 4: Match Depth to Your Audience</w:t>
      </w:r>
    </w:p>
    <w:p w:rsidR="00000000" w:rsidDel="00000000" w:rsidP="00000000" w:rsidRDefault="00000000" w:rsidRPr="00000000" w14:paraId="0000001A">
      <w:pPr>
        <w:numPr>
          <w:ilvl w:val="0"/>
          <w:numId w:val="1"/>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Beginners</w:t>
      </w:r>
      <w:r w:rsidDel="00000000" w:rsidR="00000000" w:rsidRPr="00000000">
        <w:rPr>
          <w:color w:val="36394d"/>
          <w:rtl w:val="0"/>
        </w:rPr>
        <w:t xml:space="preserve">: Simplify with clear frameworks and basic steps.</w:t>
      </w:r>
    </w:p>
    <w:p w:rsidR="00000000" w:rsidDel="00000000" w:rsidP="00000000" w:rsidRDefault="00000000" w:rsidRPr="00000000" w14:paraId="0000001B">
      <w:pPr>
        <w:numPr>
          <w:ilvl w:val="0"/>
          <w:numId w:val="1"/>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Experts</w:t>
      </w:r>
      <w:r w:rsidDel="00000000" w:rsidR="00000000" w:rsidRPr="00000000">
        <w:rPr>
          <w:color w:val="36394d"/>
          <w:rtl w:val="0"/>
        </w:rPr>
        <w:t xml:space="preserve">: Offer nuanced insights and detailed explanations.</w:t>
      </w:r>
    </w:p>
    <w:p w:rsidR="00000000" w:rsidDel="00000000" w:rsidP="00000000" w:rsidRDefault="00000000" w:rsidRPr="00000000" w14:paraId="0000001C">
      <w:pPr>
        <w:numPr>
          <w:ilvl w:val="0"/>
          <w:numId w:val="1"/>
        </w:numPr>
        <w:shd w:fill="ffffff" w:val="clear"/>
        <w:spacing w:before="0" w:beforeAutospacing="0" w:lineRule="auto"/>
        <w:ind w:left="720" w:hanging="360"/>
        <w:rPr>
          <w:sz w:val="22"/>
          <w:szCs w:val="22"/>
        </w:rPr>
      </w:pPr>
      <w:r w:rsidDel="00000000" w:rsidR="00000000" w:rsidRPr="00000000">
        <w:rPr>
          <w:b w:val="1"/>
          <w:color w:val="36394d"/>
          <w:rtl w:val="0"/>
        </w:rPr>
        <w:t xml:space="preserve">Err on the Side of Simplicity</w:t>
      </w:r>
      <w:r w:rsidDel="00000000" w:rsidR="00000000" w:rsidRPr="00000000">
        <w:rPr>
          <w:color w:val="36394d"/>
          <w:rtl w:val="0"/>
        </w:rPr>
        <w:t xml:space="preserve">: Beginners often underestimate their lack of knowledge, so keep it accessible even if they consider themselves “advanced.”</w:t>
      </w:r>
    </w:p>
    <w:p w:rsidR="00000000" w:rsidDel="00000000" w:rsidP="00000000" w:rsidRDefault="00000000" w:rsidRPr="00000000" w14:paraId="0000001D">
      <w:pPr>
        <w:pStyle w:val="Heading3"/>
        <w:keepNext w:val="0"/>
        <w:keepLines w:val="0"/>
        <w:shd w:fill="ffffff" w:val="clear"/>
        <w:spacing w:before="280" w:line="331.2" w:lineRule="auto"/>
        <w:rPr>
          <w:b w:val="1"/>
          <w:color w:val="36394d"/>
          <w:sz w:val="26"/>
          <w:szCs w:val="26"/>
        </w:rPr>
      </w:pPr>
      <w:bookmarkStart w:colFirst="0" w:colLast="0" w:name="_hiilwwcnvidx" w:id="5"/>
      <w:bookmarkEnd w:id="5"/>
      <w:r w:rsidDel="00000000" w:rsidR="00000000" w:rsidRPr="00000000">
        <w:rPr>
          <w:b w:val="1"/>
          <w:color w:val="36394d"/>
          <w:sz w:val="26"/>
          <w:szCs w:val="26"/>
          <w:rtl w:val="0"/>
        </w:rPr>
        <w:t xml:space="preserve">Step 5: Show, Don’t Just Tell</w:t>
      </w:r>
    </w:p>
    <w:p w:rsidR="00000000" w:rsidDel="00000000" w:rsidP="00000000" w:rsidRDefault="00000000" w:rsidRPr="00000000" w14:paraId="0000001E">
      <w:pPr>
        <w:numPr>
          <w:ilvl w:val="0"/>
          <w:numId w:val="8"/>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Why It Works</w:t>
      </w:r>
      <w:r w:rsidDel="00000000" w:rsidR="00000000" w:rsidRPr="00000000">
        <w:rPr>
          <w:color w:val="36394d"/>
          <w:rtl w:val="0"/>
        </w:rPr>
        <w:t xml:space="preserve">: The more you visually demonstrate steps, the easier it is for viewers to follow.</w:t>
      </w:r>
    </w:p>
    <w:p w:rsidR="00000000" w:rsidDel="00000000" w:rsidP="00000000" w:rsidRDefault="00000000" w:rsidRPr="00000000" w14:paraId="0000001F">
      <w:pPr>
        <w:numPr>
          <w:ilvl w:val="0"/>
          <w:numId w:val="8"/>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How</w:t>
      </w:r>
      <w:r w:rsidDel="00000000" w:rsidR="00000000" w:rsidRPr="00000000">
        <w:rPr>
          <w:color w:val="36394d"/>
          <w:rtl w:val="0"/>
        </w:rPr>
        <w:t xml:space="preserve">:</w:t>
      </w:r>
    </w:p>
    <w:p w:rsidR="00000000" w:rsidDel="00000000" w:rsidP="00000000" w:rsidRDefault="00000000" w:rsidRPr="00000000" w14:paraId="00000020">
      <w:pPr>
        <w:numPr>
          <w:ilvl w:val="1"/>
          <w:numId w:val="8"/>
        </w:numPr>
        <w:spacing w:after="0" w:afterAutospacing="0" w:before="0" w:beforeAutospacing="0" w:lineRule="auto"/>
        <w:ind w:left="1440" w:hanging="360"/>
      </w:pPr>
      <w:r w:rsidDel="00000000" w:rsidR="00000000" w:rsidRPr="00000000">
        <w:rPr>
          <w:color w:val="36394d"/>
          <w:rtl w:val="0"/>
        </w:rPr>
        <w:t xml:space="preserve">Use visual props, charts, or live demonstrations.</w:t>
      </w:r>
    </w:p>
    <w:p w:rsidR="00000000" w:rsidDel="00000000" w:rsidP="00000000" w:rsidRDefault="00000000" w:rsidRPr="00000000" w14:paraId="00000021">
      <w:pPr>
        <w:numPr>
          <w:ilvl w:val="1"/>
          <w:numId w:val="8"/>
        </w:numPr>
        <w:spacing w:before="0" w:beforeAutospacing="0" w:lineRule="auto"/>
        <w:ind w:left="1440" w:hanging="360"/>
      </w:pPr>
      <w:r w:rsidDel="00000000" w:rsidR="00000000" w:rsidRPr="00000000">
        <w:rPr>
          <w:color w:val="36394d"/>
          <w:rtl w:val="0"/>
        </w:rPr>
        <w:t xml:space="preserve">Avoid over-explaining when a visual can do the job.</w:t>
      </w:r>
    </w:p>
    <w:p w:rsidR="00000000" w:rsidDel="00000000" w:rsidP="00000000" w:rsidRDefault="00000000" w:rsidRPr="00000000" w14:paraId="00000022">
      <w:pPr>
        <w:pStyle w:val="Heading3"/>
        <w:keepNext w:val="0"/>
        <w:keepLines w:val="0"/>
        <w:shd w:fill="ffffff" w:val="clear"/>
        <w:spacing w:before="280" w:line="331.2" w:lineRule="auto"/>
        <w:rPr>
          <w:b w:val="1"/>
          <w:color w:val="36394d"/>
          <w:sz w:val="26"/>
          <w:szCs w:val="26"/>
        </w:rPr>
      </w:pPr>
      <w:bookmarkStart w:colFirst="0" w:colLast="0" w:name="_l2nr5gxqbkhp" w:id="6"/>
      <w:bookmarkEnd w:id="6"/>
      <w:r w:rsidDel="00000000" w:rsidR="00000000" w:rsidRPr="00000000">
        <w:rPr>
          <w:b w:val="1"/>
          <w:color w:val="36394d"/>
          <w:sz w:val="26"/>
          <w:szCs w:val="26"/>
          <w:rtl w:val="0"/>
        </w:rPr>
        <w:t xml:space="preserve">Step 6: Transition to the Next Brick</w:t>
      </w:r>
    </w:p>
    <w:p w:rsidR="00000000" w:rsidDel="00000000" w:rsidP="00000000" w:rsidRDefault="00000000" w:rsidRPr="00000000" w14:paraId="00000023">
      <w:pPr>
        <w:numPr>
          <w:ilvl w:val="0"/>
          <w:numId w:val="4"/>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Don’t Summarize</w:t>
      </w:r>
      <w:r w:rsidDel="00000000" w:rsidR="00000000" w:rsidRPr="00000000">
        <w:rPr>
          <w:color w:val="36394d"/>
          <w:rtl w:val="0"/>
        </w:rPr>
        <w:t xml:space="preserve">: Avoid wrapping up the application section too neatly—it can signal to viewers that the video is over.</w:t>
        <w:br w:type="textWrapping"/>
      </w:r>
    </w:p>
    <w:p w:rsidR="00000000" w:rsidDel="00000000" w:rsidP="00000000" w:rsidRDefault="00000000" w:rsidRPr="00000000" w14:paraId="00000024">
      <w:pPr>
        <w:numPr>
          <w:ilvl w:val="0"/>
          <w:numId w:val="4"/>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Set Up the Next Problem</w:t>
      </w:r>
      <w:r w:rsidDel="00000000" w:rsidR="00000000" w:rsidRPr="00000000">
        <w:rPr>
          <w:color w:val="36394d"/>
          <w:rtl w:val="0"/>
        </w:rPr>
        <w:t xml:space="preserve">: Tease what’s coming next:</w:t>
      </w:r>
    </w:p>
    <w:p w:rsidR="00000000" w:rsidDel="00000000" w:rsidP="00000000" w:rsidRDefault="00000000" w:rsidRPr="00000000" w14:paraId="00000025">
      <w:pPr>
        <w:numPr>
          <w:ilvl w:val="1"/>
          <w:numId w:val="4"/>
        </w:numPr>
        <w:spacing w:before="0" w:beforeAutospacing="0" w:lineRule="auto"/>
        <w:ind w:left="1440" w:hanging="360"/>
      </w:pPr>
      <w:r w:rsidDel="00000000" w:rsidR="00000000" w:rsidRPr="00000000">
        <w:rPr>
          <w:i w:val="1"/>
          <w:color w:val="36394d"/>
          <w:rtl w:val="0"/>
        </w:rPr>
        <w:t xml:space="preserve">“Now that you know how to build trust, let’s tackle the next step: keeping viewers engaged.”</w:t>
      </w:r>
    </w:p>
    <w:p w:rsidR="00000000" w:rsidDel="00000000" w:rsidP="00000000" w:rsidRDefault="00000000" w:rsidRPr="00000000" w14:paraId="00000026">
      <w:pPr>
        <w:pStyle w:val="Heading3"/>
        <w:keepNext w:val="0"/>
        <w:keepLines w:val="0"/>
        <w:shd w:fill="ffffff" w:val="clear"/>
        <w:spacing w:before="280" w:line="331.2" w:lineRule="auto"/>
        <w:rPr>
          <w:b w:val="1"/>
          <w:color w:val="36394d"/>
          <w:sz w:val="26"/>
          <w:szCs w:val="26"/>
        </w:rPr>
      </w:pPr>
      <w:bookmarkStart w:colFirst="0" w:colLast="0" w:name="_kzqjoqedat0h" w:id="7"/>
      <w:bookmarkEnd w:id="7"/>
      <w:r w:rsidDel="00000000" w:rsidR="00000000" w:rsidRPr="00000000">
        <w:rPr>
          <w:b w:val="1"/>
          <w:color w:val="36394d"/>
          <w:sz w:val="26"/>
          <w:szCs w:val="26"/>
          <w:rtl w:val="0"/>
        </w:rPr>
        <w:t xml:space="preserve">What a Great Application Brick Looks Like</w:t>
      </w:r>
    </w:p>
    <w:p w:rsidR="00000000" w:rsidDel="00000000" w:rsidP="00000000" w:rsidRDefault="00000000" w:rsidRPr="00000000" w14:paraId="00000027">
      <w:pPr>
        <w:numPr>
          <w:ilvl w:val="0"/>
          <w:numId w:val="6"/>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Balanced Length</w:t>
      </w:r>
      <w:r w:rsidDel="00000000" w:rsidR="00000000" w:rsidRPr="00000000">
        <w:rPr>
          <w:color w:val="36394d"/>
          <w:rtl w:val="0"/>
        </w:rPr>
        <w:t xml:space="preserve">: Some application sections are short and punchy, while others are detailed and comprehensive.</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color w:val="36394d"/>
          <w:rtl w:val="0"/>
        </w:rPr>
        <w:t xml:space="preserve">Example 1 (Short): </w:t>
      </w:r>
      <w:r w:rsidDel="00000000" w:rsidR="00000000" w:rsidRPr="00000000">
        <w:rPr>
          <w:i w:val="1"/>
          <w:color w:val="36394d"/>
          <w:rtl w:val="0"/>
        </w:rPr>
        <w:t xml:space="preserve">“Even if you're the best in the world, viewers won’t believe it until you show proof of credibility and trustworthiness.”</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color w:val="36394d"/>
          <w:rtl w:val="0"/>
        </w:rPr>
        <w:t xml:space="preserve">Example 2 (Long): Step-by-step instructions on creating a trust-building framework.</w:t>
        <w:br w:type="textWrapping"/>
      </w:r>
    </w:p>
    <w:p w:rsidR="00000000" w:rsidDel="00000000" w:rsidP="00000000" w:rsidRDefault="00000000" w:rsidRPr="00000000" w14:paraId="0000002A">
      <w:pPr>
        <w:numPr>
          <w:ilvl w:val="0"/>
          <w:numId w:val="6"/>
        </w:numPr>
        <w:shd w:fill="ffffff" w:val="clear"/>
        <w:spacing w:before="0" w:beforeAutospacing="0" w:lineRule="auto"/>
        <w:ind w:left="720" w:hanging="360"/>
        <w:rPr>
          <w:sz w:val="22"/>
          <w:szCs w:val="22"/>
        </w:rPr>
      </w:pPr>
      <w:r w:rsidDel="00000000" w:rsidR="00000000" w:rsidRPr="00000000">
        <w:rPr>
          <w:b w:val="1"/>
          <w:color w:val="36394d"/>
          <w:rtl w:val="0"/>
        </w:rPr>
        <w:t xml:space="preserve">Result-Oriented</w:t>
      </w:r>
      <w:r w:rsidDel="00000000" w:rsidR="00000000" w:rsidRPr="00000000">
        <w:rPr>
          <w:color w:val="36394d"/>
          <w:rtl w:val="0"/>
        </w:rPr>
        <w:t xml:space="preserve">: Ensure the steps are actionable and capable of delivering results.</w:t>
      </w:r>
    </w:p>
    <w:p w:rsidR="00000000" w:rsidDel="00000000" w:rsidP="00000000" w:rsidRDefault="00000000" w:rsidRPr="00000000" w14:paraId="0000002B">
      <w:pPr>
        <w:pStyle w:val="Heading3"/>
        <w:keepNext w:val="0"/>
        <w:keepLines w:val="0"/>
        <w:shd w:fill="ffffff" w:val="clear"/>
        <w:spacing w:before="280" w:line="331.2" w:lineRule="auto"/>
        <w:rPr>
          <w:b w:val="1"/>
          <w:color w:val="36394d"/>
          <w:sz w:val="26"/>
          <w:szCs w:val="26"/>
        </w:rPr>
      </w:pPr>
      <w:bookmarkStart w:colFirst="0" w:colLast="0" w:name="_ebcw84xci6ej" w:id="8"/>
      <w:bookmarkEnd w:id="8"/>
      <w:r w:rsidDel="00000000" w:rsidR="00000000" w:rsidRPr="00000000">
        <w:rPr>
          <w:b w:val="1"/>
          <w:color w:val="36394d"/>
          <w:sz w:val="26"/>
          <w:szCs w:val="26"/>
          <w:rtl w:val="0"/>
        </w:rPr>
        <w:t xml:space="preserve">Common Mistakes to Avoid</w:t>
      </w:r>
    </w:p>
    <w:p w:rsidR="00000000" w:rsidDel="00000000" w:rsidP="00000000" w:rsidRDefault="00000000" w:rsidRPr="00000000" w14:paraId="0000002C">
      <w:pPr>
        <w:numPr>
          <w:ilvl w:val="0"/>
          <w:numId w:val="5"/>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Being Too Vague</w:t>
      </w:r>
      <w:r w:rsidDel="00000000" w:rsidR="00000000" w:rsidRPr="00000000">
        <w:rPr>
          <w:color w:val="36394d"/>
          <w:rtl w:val="0"/>
        </w:rPr>
        <w:t xml:space="preserve">: Don’t leave viewers wondering where to start.</w:t>
      </w:r>
    </w:p>
    <w:p w:rsidR="00000000" w:rsidDel="00000000" w:rsidP="00000000" w:rsidRDefault="00000000" w:rsidRPr="00000000" w14:paraId="0000002D">
      <w:pPr>
        <w:numPr>
          <w:ilvl w:val="0"/>
          <w:numId w:val="5"/>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Overcomplicating</w:t>
      </w:r>
      <w:r w:rsidDel="00000000" w:rsidR="00000000" w:rsidRPr="00000000">
        <w:rPr>
          <w:color w:val="36394d"/>
          <w:rtl w:val="0"/>
        </w:rPr>
        <w:t xml:space="preserve">: Simplify advanced concepts for accessibility.</w:t>
      </w:r>
    </w:p>
    <w:p w:rsidR="00000000" w:rsidDel="00000000" w:rsidP="00000000" w:rsidRDefault="00000000" w:rsidRPr="00000000" w14:paraId="0000002E">
      <w:pPr>
        <w:numPr>
          <w:ilvl w:val="0"/>
          <w:numId w:val="5"/>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Skipping Visuals</w:t>
      </w:r>
      <w:r w:rsidDel="00000000" w:rsidR="00000000" w:rsidRPr="00000000">
        <w:rPr>
          <w:color w:val="36394d"/>
          <w:rtl w:val="0"/>
        </w:rPr>
        <w:t xml:space="preserve">: Whenever possible, show your steps to increase understanding.</w:t>
      </w:r>
    </w:p>
    <w:p w:rsidR="00000000" w:rsidDel="00000000" w:rsidP="00000000" w:rsidRDefault="00000000" w:rsidRPr="00000000" w14:paraId="0000002F">
      <w:pPr>
        <w:numPr>
          <w:ilvl w:val="0"/>
          <w:numId w:val="5"/>
        </w:numPr>
        <w:shd w:fill="ffffff" w:val="clear"/>
        <w:spacing w:before="0" w:beforeAutospacing="0" w:lineRule="auto"/>
        <w:ind w:left="720" w:hanging="360"/>
        <w:rPr>
          <w:sz w:val="22"/>
          <w:szCs w:val="22"/>
        </w:rPr>
      </w:pPr>
      <w:r w:rsidDel="00000000" w:rsidR="00000000" w:rsidRPr="00000000">
        <w:rPr>
          <w:b w:val="1"/>
          <w:color w:val="36394d"/>
          <w:rtl w:val="0"/>
        </w:rPr>
        <w:t xml:space="preserve">Leaving Viewers Hanging</w:t>
      </w:r>
      <w:r w:rsidDel="00000000" w:rsidR="00000000" w:rsidRPr="00000000">
        <w:rPr>
          <w:color w:val="36394d"/>
          <w:rtl w:val="0"/>
        </w:rPr>
        <w:t xml:space="preserve">: Always transition to the next section to maintain engagement.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36394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