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color w:val="1F2937"/>
          <w:sz w:val="30"/>
        </w:rPr>
        <w:t>Lab 3: Component Modelling &amp; Architectural Pattern Selection</w:t>
      </w:r>
    </w:p>
    <w:p>
      <w:pPr>
        <w:pBdr>
          <w:bottom w:val="single" w:sz="8" w:space="1" w:color="1D4ED8"/>
        </w:pBdr>
        <w:spacing w:after="120" w:before="0"/>
        <w:jc w:val="center"/>
      </w:pPr>
      <w:r>
        <w:rPr>
          <w:b w:val="0"/>
          <w:color w:val="374151"/>
          <w:sz w:val="23"/>
        </w:rPr>
        <w:t>Written Justification – Campus Placement &amp; Internship Pipeline</w:t>
      </w:r>
    </w:p>
    <w:tbl>
      <w:tblPr>
        <w:tblStyle w:val="TableGrid"/>
        <w:tblW w:type="auto" w:w="0"/>
        <w:jc w:val="center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2268"/>
        <w:gridCol w:w="2608"/>
        <w:gridCol w:w="2268"/>
      </w:tblGrid>
      <w:tr>
        <w:tc>
          <w:tcPr>
            <w:tcW w:type="dxa" w:w="2608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Team Member</w:t>
            </w:r>
          </w:p>
        </w:tc>
        <w:tc>
          <w:tcPr>
            <w:tcW w:type="dxa" w:w="2268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SRN</w:t>
            </w:r>
          </w:p>
        </w:tc>
        <w:tc>
          <w:tcPr>
            <w:tcW w:type="dxa" w:w="2608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Team Member</w:t>
            </w:r>
          </w:p>
        </w:tc>
        <w:tc>
          <w:tcPr>
            <w:tcW w:type="dxa" w:w="2268"/>
            <w:shd w:val="clear" w:color="auto" w:fill="1F2937"/>
          </w:tcPr>
          <w:p>
            <w:r/>
            <w:r>
              <w:rPr>
                <w:b/>
                <w:color w:val="FFFFFF"/>
                <w:sz w:val="20"/>
              </w:rPr>
              <w:t>SRN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20"/>
              </w:rPr>
              <w:t>Gaurav Girish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PES1UG24AM103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20"/>
              </w:rPr>
              <w:t>Sunay R Hegde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PES1UG24AM903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20"/>
              </w:rPr>
              <w:t>Dilipan Y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PES1UG24AM092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20"/>
              </w:rPr>
              <w:t>Dhruv Rajagopalan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PES1UG24AM086</w:t>
            </w:r>
          </w:p>
        </w:tc>
      </w:tr>
    </w:tbl>
    <w:p>
      <w:pPr>
        <w:spacing w:after="40" w:before="0"/>
      </w:pPr>
    </w:p>
    <w:p>
      <w:pPr>
        <w:spacing w:after="80" w:before="80"/>
      </w:pPr>
      <w:r>
        <w:rPr>
          <w:b/>
          <w:color w:val="1D4ED8"/>
          <w:sz w:val="23"/>
        </w:rPr>
        <w:t xml:space="preserve">Architecture Selection: </w:t>
      </w:r>
      <w:r>
        <w:rPr>
          <w:b/>
          <w:sz w:val="23"/>
        </w:rPr>
        <w:t>“We chose Microservices Architecture for the Campus Placement &amp; Internship Pipeline System.”</w:t>
      </w:r>
    </w:p>
    <w:p>
      <w:pPr>
        <w:spacing w:after="40" w:before="100"/>
      </w:pPr>
      <w:r>
        <w:rPr>
          <w:b/>
          <w:color w:val="1D4ED8"/>
          <w:sz w:val="23"/>
        </w:rPr>
        <w:t>1. Architectural Choice</w:t>
      </w:r>
    </w:p>
    <w:p>
      <w:pPr>
        <w:spacing w:after="60"/>
        <w:jc w:val="both"/>
      </w:pPr>
      <w:r>
        <w:rPr>
          <w:b/>
          <w:sz w:val="20"/>
        </w:rPr>
        <w:t>Microservices Architecture.</w:t>
      </w:r>
      <w:r>
        <w:rPr>
          <w:b w:val="0"/>
          <w:sz w:val="20"/>
        </w:rPr>
        <w:t xml:space="preserve"> The system is split into five small, independently deployable services, one per business capability: Profile &amp; Resume, Eligibility, Interview, Offer and Application Status. Each service owns its own database. The Web Portal reaches them only through an </w:t>
      </w:r>
      <w:r>
        <w:rPr>
          <w:b/>
          <w:sz w:val="20"/>
        </w:rPr>
        <w:t>API Gateway</w:t>
      </w:r>
      <w:r>
        <w:rPr>
          <w:b w:val="0"/>
          <w:sz w:val="20"/>
        </w:rPr>
        <w:t xml:space="preserve">, services call each other through REST interfaces (ISkillProfile, IEligibilityCheck, ISelectionResult), and status changes are shared asynchronously through a </w:t>
      </w:r>
      <w:r>
        <w:rPr>
          <w:b/>
          <w:sz w:val="20"/>
        </w:rPr>
        <w:t>Message Broker</w:t>
      </w:r>
      <w:r>
        <w:rPr>
          <w:b w:val="0"/>
          <w:sz w:val="20"/>
        </w:rPr>
        <w:t>, as shown in our component diagram.</w:t>
      </w:r>
    </w:p>
    <w:p>
      <w:pPr>
        <w:spacing w:after="40" w:before="100"/>
      </w:pPr>
      <w:r>
        <w:rPr>
          <w:b/>
          <w:color w:val="1D4ED8"/>
          <w:sz w:val="23"/>
        </w:rPr>
        <w:t>2. Two Reasons for the Choice</w:t>
      </w:r>
    </w:p>
    <w:p>
      <w:pPr>
        <w:spacing w:after="60"/>
        <w:jc w:val="both"/>
      </w:pPr>
      <w:r>
        <w:rPr>
          <w:b/>
          <w:sz w:val="20"/>
        </w:rPr>
        <w:t xml:space="preserve">Reason 1 – Placement drives create sudden, uneven load. </w:t>
      </w:r>
      <w:r>
        <w:rPr>
          <w:b w:val="0"/>
          <w:sz w:val="20"/>
        </w:rPr>
        <w:t>When a drive opens, hundreds of students upload resumes and must be screened within a short window, while the interview and offer modules see light, steady use. With microservices we can run extra instances of only the Profile &amp; Resume and Eligibility services to meet NFR-002 (95% of screening results within 5 seconds at 100 concurrent requests), instead of scaling the whole application as a Layered or Client-Server system would require.</w:t>
      </w:r>
    </w:p>
    <w:p>
      <w:pPr>
        <w:spacing w:after="60"/>
        <w:jc w:val="both"/>
      </w:pPr>
      <w:r>
        <w:rPr>
          <w:b/>
          <w:sz w:val="20"/>
        </w:rPr>
        <w:t xml:space="preserve">Reason 2 – The pipeline consists of separate modules that change and fail independently. </w:t>
      </w:r>
      <w:r>
        <w:rPr>
          <w:b w:val="0"/>
          <w:sz w:val="20"/>
        </w:rPr>
        <w:t>Resume parsing, eligibility screening, interviews, offers and status tracking map one-to-one to our epics. Eligibility rules change for every company drive, and resume parsing (our riskiest story) may need a different parser or technology. Each service can be updated and redeployed alone. A failure is also contained: if the parser crashes on a malformed PDF, recruiters can still record interview outcomes and students can still view their application status.</w:t>
      </w:r>
    </w:p>
    <w:p>
      <w:pPr>
        <w:spacing w:after="40" w:before="100"/>
      </w:pPr>
      <w:r>
        <w:rPr>
          <w:b/>
          <w:color w:val="1D4ED8"/>
          <w:sz w:val="23"/>
        </w:rPr>
        <w:t>3. Security Advantage</w:t>
      </w:r>
    </w:p>
    <w:p>
      <w:pPr>
        <w:spacing w:after="60"/>
        <w:jc w:val="both"/>
      </w:pPr>
      <w:r>
        <w:rPr>
          <w:b/>
          <w:sz w:val="20"/>
        </w:rPr>
        <w:t xml:space="preserve">A single, controlled entry point and isolated data. </w:t>
      </w:r>
      <w:r>
        <w:rPr>
          <w:b w:val="0"/>
          <w:sz w:val="20"/>
        </w:rPr>
        <w:t>Every request passes through the API Gateway, which authenticates the user (JWT) and enforces role-based access before routing. For example, only a Placement Officer can configure eligibility rules or create offers, and a student can see only their own records. Because of database-per-service, sensitive academic records and offer letters live only in the Profile and Offer databases, encrypted with AES-256 (NFR-001) and reachable only through those services' APIs. A compromise of one service therefore does not expose all student data.</w:t>
      </w:r>
    </w:p>
    <w:p>
      <w:pPr>
        <w:spacing w:after="40" w:before="100"/>
      </w:pPr>
      <w:r>
        <w:rPr>
          <w:b/>
          <w:color w:val="1D4ED8"/>
          <w:sz w:val="23"/>
        </w:rPr>
        <w:t>4. Performance Benefit</w:t>
      </w:r>
    </w:p>
    <w:p>
      <w:pPr>
        <w:spacing w:after="60"/>
        <w:jc w:val="both"/>
      </w:pPr>
      <w:r>
        <w:rPr>
          <w:b/>
          <w:sz w:val="20"/>
        </w:rPr>
        <w:t xml:space="preserve">Independent scaling and asynchronous status updates. </w:t>
      </w:r>
      <w:r>
        <w:rPr>
          <w:b w:val="0"/>
          <w:sz w:val="20"/>
        </w:rPr>
        <w:t>The CPU-heavy work (PDF parsing and eligibility checks) runs on its own load-balanced service instances, so it never slows down the other modules. Status changes are pushed as events (EligibilityDecided, OutcomeRecorded, OfferIssued) into the Application Status Service's own read model, so a student's “View Application Status” request is a single fast lookup that does not wait on the other services. This keeps screening within the 5-second target and the dashboard responsive on busy drive days.</w:t>
      </w:r>
    </w:p>
    <w:p>
      <w:pPr>
        <w:spacing w:after="20" w:before="80"/>
      </w:pPr>
      <w:r>
        <w:rPr>
          <w:b/>
          <w:color w:val="374151"/>
          <w:sz w:val="21"/>
        </w:rPr>
        <w:t>Alternatives considered and rejected</w:t>
      </w:r>
    </w:p>
    <w:p>
      <w:pPr>
        <w:pStyle w:val="ListBullet"/>
        <w:spacing w:after="0"/>
      </w:pPr>
      <w:r>
        <w:rPr>
          <w:b/>
          <w:sz w:val="19"/>
        </w:rPr>
        <w:t xml:space="preserve">Layered: </w:t>
      </w:r>
      <w:r>
        <w:rPr>
          <w:sz w:val="19"/>
        </w:rPr>
        <w:t>a single deployable unit, so the whole system must be scaled together, and a parser failure can take down the entire portal.</w:t>
      </w:r>
    </w:p>
    <w:p>
      <w:pPr>
        <w:pStyle w:val="ListBullet"/>
        <w:spacing w:after="0"/>
      </w:pPr>
      <w:r>
        <w:rPr>
          <w:b/>
          <w:sz w:val="19"/>
        </w:rPr>
        <w:t xml:space="preserve">Client-Server: </w:t>
      </w:r>
      <w:r>
        <w:rPr>
          <w:sz w:val="19"/>
        </w:rPr>
        <w:t>the central server becomes a bottleneck and a single point of failure on drive days.</w:t>
      </w:r>
    </w:p>
    <w:p>
      <w:pPr>
        <w:pStyle w:val="ListBullet"/>
        <w:spacing w:after="0"/>
      </w:pPr>
      <w:r>
        <w:rPr>
          <w:b/>
          <w:sz w:val="19"/>
        </w:rPr>
        <w:t xml:space="preserve">Trade-off accepted: </w:t>
      </w:r>
      <w:r>
        <w:rPr>
          <w:sz w:val="19"/>
        </w:rPr>
        <w:t>microservices add operational complexity and eventual consistency; the API Gateway and Message Broker keep these manageable, and a few seconds of delay in status updates is acceptable.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Written Justification – Campus Placement &amp; Internship Pipeline</dc:title>
  <dc:subject/>
  <dc:creator>Gaurav Girish, Sunay R Hegde, Dilipan Y, Dhruv Rajagopalan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