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sz w:val="30"/>
        </w:rPr>
        <w:t>SAMVAAD (Sign and Multimodal Voice Assistive Access and Dialogue): A Web-Based Multimodal Assistive Communication System</w:t>
      </w:r>
    </w:p>
    <w:p>
      <w:pPr>
        <w:spacing w:after="80"/>
        <w:jc w:val="center"/>
      </w:pPr>
      <w:r>
        <w:rPr>
          <w:rFonts w:ascii="Times New Roman" w:hAnsi="Times New Roman" w:eastAsia="Times New Roman"/>
          <w:sz w:val="20"/>
        </w:rPr>
        <w:t>Gaurav Thakare, Priyanka Narawade, Shreya Choure, Krushnal Mahajan</w:t>
      </w:r>
    </w:p>
    <w:p>
      <w:pPr>
        <w:spacing w:after="80"/>
        <w:jc w:val="center"/>
      </w:pPr>
      <w:r>
        <w:rPr>
          <w:rFonts w:ascii="Times New Roman" w:hAnsi="Times New Roman" w:eastAsia="Times New Roman"/>
          <w:i/>
          <w:sz w:val="18"/>
        </w:rPr>
        <w:t>SAMVAAD Project Team, Final Year Engineering Project</w:t>
      </w:r>
    </w:p>
    <w:p>
      <w:pPr>
        <w:spacing w:after="240"/>
        <w:jc w:val="center"/>
      </w:pPr>
      <w:r>
        <w:rPr>
          <w:rFonts w:ascii="Times New Roman" w:hAnsi="Times New Roman" w:eastAsia="Times New Roman"/>
          <w:i/>
          <w:sz w:val="16"/>
        </w:rPr>
        <w:t>Venue-neutral manuscript draft prepared from the current project implementation on 3 May 2026</w:t>
      </w:r>
    </w:p>
    <w:p>
      <w:pPr>
        <w:spacing w:after="80"/>
        <w:jc w:val="center"/>
      </w:pPr>
      <w:r>
        <w:rPr>
          <w:rFonts w:ascii="Times New Roman" w:hAnsi="Times New Roman" w:eastAsia="Times New Roman"/>
          <w:b/>
          <w:sz w:val="20"/>
        </w:rPr>
        <w:t>Abstract</w:t>
      </w:r>
    </w:p>
    <w:p>
      <w:pPr>
        <w:spacing w:line="240" w:lineRule="auto"/>
        <w:ind w:left="360" w:right="360"/>
      </w:pPr>
      <w:r>
        <w:rPr>
          <w:rFonts w:ascii="Times New Roman" w:hAnsi="Times New Roman" w:eastAsia="Times New Roman"/>
          <w:sz w:val="16"/>
        </w:rPr>
        <w:t>SAMVAAD, expanded here as Sign and Multimodal Voice Assistive Access and Dialogue, is a multimodal assistive communication prototype designed to reduce interaction barriers across hearing, speech, and visual impairments. The current system combines browser-based hand landmark capture, server-side sign classification, text-to-sign avatar playback, speech input and output, and image-based Braille recognition within a single web application. The sign recognition module uses MediaPipe landmarks, rule-based gesture decoding, recorded-sample matching, and temporal stabilization to improve robustness for alphabetic signs and common commands. The Braille module applies contrast enhancement, adaptive thresholding, contour-based dot detection, cell segmentation, and pattern decoding to convert embossed-dot images into readable text. The implementation is delivered through a Flask backend with lightweight regression tests and extensible local datasets for gesture samples and Braille images. This paper presents the system architecture, core algorithms, implementation-backed evidence, and limitations of the prototype. The main contribution of SAMVAAD is the integration of multiple accessibility pathways inside one lightweight platform rather than a single isolated recognizer. The current prototype therefore serves as a practical foundation for future assistive communication research, controlled evaluation, and deployment-oriented refinement.</w:t>
      </w:r>
    </w:p>
    <w:p>
      <w:pPr>
        <w:spacing w:after="200"/>
        <w:ind w:left="360" w:right="360"/>
      </w:pPr>
      <w:r>
        <w:rPr>
          <w:rFonts w:ascii="Times New Roman" w:hAnsi="Times New Roman" w:eastAsia="Times New Roman"/>
          <w:b/>
          <w:sz w:val="16"/>
        </w:rPr>
        <w:t xml:space="preserve">Keywords: </w:t>
      </w:r>
      <w:r>
        <w:rPr>
          <w:rFonts w:ascii="Times New Roman" w:hAnsi="Times New Roman" w:eastAsia="Times New Roman"/>
          <w:sz w:val="16"/>
        </w:rPr>
        <w:t>assistive technology; sign language recognition; Braille OCR; multimodal interaction; accessibility; avatar-based communication</w:t>
      </w:r>
    </w:p>
    <w:p>
      <w:pPr>
        <w:pStyle w:val="Heading1"/>
      </w:pPr>
      <w:r>
        <w:t>1. Introduction</w:t>
      </w:r>
    </w:p>
    <w:p>
      <w:r>
        <w:t>Communication barriers remain a persistent challenge for people who rely on sign language, tactile reading systems, speech assistance, or combinations of these modalities. Many academic prototypes address only one modality at a time, which can fragment the communication experience and require users to switch tools depending on the context.</w:t>
      </w:r>
    </w:p>
    <w:p>
      <w:r>
        <w:t>SAMVAAD, standing for Sign and Multimodal Voice Assistive Access and Dialogue, was developed as an accessibility-focused final year project to explore whether a single web-based system can unify several communication pathways: sign-to-text, text-to-sign, speech-to-text, text-to-speech, and Braille image interpretation. The project emphasizes deployability with common hardware, such as a browser camera and standard image uploads, while keeping the architecture understandable and extensible for future research.</w:t>
      </w:r>
    </w:p>
    <w:p>
      <w:r>
        <w:t>The name SAMVAAD is also inspired by the Sanskrit word samvad, meaning communication or dialogue, which aligns with the system's goal of enabling accessible multimodal interaction.</w:t>
      </w:r>
    </w:p>
    <w:p>
      <w:r>
        <w:t>This paper presents the current implementation as a prototype paper rather than a final benchmark study. The goal is to document the system design, explain the engineering choices visible in the repository, summarize the present evidence of functionality, and identify the next steps needed before formal comparative evaluation or journal submission.</w:t>
      </w:r>
    </w:p>
    <w:p>
      <w:pPr>
        <w:pStyle w:val="Heading1"/>
      </w:pPr>
      <w:r>
        <w:t>2. Problem Statement and Motivation</w:t>
      </w:r>
    </w:p>
    <w:p>
      <w:r>
        <w:t>Assistive communication systems often serve one input channel well while leaving other channels disconnected. A signer may need gesture recognition, a low-vision user may need Braille interpretation, and a classroom or home setting may require speech synthesis and text display at the same time. When these workflows are isolated, the user experience becomes slower, less inclusive, and more dependent on ad hoc human mediation.</w:t>
      </w:r>
    </w:p>
    <w:p>
      <w:r>
        <w:t>The motivation behind SAMVAAD is to reduce this fragmentation by building a multimodal platform where one interface can support recognition, playback, and learning tasks. Instead of treating sign recognition and Braille interpretation as unrelated modules, the project treats them as complementary accessibility pathways that should coexist in the same assistive environment.</w:t>
      </w:r>
    </w:p>
    <w:p>
      <w:pPr>
        <w:pStyle w:val="Heading1"/>
      </w:pPr>
      <w:r>
        <w:t>3. Contributions</w:t>
      </w:r>
    </w:p>
    <w:p>
      <w:r>
        <w:t>The current prototype makes several concrete contributions that are directly reflected in the implementation. The novelty of SAMVAAD lies less in inventing an entirely new isolated recognition algorithm and more in combining several accessibility channels into one coherent, low-cost, browser-driven system:</w:t>
      </w:r>
    </w:p>
    <w:p>
      <w:pPr>
        <w:pStyle w:val="ListBullet"/>
      </w:pPr>
      <w:r>
        <w:rPr>
          <w:rFonts w:ascii="Times New Roman" w:hAnsi="Times New Roman" w:eastAsia="Times New Roman"/>
          <w:sz w:val="20"/>
        </w:rPr>
        <w:t>A unified Flask-based accessibility interface that serves sign recognition, Braille recognition, learn mode, and 3D avatar playback from one application.</w:t>
      </w:r>
    </w:p>
    <w:p>
      <w:pPr>
        <w:pStyle w:val="ListBullet"/>
      </w:pPr>
      <w:r>
        <w:rPr>
          <w:rFonts w:ascii="Times New Roman" w:hAnsi="Times New Roman" w:eastAsia="Times New Roman"/>
          <w:sz w:val="20"/>
        </w:rPr>
        <w:t>A hybrid sign-recognition workflow that combines browser-side hand landmark extraction with server-side rule-based classification, sample matching, and temporal stabilization.</w:t>
      </w:r>
    </w:p>
    <w:p>
      <w:pPr>
        <w:pStyle w:val="ListBullet"/>
      </w:pPr>
      <w:r>
        <w:rPr>
          <w:rFonts w:ascii="Times New Roman" w:hAnsi="Times New Roman" w:eastAsia="Times New Roman"/>
          <w:sz w:val="20"/>
        </w:rPr>
        <w:t>A Braille recognition pipeline that performs image preprocessing, contour-based dot filtering, cell segmentation, text decoding, and post-processing for spacing recovery.</w:t>
      </w:r>
    </w:p>
    <w:p>
      <w:pPr>
        <w:pStyle w:val="ListBullet"/>
      </w:pPr>
      <w:r>
        <w:rPr>
          <w:rFonts w:ascii="Times New Roman" w:hAnsi="Times New Roman" w:eastAsia="Times New Roman"/>
          <w:sz w:val="20"/>
        </w:rPr>
        <w:t>An extensible local dataset design in which recorded gesture samples are stored as JSONL files and can be reused for prototype refinement without retraining a heavy model.</w:t>
      </w:r>
    </w:p>
    <w:p>
      <w:pPr>
        <w:pStyle w:val="ListBullet"/>
      </w:pPr>
      <w:r>
        <w:rPr>
          <w:rFonts w:ascii="Times New Roman" w:hAnsi="Times New Roman" w:eastAsia="Times New Roman"/>
          <w:sz w:val="20"/>
        </w:rPr>
        <w:t>A practical project structure with automated regression tests, making the system easier to demonstrate, maintain, and extend in an academic setting.</w:t>
      </w:r>
    </w:p>
    <w:p>
      <w:pPr>
        <w:pStyle w:val="Heading1"/>
      </w:pPr>
      <w:r>
        <w:t>4. Related Work and Positioning</w:t>
      </w:r>
    </w:p>
    <w:p>
      <w:r>
        <w:t>Research on accessibility technologies commonly progresses along separate tracks such as sign-language recognition, Braille document interpretation, speech assistance, or educational animation systems. Sign-language recognition studies often focus on glove sensors, image classification, skeletal landmarks, or deep neural sequence models. Braille interpretation studies typically emphasize scanned-document OCR, embossed pattern localization, or assistive reading support. Communication support platforms, meanwhile, often prioritize speech or text pathways without integrating tactile and visual language workflows in the same environment.</w:t>
      </w:r>
    </w:p>
    <w:p>
      <w:r>
        <w:t>SAMVAAD is positioned at the intersection of these threads. Its main research value is system-level integration: the prototype places landmark-based sign recognition, image-based Braille recognition, speech interaction, and avatar playback under one web-accessible interface. This makes the project suitable for a systems or accessibility paper, especially if later iterations strengthen the literature survey and provide direct comparative experiments against representative baselines in each modality.</w:t>
      </w:r>
    </w:p>
    <w:p>
      <w:pPr>
        <w:pStyle w:val="Heading1"/>
      </w:pPr>
      <w:r>
        <w:t>5. System Overview</w:t>
      </w:r>
    </w:p>
    <w:p>
      <w:r>
        <w:t>SAMVAAD follows a browser-client and Flask-backend architecture. The browser handles camera access, MediaPipe-based hand tracking, text entry, speech services, and 3D avatar rendering. The backend serves the static interface files and exposes JSON endpoints for sign processing, gesture-sample management, common-gesture discovery, and Braille recognition.</w:t>
      </w:r>
    </w:p>
    <w:p>
      <w:r>
        <w:t>The sign-recognition pipeline begins with hand landmarks captured on the client side. These landmarks are mirrored and normalized on the server, then passed to rule-based gesture classifiers for right-hand alphabetic and command gestures and left-hand numeric and response gestures. The backend also compares incoming landmarks against recorded example embeddings stored in JSONL files. Finally, a temporal stabilization layer confirms a gesture only after repeated consistent observations.</w:t>
      </w:r>
    </w:p>
    <w:p>
      <w:r>
        <w:t>The Braille pipeline accepts an uploaded image, decodes it into an OpenCV array, improves contrast using CLAHE, removes noise using blur and morphology, detects candidate dots from contours, segments dots into Braille cells, decodes the resulting patterns, and reconstructs user-facing text with optional automatic spacing.</w:t>
      </w:r>
    </w:p>
    <w:p>
      <w:pPr>
        <w:pStyle w:val="Heading1"/>
      </w:pPr>
      <w:r>
        <w:t>6. Sign Recognition Module</w:t>
      </w:r>
    </w:p>
    <w:p>
      <w:r>
        <w:t>The sign module is implemented in sign_recog.py and templates/app.py. It is primarily geometry-driven rather than model-heavy. The classifier uses relative landmark distances, finger-state logic, horizontal-versus-vertical orientation checks, and a small ambiguity margin to differentiate among alphabetic signs and control gestures. This design keeps inference lightweight and transparent for debugging.</w:t>
      </w:r>
    </w:p>
    <w:p>
      <w:r>
        <w:t>To reduce flicker and accidental outputs, the system introduces a StableGesture mechanism. Candidate labels must persist across multiple frames and also satisfy a majority condition within recent history before they become locked outputs. This hold-to-confirm strategy is particularly important for real-time browser interaction because minor frame-to-frame variation is common even when the signer intends to hold a single symbol.</w:t>
      </w:r>
    </w:p>
    <w:p>
      <w:r>
        <w:t>The backend further supports recorded-sample matching. When labeled gesture samples are present in dataset/gesture_samples, the system creates simple normalized embeddings from landmark coordinates and matches new inputs against nearby stored examples. This mechanism does not replace the rule-based recognizer; instead, it supplements it when a stored sample provides a better fit for the incoming hand pose.</w:t>
      </w:r>
    </w:p>
    <w:p>
      <w:pPr>
        <w:pStyle w:val="Heading1"/>
      </w:pPr>
      <w:r>
        <w:t>7. Braille Recognition Module</w:t>
      </w:r>
    </w:p>
    <w:p>
      <w:r>
        <w:t>The Braille module is implemented in samvaad_braille.py and is structured as a multi-stage image-processing pipeline. It accepts either file paths or image arrays, making it usable both as a command-line tool and as a backend component for uploaded browser images.</w:t>
      </w:r>
    </w:p>
    <w:p>
      <w:r>
        <w:t>Preprocessing is designed to handle practical imaging issues such as low contrast, uneven illumination, compression noise, and inversion ambiguity. The pipeline converts the input to grayscale, applies CLAHE for local contrast enhancement, smooths the result with Gaussian blur, uses adaptive thresholding to produce a binary image, performs morphological closing to repair small gaps, and auto-inverts the binary image when needed.</w:t>
      </w:r>
    </w:p>
    <w:p>
      <w:r>
        <w:t>Dot detection is based on contour analysis with dynamic thresholds derived from the image itself. Candidate blobs are filtered by area, circularity, aspect ratio, and solidity before being treated as Braille dots. Cell segmentation estimates inter-dot spacing, clusters rows, pairs columns, and infers missing middle rows when patterns such as the letter K require them. The decoder supports letters, digits, punctuation, number indicators, capital indicators, and a post-processing stage that can merge broken line boundaries and recover word spacing.</w:t>
      </w:r>
    </w:p>
    <w:p>
      <w:pPr>
        <w:pStyle w:val="Heading1"/>
      </w:pPr>
      <w:r>
        <w:t>8. Multimodal User Interface and Avatar Playback</w:t>
      </w:r>
    </w:p>
    <w:p>
      <w:r>
        <w:t>Beyond recognition, SAMVAAD includes interface features that make the prototype more communicative. The browser uses speech-to-text and text-to-speech capabilities from Web Speech APIs, allowing users to move between spoken and written communication without leaving the application.</w:t>
      </w:r>
    </w:p>
    <w:p>
      <w:r>
        <w:t>For expressive output, the system includes a 3D avatar player implemented with Three.js and animation assets stored under templates/animations. Text tokens and common commands can be mapped to avatar animations, which supports text-to-sign style playback for demonstrations and educational use. A learn mode and gesture recorder are also included so that users can review available gestures and capture additional labeled examples.</w:t>
      </w:r>
    </w:p>
    <w:p>
      <w:pPr>
        <w:pStyle w:val="Heading1"/>
      </w:pPr>
      <w:r>
        <w:t>9. Implementation Evidence and Current Prototype Status</w:t>
      </w:r>
    </w:p>
    <w:p>
      <w:r>
        <w:t>This manuscript intentionally avoids unsupported performance claims. Instead, Table 1 summarizes evidence that can be directly verified from the current repository. The project presently includes broad functional coverage across multiple modalities, but it should still be treated as a prototype pending formal user studies and larger benchmark evaluation.</w:t>
      </w:r>
    </w:p>
    <w:p>
      <w:pPr>
        <w:jc w:val="center"/>
      </w:pPr>
      <w:r>
        <w:rPr>
          <w:rFonts w:ascii="Times New Roman" w:hAnsi="Times New Roman" w:eastAsia="Times New Roman"/>
          <w:i/>
          <w:sz w:val="16"/>
        </w:rPr>
        <w:t>Table 1. Snapshot of implementation-backed evidence available in the current repository.</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880"/>
          </w:tcPr>
          <w:p>
            <w:pPr>
              <w:jc w:val="center"/>
            </w:pPr>
            <w:r/>
            <w:r>
              <w:rPr>
                <w:rFonts w:ascii="Times New Roman" w:hAnsi="Times New Roman" w:eastAsia="Times New Roman"/>
                <w:b/>
                <w:sz w:val="18"/>
              </w:rPr>
              <w:t>Artifact</w:t>
            </w:r>
          </w:p>
        </w:tc>
        <w:tc>
          <w:tcPr>
            <w:tcW w:type="dxa" w:w="2016"/>
          </w:tcPr>
          <w:p>
            <w:pPr>
              <w:jc w:val="center"/>
            </w:pPr>
            <w:r/>
            <w:r>
              <w:rPr>
                <w:rFonts w:ascii="Times New Roman" w:hAnsi="Times New Roman" w:eastAsia="Times New Roman"/>
                <w:b/>
                <w:sz w:val="18"/>
              </w:rPr>
              <w:t>Observed Value</w:t>
            </w:r>
          </w:p>
        </w:tc>
        <w:tc>
          <w:tcPr>
            <w:tcW w:type="dxa" w:w="5184"/>
          </w:tcPr>
          <w:p>
            <w:pPr>
              <w:jc w:val="center"/>
            </w:pPr>
            <w:r/>
            <w:r>
              <w:rPr>
                <w:rFonts w:ascii="Times New Roman" w:hAnsi="Times New Roman" w:eastAsia="Times New Roman"/>
                <w:b/>
                <w:sz w:val="18"/>
              </w:rPr>
              <w:t>Evidence in Repository</w:t>
            </w:r>
          </w:p>
        </w:tc>
      </w:tr>
      <w:tr>
        <w:tc>
          <w:tcPr>
            <w:tcW w:type="dxa" w:w="2880"/>
          </w:tcPr>
          <w:p>
            <w:pPr>
              <w:jc w:val="left"/>
            </w:pPr>
            <w:r/>
            <w:r>
              <w:rPr>
                <w:rFonts w:ascii="Times New Roman" w:hAnsi="Times New Roman" w:eastAsia="Times New Roman"/>
                <w:b w:val="0"/>
                <w:sz w:val="18"/>
              </w:rPr>
              <w:t>Gesture sample labels</w:t>
            </w:r>
          </w:p>
        </w:tc>
        <w:tc>
          <w:tcPr>
            <w:tcW w:type="dxa" w:w="2016"/>
          </w:tcPr>
          <w:p>
            <w:pPr>
              <w:jc w:val="center"/>
            </w:pPr>
            <w:r/>
            <w:r>
              <w:rPr>
                <w:rFonts w:ascii="Times New Roman" w:hAnsi="Times New Roman" w:eastAsia="Times New Roman"/>
                <w:b w:val="0"/>
                <w:sz w:val="18"/>
              </w:rPr>
              <w:t>41</w:t>
            </w:r>
          </w:p>
        </w:tc>
        <w:tc>
          <w:tcPr>
            <w:tcW w:type="dxa" w:w="5184"/>
          </w:tcPr>
          <w:p>
            <w:pPr>
              <w:jc w:val="left"/>
            </w:pPr>
            <w:r/>
            <w:r>
              <w:rPr>
                <w:rFonts w:ascii="Times New Roman" w:hAnsi="Times New Roman" w:eastAsia="Times New Roman"/>
                <w:b w:val="0"/>
                <w:sz w:val="18"/>
              </w:rPr>
              <w:t>JSONL files under dataset/gesture_samples</w:t>
            </w:r>
          </w:p>
        </w:tc>
      </w:tr>
      <w:tr>
        <w:tc>
          <w:tcPr>
            <w:tcW w:type="dxa" w:w="2880"/>
          </w:tcPr>
          <w:p>
            <w:pPr>
              <w:jc w:val="left"/>
            </w:pPr>
            <w:r/>
            <w:r>
              <w:rPr>
                <w:rFonts w:ascii="Times New Roman" w:hAnsi="Times New Roman" w:eastAsia="Times New Roman"/>
                <w:b w:val="0"/>
                <w:sz w:val="18"/>
              </w:rPr>
              <w:t>Recorded gesture samples</w:t>
            </w:r>
          </w:p>
        </w:tc>
        <w:tc>
          <w:tcPr>
            <w:tcW w:type="dxa" w:w="2016"/>
          </w:tcPr>
          <w:p>
            <w:pPr>
              <w:jc w:val="center"/>
            </w:pPr>
            <w:r/>
            <w:r>
              <w:rPr>
                <w:rFonts w:ascii="Times New Roman" w:hAnsi="Times New Roman" w:eastAsia="Times New Roman"/>
                <w:b w:val="0"/>
                <w:sz w:val="18"/>
              </w:rPr>
              <w:t>1177</w:t>
            </w:r>
          </w:p>
        </w:tc>
        <w:tc>
          <w:tcPr>
            <w:tcW w:type="dxa" w:w="5184"/>
          </w:tcPr>
          <w:p>
            <w:pPr>
              <w:jc w:val="left"/>
            </w:pPr>
            <w:r/>
            <w:r>
              <w:rPr>
                <w:rFonts w:ascii="Times New Roman" w:hAnsi="Times New Roman" w:eastAsia="Times New Roman"/>
                <w:b w:val="0"/>
                <w:sz w:val="18"/>
              </w:rPr>
              <w:t>Labeled landmark examples used for sample matching</w:t>
            </w:r>
          </w:p>
        </w:tc>
      </w:tr>
      <w:tr>
        <w:tc>
          <w:tcPr>
            <w:tcW w:type="dxa" w:w="2880"/>
          </w:tcPr>
          <w:p>
            <w:pPr>
              <w:jc w:val="left"/>
            </w:pPr>
            <w:r/>
            <w:r>
              <w:rPr>
                <w:rFonts w:ascii="Times New Roman" w:hAnsi="Times New Roman" w:eastAsia="Times New Roman"/>
                <w:b w:val="0"/>
                <w:sz w:val="18"/>
              </w:rPr>
              <w:t>Braille image files</w:t>
            </w:r>
          </w:p>
        </w:tc>
        <w:tc>
          <w:tcPr>
            <w:tcW w:type="dxa" w:w="2016"/>
          </w:tcPr>
          <w:p>
            <w:pPr>
              <w:jc w:val="center"/>
            </w:pPr>
            <w:r/>
            <w:r>
              <w:rPr>
                <w:rFonts w:ascii="Times New Roman" w:hAnsi="Times New Roman" w:eastAsia="Times New Roman"/>
                <w:b w:val="0"/>
                <w:sz w:val="18"/>
              </w:rPr>
              <w:t>43</w:t>
            </w:r>
          </w:p>
        </w:tc>
        <w:tc>
          <w:tcPr>
            <w:tcW w:type="dxa" w:w="5184"/>
          </w:tcPr>
          <w:p>
            <w:pPr>
              <w:jc w:val="left"/>
            </w:pPr>
            <w:r/>
            <w:r>
              <w:rPr>
                <w:rFonts w:ascii="Times New Roman" w:hAnsi="Times New Roman" w:eastAsia="Times New Roman"/>
                <w:b w:val="0"/>
                <w:sz w:val="18"/>
              </w:rPr>
              <w:t>PNG image files under dataset</w:t>
            </w:r>
          </w:p>
        </w:tc>
      </w:tr>
      <w:tr>
        <w:tc>
          <w:tcPr>
            <w:tcW w:type="dxa" w:w="2880"/>
          </w:tcPr>
          <w:p>
            <w:pPr>
              <w:jc w:val="left"/>
            </w:pPr>
            <w:r/>
            <w:r>
              <w:rPr>
                <w:rFonts w:ascii="Times New Roman" w:hAnsi="Times New Roman" w:eastAsia="Times New Roman"/>
                <w:b w:val="0"/>
                <w:sz w:val="18"/>
              </w:rPr>
              <w:t>Regression tests</w:t>
            </w:r>
          </w:p>
        </w:tc>
        <w:tc>
          <w:tcPr>
            <w:tcW w:type="dxa" w:w="2016"/>
          </w:tcPr>
          <w:p>
            <w:pPr>
              <w:jc w:val="center"/>
            </w:pPr>
            <w:r/>
            <w:r>
              <w:rPr>
                <w:rFonts w:ascii="Times New Roman" w:hAnsi="Times New Roman" w:eastAsia="Times New Roman"/>
                <w:b w:val="0"/>
                <w:sz w:val="18"/>
              </w:rPr>
              <w:t>9 passed</w:t>
            </w:r>
          </w:p>
        </w:tc>
        <w:tc>
          <w:tcPr>
            <w:tcW w:type="dxa" w:w="5184"/>
          </w:tcPr>
          <w:p>
            <w:pPr>
              <w:jc w:val="left"/>
            </w:pPr>
            <w:r/>
            <w:r>
              <w:rPr>
                <w:rFonts w:ascii="Times New Roman" w:hAnsi="Times New Roman" w:eastAsia="Times New Roman"/>
                <w:b w:val="0"/>
                <w:sz w:val="18"/>
              </w:rPr>
              <w:t>unittest discovery run in the project virtual environment</w:t>
            </w:r>
          </w:p>
        </w:tc>
      </w:tr>
      <w:tr>
        <w:tc>
          <w:tcPr>
            <w:tcW w:type="dxa" w:w="2880"/>
          </w:tcPr>
          <w:p>
            <w:pPr>
              <w:jc w:val="left"/>
            </w:pPr>
            <w:r/>
            <w:r>
              <w:rPr>
                <w:rFonts w:ascii="Times New Roman" w:hAnsi="Times New Roman" w:eastAsia="Times New Roman"/>
                <w:b w:val="0"/>
                <w:sz w:val="18"/>
              </w:rPr>
              <w:t>Backend stack</w:t>
            </w:r>
          </w:p>
        </w:tc>
        <w:tc>
          <w:tcPr>
            <w:tcW w:type="dxa" w:w="2016"/>
          </w:tcPr>
          <w:p>
            <w:pPr>
              <w:jc w:val="center"/>
            </w:pPr>
            <w:r/>
            <w:r>
              <w:rPr>
                <w:rFonts w:ascii="Times New Roman" w:hAnsi="Times New Roman" w:eastAsia="Times New Roman"/>
                <w:b w:val="0"/>
                <w:sz w:val="18"/>
              </w:rPr>
              <w:t>Flask + CORS</w:t>
            </w:r>
          </w:p>
        </w:tc>
        <w:tc>
          <w:tcPr>
            <w:tcW w:type="dxa" w:w="5184"/>
          </w:tcPr>
          <w:p>
            <w:pPr>
              <w:jc w:val="left"/>
            </w:pPr>
            <w:r/>
            <w:r>
              <w:rPr>
                <w:rFonts w:ascii="Times New Roman" w:hAnsi="Times New Roman" w:eastAsia="Times New Roman"/>
                <w:b w:val="0"/>
                <w:sz w:val="18"/>
              </w:rPr>
              <w:t>templates/app.py and requirements.txt</w:t>
            </w:r>
          </w:p>
        </w:tc>
      </w:tr>
      <w:tr>
        <w:tc>
          <w:tcPr>
            <w:tcW w:type="dxa" w:w="2880"/>
          </w:tcPr>
          <w:p>
            <w:pPr>
              <w:jc w:val="left"/>
            </w:pPr>
            <w:r/>
            <w:r>
              <w:rPr>
                <w:rFonts w:ascii="Times New Roman" w:hAnsi="Times New Roman" w:eastAsia="Times New Roman"/>
                <w:b w:val="0"/>
                <w:sz w:val="18"/>
              </w:rPr>
              <w:t>Core vision stack</w:t>
            </w:r>
          </w:p>
        </w:tc>
        <w:tc>
          <w:tcPr>
            <w:tcW w:type="dxa" w:w="2016"/>
          </w:tcPr>
          <w:p>
            <w:pPr>
              <w:jc w:val="center"/>
            </w:pPr>
            <w:r/>
            <w:r>
              <w:rPr>
                <w:rFonts w:ascii="Times New Roman" w:hAnsi="Times New Roman" w:eastAsia="Times New Roman"/>
                <w:b w:val="0"/>
                <w:sz w:val="18"/>
              </w:rPr>
              <w:t>MediaPipe / OpenCV / NumPy</w:t>
            </w:r>
          </w:p>
        </w:tc>
        <w:tc>
          <w:tcPr>
            <w:tcW w:type="dxa" w:w="5184"/>
          </w:tcPr>
          <w:p>
            <w:pPr>
              <w:jc w:val="left"/>
            </w:pPr>
            <w:r/>
            <w:r>
              <w:rPr>
                <w:rFonts w:ascii="Times New Roman" w:hAnsi="Times New Roman" w:eastAsia="Times New Roman"/>
                <w:b w:val="0"/>
                <w:sz w:val="18"/>
              </w:rPr>
              <w:t>sign_recog.py and samvaad_braille.py</w:t>
            </w:r>
          </w:p>
        </w:tc>
      </w:tr>
    </w:tbl>
    <w:p>
      <w:pPr>
        <w:spacing w:before="280"/>
      </w:pPr>
      <w:r>
        <w:t>The current codebase supports right-hand alphabetic and command gestures such as A to Z, HELLO, STOP, and SPACE, alongside left-hand numeric and response gestures including 1 to 10, YES, and NO. The presence of recorded samples for 41 labels indicates that data collection is already underway for practical refinement. In addition, the unit test suite passes in the project virtual environment, which provides a baseline level of implementation confidence for route behavior and core Braille helpers.</w:t>
      </w:r>
    </w:p>
    <w:p>
      <w:pPr>
        <w:pStyle w:val="Heading1"/>
      </w:pPr>
      <w:r>
        <w:t>10. Preliminary Evaluation and Results</w:t>
      </w:r>
    </w:p>
    <w:p>
      <w:r>
        <w:t>To strengthen the manuscript beyond a pure systems description, preliminary validation was conducted using the artifacts already present in the repository. The Braille module was evaluated with the built-in dataset test over the repository's single-character image set, while the gesture-recognition pipeline was checked against the stored JSONL landmark samples used by the sample-matching component. In addition, the software regression tests were executed in the project virtual environment.</w:t>
      </w:r>
    </w:p>
    <w:p>
      <w:r>
        <w:t>These experiments should be interpreted carefully. The Braille character benchmark provides a meaningful first correctness check on the included labeled image set. By contrast, the gesture-sample evaluation is an internal validation on stored examples and therefore does not yet establish signer-independent generalization. It is still useful, however, because it quantifies the difference between the raw rule-based classifier and the hybrid sample-assisted pipeline implemented in the current codebase.</w:t>
      </w:r>
    </w:p>
    <w:p>
      <w:pPr>
        <w:jc w:val="center"/>
      </w:pPr>
      <w:r>
        <w:rPr>
          <w:rFonts w:ascii="Times New Roman" w:hAnsi="Times New Roman" w:eastAsia="Times New Roman"/>
          <w:i/>
          <w:sz w:val="16"/>
        </w:rPr>
        <w:t>Table 2. Preliminary validation results obtained from the current repository artifacts.</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3168"/>
          </w:tcPr>
          <w:p>
            <w:pPr>
              <w:jc w:val="center"/>
            </w:pPr>
            <w:r/>
            <w:r>
              <w:rPr>
                <w:rFonts w:ascii="Times New Roman" w:hAnsi="Times New Roman" w:eastAsia="Times New Roman"/>
                <w:b/>
                <w:sz w:val="18"/>
              </w:rPr>
              <w:t>Module / Check</w:t>
            </w:r>
          </w:p>
        </w:tc>
        <w:tc>
          <w:tcPr>
            <w:tcW w:type="dxa" w:w="1656"/>
          </w:tcPr>
          <w:p>
            <w:pPr>
              <w:jc w:val="center"/>
            </w:pPr>
            <w:r/>
            <w:r>
              <w:rPr>
                <w:rFonts w:ascii="Times New Roman" w:hAnsi="Times New Roman" w:eastAsia="Times New Roman"/>
                <w:b/>
                <w:sz w:val="18"/>
              </w:rPr>
              <w:t>Samples</w:t>
            </w:r>
          </w:p>
        </w:tc>
        <w:tc>
          <w:tcPr>
            <w:tcW w:type="dxa" w:w="1584"/>
          </w:tcPr>
          <w:p>
            <w:pPr>
              <w:jc w:val="center"/>
            </w:pPr>
            <w:r/>
            <w:r>
              <w:rPr>
                <w:rFonts w:ascii="Times New Roman" w:hAnsi="Times New Roman" w:eastAsia="Times New Roman"/>
                <w:b/>
                <w:sz w:val="18"/>
              </w:rPr>
              <w:t>Result</w:t>
            </w:r>
          </w:p>
        </w:tc>
        <w:tc>
          <w:tcPr>
            <w:tcW w:type="dxa" w:w="3672"/>
          </w:tcPr>
          <w:p>
            <w:pPr>
              <w:jc w:val="center"/>
            </w:pPr>
            <w:r/>
            <w:r>
              <w:rPr>
                <w:rFonts w:ascii="Times New Roman" w:hAnsi="Times New Roman" w:eastAsia="Times New Roman"/>
                <w:b/>
                <w:sz w:val="18"/>
              </w:rPr>
              <w:t>Interpretation</w:t>
            </w:r>
          </w:p>
        </w:tc>
      </w:tr>
      <w:tr>
        <w:tc>
          <w:tcPr>
            <w:tcW w:type="dxa" w:w="3168"/>
          </w:tcPr>
          <w:p>
            <w:pPr>
              <w:jc w:val="left"/>
            </w:pPr>
            <w:r/>
            <w:r>
              <w:rPr>
                <w:rFonts w:ascii="Times New Roman" w:hAnsi="Times New Roman" w:eastAsia="Times New Roman"/>
                <w:b w:val="0"/>
                <w:sz w:val="18"/>
              </w:rPr>
              <w:t>Braille character-image benchmark</w:t>
            </w:r>
          </w:p>
        </w:tc>
        <w:tc>
          <w:tcPr>
            <w:tcW w:type="dxa" w:w="1656"/>
          </w:tcPr>
          <w:p>
            <w:pPr>
              <w:jc w:val="center"/>
            </w:pPr>
            <w:r/>
            <w:r>
              <w:rPr>
                <w:rFonts w:ascii="Times New Roman" w:hAnsi="Times New Roman" w:eastAsia="Times New Roman"/>
                <w:b w:val="0"/>
                <w:sz w:val="18"/>
              </w:rPr>
              <w:t>36 graded</w:t>
            </w:r>
          </w:p>
        </w:tc>
        <w:tc>
          <w:tcPr>
            <w:tcW w:type="dxa" w:w="1584"/>
          </w:tcPr>
          <w:p>
            <w:pPr>
              <w:jc w:val="center"/>
            </w:pPr>
            <w:r/>
            <w:r>
              <w:rPr>
                <w:rFonts w:ascii="Times New Roman" w:hAnsi="Times New Roman" w:eastAsia="Times New Roman"/>
                <w:b w:val="0"/>
                <w:sz w:val="18"/>
              </w:rPr>
              <w:t>100.0%</w:t>
            </w:r>
          </w:p>
        </w:tc>
        <w:tc>
          <w:tcPr>
            <w:tcW w:type="dxa" w:w="3672"/>
          </w:tcPr>
          <w:p>
            <w:pPr>
              <w:jc w:val="left"/>
            </w:pPr>
            <w:r/>
            <w:r>
              <w:rPr>
                <w:rFonts w:ascii="Times New Roman" w:hAnsi="Times New Roman" w:eastAsia="Times New Roman"/>
                <w:b w:val="0"/>
                <w:sz w:val="18"/>
              </w:rPr>
              <w:t>All labeled A-Z and 0-9 image checks passed in the bundled dataset test.</w:t>
            </w:r>
          </w:p>
        </w:tc>
      </w:tr>
      <w:tr>
        <w:tc>
          <w:tcPr>
            <w:tcW w:type="dxa" w:w="3168"/>
          </w:tcPr>
          <w:p>
            <w:pPr>
              <w:jc w:val="left"/>
            </w:pPr>
            <w:r/>
            <w:r>
              <w:rPr>
                <w:rFonts w:ascii="Times New Roman" w:hAnsi="Times New Roman" w:eastAsia="Times New Roman"/>
                <w:b w:val="0"/>
                <w:sz w:val="18"/>
              </w:rPr>
              <w:t>Braille auxiliary examples</w:t>
            </w:r>
          </w:p>
        </w:tc>
        <w:tc>
          <w:tcPr>
            <w:tcW w:type="dxa" w:w="1656"/>
          </w:tcPr>
          <w:p>
            <w:pPr>
              <w:jc w:val="center"/>
            </w:pPr>
            <w:r/>
            <w:r>
              <w:rPr>
                <w:rFonts w:ascii="Times New Roman" w:hAnsi="Times New Roman" w:eastAsia="Times New Roman"/>
                <w:b w:val="0"/>
                <w:sz w:val="18"/>
              </w:rPr>
              <w:t>7 info</w:t>
            </w:r>
          </w:p>
        </w:tc>
        <w:tc>
          <w:tcPr>
            <w:tcW w:type="dxa" w:w="1584"/>
          </w:tcPr>
          <w:p>
            <w:pPr>
              <w:jc w:val="center"/>
            </w:pPr>
            <w:r/>
            <w:r>
              <w:rPr>
                <w:rFonts w:ascii="Times New Roman" w:hAnsi="Times New Roman" w:eastAsia="Times New Roman"/>
                <w:b w:val="0"/>
                <w:sz w:val="18"/>
              </w:rPr>
              <w:t>Decoded</w:t>
            </w:r>
          </w:p>
        </w:tc>
        <w:tc>
          <w:tcPr>
            <w:tcW w:type="dxa" w:w="3672"/>
          </w:tcPr>
          <w:p>
            <w:pPr>
              <w:jc w:val="left"/>
            </w:pPr>
            <w:r/>
            <w:r>
              <w:rPr>
                <w:rFonts w:ascii="Times New Roman" w:hAnsi="Times New Roman" w:eastAsia="Times New Roman"/>
                <w:b w:val="0"/>
                <w:sz w:val="18"/>
              </w:rPr>
              <w:t>Name and sentence images were decoded successfully but are not part of the graded single-label accuracy figure.</w:t>
            </w:r>
          </w:p>
        </w:tc>
      </w:tr>
      <w:tr>
        <w:tc>
          <w:tcPr>
            <w:tcW w:type="dxa" w:w="3168"/>
          </w:tcPr>
          <w:p>
            <w:pPr>
              <w:jc w:val="left"/>
            </w:pPr>
            <w:r/>
            <w:r>
              <w:rPr>
                <w:rFonts w:ascii="Times New Roman" w:hAnsi="Times New Roman" w:eastAsia="Times New Roman"/>
                <w:b w:val="0"/>
                <w:sz w:val="18"/>
              </w:rPr>
              <w:t>Rule-only gesture classification</w:t>
            </w:r>
          </w:p>
        </w:tc>
        <w:tc>
          <w:tcPr>
            <w:tcW w:type="dxa" w:w="1656"/>
          </w:tcPr>
          <w:p>
            <w:pPr>
              <w:jc w:val="center"/>
            </w:pPr>
            <w:r/>
            <w:r>
              <w:rPr>
                <w:rFonts w:ascii="Times New Roman" w:hAnsi="Times New Roman" w:eastAsia="Times New Roman"/>
                <w:b w:val="0"/>
                <w:sz w:val="18"/>
              </w:rPr>
              <w:t>1177 samples</w:t>
            </w:r>
          </w:p>
        </w:tc>
        <w:tc>
          <w:tcPr>
            <w:tcW w:type="dxa" w:w="1584"/>
          </w:tcPr>
          <w:p>
            <w:pPr>
              <w:jc w:val="center"/>
            </w:pPr>
            <w:r/>
            <w:r>
              <w:rPr>
                <w:rFonts w:ascii="Times New Roman" w:hAnsi="Times New Roman" w:eastAsia="Times New Roman"/>
                <w:b w:val="0"/>
                <w:sz w:val="18"/>
              </w:rPr>
              <w:t>75.19%</w:t>
            </w:r>
          </w:p>
        </w:tc>
        <w:tc>
          <w:tcPr>
            <w:tcW w:type="dxa" w:w="3672"/>
          </w:tcPr>
          <w:p>
            <w:pPr>
              <w:jc w:val="left"/>
            </w:pPr>
            <w:r/>
            <w:r>
              <w:rPr>
                <w:rFonts w:ascii="Times New Roman" w:hAnsi="Times New Roman" w:eastAsia="Times New Roman"/>
                <w:b w:val="0"/>
                <w:sz w:val="18"/>
              </w:rPr>
              <w:t>Pure geometric rules are useful but show class confusion on stored landmark samples.</w:t>
            </w:r>
          </w:p>
        </w:tc>
      </w:tr>
      <w:tr>
        <w:tc>
          <w:tcPr>
            <w:tcW w:type="dxa" w:w="3168"/>
          </w:tcPr>
          <w:p>
            <w:pPr>
              <w:jc w:val="left"/>
            </w:pPr>
            <w:r/>
            <w:r>
              <w:rPr>
                <w:rFonts w:ascii="Times New Roman" w:hAnsi="Times New Roman" w:eastAsia="Times New Roman"/>
                <w:b w:val="0"/>
                <w:sz w:val="18"/>
              </w:rPr>
              <w:t>Recorded-sample matcher</w:t>
            </w:r>
          </w:p>
        </w:tc>
        <w:tc>
          <w:tcPr>
            <w:tcW w:type="dxa" w:w="1656"/>
          </w:tcPr>
          <w:p>
            <w:pPr>
              <w:jc w:val="center"/>
            </w:pPr>
            <w:r/>
            <w:r>
              <w:rPr>
                <w:rFonts w:ascii="Times New Roman" w:hAnsi="Times New Roman" w:eastAsia="Times New Roman"/>
                <w:b w:val="0"/>
                <w:sz w:val="18"/>
              </w:rPr>
              <w:t>1177 samples</w:t>
            </w:r>
          </w:p>
        </w:tc>
        <w:tc>
          <w:tcPr>
            <w:tcW w:type="dxa" w:w="1584"/>
          </w:tcPr>
          <w:p>
            <w:pPr>
              <w:jc w:val="center"/>
            </w:pPr>
            <w:r/>
            <w:r>
              <w:rPr>
                <w:rFonts w:ascii="Times New Roman" w:hAnsi="Times New Roman" w:eastAsia="Times New Roman"/>
                <w:b w:val="0"/>
                <w:sz w:val="18"/>
              </w:rPr>
              <w:t>99.92%</w:t>
            </w:r>
          </w:p>
        </w:tc>
        <w:tc>
          <w:tcPr>
            <w:tcW w:type="dxa" w:w="3672"/>
          </w:tcPr>
          <w:p>
            <w:pPr>
              <w:jc w:val="left"/>
            </w:pPr>
            <w:r/>
            <w:r>
              <w:rPr>
                <w:rFonts w:ascii="Times New Roman" w:hAnsi="Times New Roman" w:eastAsia="Times New Roman"/>
                <w:b w:val="0"/>
                <w:sz w:val="18"/>
              </w:rPr>
              <w:t>Very strong fit on stored labeled samples; this is a within-repository validation, not a signer-independent benchmark.</w:t>
            </w:r>
          </w:p>
        </w:tc>
      </w:tr>
      <w:tr>
        <w:tc>
          <w:tcPr>
            <w:tcW w:type="dxa" w:w="3168"/>
          </w:tcPr>
          <w:p>
            <w:pPr>
              <w:jc w:val="left"/>
            </w:pPr>
            <w:r/>
            <w:r>
              <w:rPr>
                <w:rFonts w:ascii="Times New Roman" w:hAnsi="Times New Roman" w:eastAsia="Times New Roman"/>
                <w:b w:val="0"/>
                <w:sz w:val="18"/>
              </w:rPr>
              <w:t>Combined gesture output</w:t>
            </w:r>
          </w:p>
        </w:tc>
        <w:tc>
          <w:tcPr>
            <w:tcW w:type="dxa" w:w="1656"/>
          </w:tcPr>
          <w:p>
            <w:pPr>
              <w:jc w:val="center"/>
            </w:pPr>
            <w:r/>
            <w:r>
              <w:rPr>
                <w:rFonts w:ascii="Times New Roman" w:hAnsi="Times New Roman" w:eastAsia="Times New Roman"/>
                <w:b w:val="0"/>
                <w:sz w:val="18"/>
              </w:rPr>
              <w:t>1177 samples</w:t>
            </w:r>
          </w:p>
        </w:tc>
        <w:tc>
          <w:tcPr>
            <w:tcW w:type="dxa" w:w="1584"/>
          </w:tcPr>
          <w:p>
            <w:pPr>
              <w:jc w:val="center"/>
            </w:pPr>
            <w:r/>
            <w:r>
              <w:rPr>
                <w:rFonts w:ascii="Times New Roman" w:hAnsi="Times New Roman" w:eastAsia="Times New Roman"/>
                <w:b w:val="0"/>
                <w:sz w:val="18"/>
              </w:rPr>
              <w:t>99.92%</w:t>
            </w:r>
          </w:p>
        </w:tc>
        <w:tc>
          <w:tcPr>
            <w:tcW w:type="dxa" w:w="3672"/>
          </w:tcPr>
          <w:p>
            <w:pPr>
              <w:jc w:val="left"/>
            </w:pPr>
            <w:r/>
            <w:r>
              <w:rPr>
                <w:rFonts w:ascii="Times New Roman" w:hAnsi="Times New Roman" w:eastAsia="Times New Roman"/>
                <w:b w:val="0"/>
                <w:sz w:val="18"/>
              </w:rPr>
              <w:t>Hybrid rule plus sample-matching output matches nearly all stored samples but should be re-evaluated on held-out data.</w:t>
            </w:r>
          </w:p>
        </w:tc>
      </w:tr>
      <w:tr>
        <w:tc>
          <w:tcPr>
            <w:tcW w:type="dxa" w:w="3168"/>
          </w:tcPr>
          <w:p>
            <w:pPr>
              <w:jc w:val="left"/>
            </w:pPr>
            <w:r/>
            <w:r>
              <w:rPr>
                <w:rFonts w:ascii="Times New Roman" w:hAnsi="Times New Roman" w:eastAsia="Times New Roman"/>
                <w:b w:val="0"/>
                <w:sz w:val="18"/>
              </w:rPr>
              <w:t>Software regression tests</w:t>
            </w:r>
          </w:p>
        </w:tc>
        <w:tc>
          <w:tcPr>
            <w:tcW w:type="dxa" w:w="1656"/>
          </w:tcPr>
          <w:p>
            <w:pPr>
              <w:jc w:val="center"/>
            </w:pPr>
            <w:r/>
            <w:r>
              <w:rPr>
                <w:rFonts w:ascii="Times New Roman" w:hAnsi="Times New Roman" w:eastAsia="Times New Roman"/>
                <w:b w:val="0"/>
                <w:sz w:val="18"/>
              </w:rPr>
              <w:t>9 tests</w:t>
            </w:r>
          </w:p>
        </w:tc>
        <w:tc>
          <w:tcPr>
            <w:tcW w:type="dxa" w:w="1584"/>
          </w:tcPr>
          <w:p>
            <w:pPr>
              <w:jc w:val="center"/>
            </w:pPr>
            <w:r/>
            <w:r>
              <w:rPr>
                <w:rFonts w:ascii="Times New Roman" w:hAnsi="Times New Roman" w:eastAsia="Times New Roman"/>
                <w:b w:val="0"/>
                <w:sz w:val="18"/>
              </w:rPr>
              <w:t>Pass</w:t>
            </w:r>
          </w:p>
        </w:tc>
        <w:tc>
          <w:tcPr>
            <w:tcW w:type="dxa" w:w="3672"/>
          </w:tcPr>
          <w:p>
            <w:pPr>
              <w:jc w:val="left"/>
            </w:pPr>
            <w:r/>
            <w:r>
              <w:rPr>
                <w:rFonts w:ascii="Times New Roman" w:hAnsi="Times New Roman" w:eastAsia="Times New Roman"/>
                <w:b w:val="0"/>
                <w:sz w:val="18"/>
              </w:rPr>
              <w:t>Route handling and Braille helper regressions passed in the project virtual environment.</w:t>
            </w:r>
          </w:p>
        </w:tc>
      </w:tr>
    </w:tbl>
    <w:p>
      <w:pPr>
        <w:spacing w:before="280"/>
      </w:pPr>
      <w:r>
        <w:t>The preliminary results are encouraging. The Braille recognizer achieved 100.0% accuracy on the 36 graded single-character images present in the bundled dataset, while also successfully decoding several ungraded name and sentence images. For gesture recognition, the rule-only classifier matched 75.19% of the stored gesture samples, whereas the recorded-sample matcher and the combined hybrid output each matched 99.92% of the same stored sample set. This gap suggests that the sample-assisted pathway substantially improves fit to collected examples, but it also confirms the need for held-out evaluation before making broader performance claims.</w:t>
      </w:r>
    </w:p>
    <w:p>
      <w:pPr>
        <w:pStyle w:val="Heading1"/>
      </w:pPr>
      <w:r>
        <w:t>11. Experimental Design for the Full Paper</w:t>
      </w:r>
    </w:p>
    <w:p>
      <w:r>
        <w:t>A submission-ready version of this paper should include a formal experimental protocol across all major modalities. For sign recognition, the most defensible design would report per-class accuracy, confusion behavior, latency, and signer variability under different camera distances and lighting conditions. For Braille recognition, the paper should report character-level and word-level correctness across a curated dataset of embossed or printed Braille images with varying contrast and image quality.</w:t>
      </w:r>
    </w:p>
    <w:p>
      <w:r>
        <w:t>The current repository already provides the scaffolding for such evaluation because it contains gesture samples, Braille images, and regression tests. However, these artifacts should be split into development and evaluation subsets before they are used for quantitative reporting. A stronger paper should also log hardware setup, browser version, capture conditions, and the exact gesture or image subsets used in each experiment so that the results are reproducible.</w:t>
      </w:r>
    </w:p>
    <w:p>
      <w:pPr>
        <w:pStyle w:val="Heading1"/>
      </w:pPr>
      <w:r>
        <w:t>12. Discussion</w:t>
      </w:r>
    </w:p>
    <w:p>
      <w:r>
        <w:t>The engineering direction of SAMVAAD favors interpretability, portability, and low-cost deployment over large opaque models. This choice is appropriate for an academic prototype because it allows the developer to explain and refine the recognition logic while keeping hardware and setup requirements modest.</w:t>
      </w:r>
    </w:p>
    <w:p>
      <w:r>
        <w:t>At the same time, the current architecture also reveals where future research effort should be concentrated. Rule-based gesture recognition can be sensitive to viewpoint, signer variation, and lighting conditions. Braille decoding quality still depends on image quality and dataset diversity. The avatar pathway demonstrates output potential, but sentence-level translation and richer linguistic handling would require more advanced sequencing and language modeling than the current token-level design provides.</w:t>
      </w:r>
    </w:p>
    <w:p>
      <w:r>
        <w:t>From a paper-writing perspective, the strongest framing is to present SAMVAAD as a multimodal assistive systems prototype with explainable modules and deployment-aware design. That framing is more credible than overselling the project as a fully validated production recognizer before large-scale experiments are complete.</w:t>
      </w:r>
    </w:p>
    <w:p>
      <w:pPr>
        <w:pStyle w:val="Heading1"/>
      </w:pPr>
      <w:r>
        <w:t>13. Limitations and Future Work</w:t>
      </w:r>
    </w:p>
    <w:p>
      <w:r>
        <w:t>Several limitations should be acknowledged before publication. First, the repository does not yet provide a formal benchmark with accuracy, precision, recall, or latency statistics across a standardized test set. Second, no user study is currently encoded in the project artifacts, so claims about usability, learning impact, or accessibility benefit should remain preliminary. Third, the gesture-sample collection is useful but still modest compared with the diversity required for signer-independent evaluation.</w:t>
      </w:r>
    </w:p>
    <w:p>
      <w:r>
        <w:t>Future work should therefore prioritize curated multimodal datasets, controlled evaluation protocols, sentence-level translation, broader sign vocabulary coverage, additional Braille benchmarks, and usability studies with representative participants. Packaging improvements for classroom and assistive-technology deployment would also strengthen the practical value of the system.</w:t>
      </w:r>
    </w:p>
    <w:p>
      <w:r>
        <w:t>The literature review and citation list should also be expanded before submission. In its current form, the manuscript is technically grounded but still under-cited for a journal or conference venue.</w:t>
      </w:r>
    </w:p>
    <w:p>
      <w:pPr>
        <w:pStyle w:val="Heading1"/>
      </w:pPr>
      <w:r>
        <w:t>14. Conclusion</w:t>
      </w:r>
    </w:p>
    <w:p>
      <w:r>
        <w:t>SAMVAAD demonstrates that a single web-based system can integrate sign recognition, speech interaction, Braille interpretation, and avatar-based visual output within one assistive communication prototype. The current implementation provides a concrete and extensible foundation for academic work in multimodal accessibility. While the project is not yet a final benchmarked product, it already offers a strong systems paper starting point and a defensible basis for a research manuscript once evaluation data and venue-specific formatting are added.</w:t>
      </w:r>
    </w:p>
    <w:p>
      <w:pPr>
        <w:pStyle w:val="Heading1"/>
      </w:pPr>
      <w:r>
        <w:t>References</w:t>
      </w:r>
    </w:p>
    <w:p>
      <w:pPr>
        <w:spacing w:after="80" w:line="240" w:lineRule="auto"/>
        <w:ind w:left="259" w:hanging="259"/>
      </w:pPr>
      <w:r>
        <w:rPr>
          <w:rFonts w:ascii="Times New Roman" w:hAnsi="Times New Roman" w:eastAsia="Times New Roman"/>
          <w:sz w:val="20"/>
        </w:rPr>
        <w:t>Bradski, G. (2000). The OpenCV Library. Dr. Dobb's Journal of Software Tools.</w:t>
      </w:r>
    </w:p>
    <w:p>
      <w:pPr>
        <w:spacing w:after="80" w:line="240" w:lineRule="auto"/>
        <w:ind w:left="259" w:hanging="259"/>
      </w:pPr>
      <w:r>
        <w:rPr>
          <w:rFonts w:ascii="Times New Roman" w:hAnsi="Times New Roman" w:eastAsia="Times New Roman"/>
          <w:sz w:val="20"/>
        </w:rPr>
        <w:t>Lugaresi, C., Tang, J., Nash, H., et al. (2019). MediaPipe: A Framework for Building Perception Pipelines. arXiv preprint arXiv:1906.08172.</w:t>
      </w:r>
    </w:p>
    <w:p>
      <w:pPr>
        <w:spacing w:after="80" w:line="240" w:lineRule="auto"/>
        <w:ind w:left="259" w:hanging="259"/>
      </w:pPr>
      <w:r>
        <w:rPr>
          <w:rFonts w:ascii="Times New Roman" w:hAnsi="Times New Roman" w:eastAsia="Times New Roman"/>
          <w:sz w:val="20"/>
        </w:rPr>
        <w:t>W3C. Web Speech API Specification and browser implementation guidance.</w:t>
      </w:r>
    </w:p>
    <w:p>
      <w:pPr>
        <w:spacing w:after="80" w:line="240" w:lineRule="auto"/>
        <w:ind w:left="259" w:hanging="259"/>
      </w:pPr>
      <w:r>
        <w:rPr>
          <w:rFonts w:ascii="Times New Roman" w:hAnsi="Times New Roman" w:eastAsia="Times New Roman"/>
          <w:sz w:val="20"/>
        </w:rPr>
        <w:t>The Flask Pallets Project. Flask Documentation. https://flask.palletsprojects.com/</w:t>
      </w:r>
    </w:p>
    <w:p>
      <w:pPr>
        <w:spacing w:after="80" w:line="240" w:lineRule="auto"/>
        <w:ind w:left="259" w:hanging="259"/>
      </w:pPr>
      <w:r>
        <w:rPr>
          <w:rFonts w:ascii="Times New Roman" w:hAnsi="Times New Roman" w:eastAsia="Times New Roman"/>
          <w:sz w:val="20"/>
        </w:rPr>
        <w:t>Three.js Authors. Three.js Documentation. https://threejs.org/</w:t>
      </w:r>
    </w:p>
    <w:p>
      <w:pPr>
        <w:spacing w:after="80" w:line="240" w:lineRule="auto"/>
        <w:ind w:left="259" w:hanging="259"/>
      </w:pPr>
      <w:r>
        <w:rPr>
          <w:rFonts w:ascii="Times New Roman" w:hAnsi="Times New Roman" w:eastAsia="Times New Roman"/>
          <w:sz w:val="20"/>
        </w:rPr>
        <w:t>World Health Organization. Global report and guidance on assistive technology access and accessibility.</w:t>
      </w:r>
    </w:p>
    <w:sectPr w:rsidR="00FC693F" w:rsidRPr="0006063C" w:rsidSect="00034616">
      <w:headerReference w:type="default" r:id="rId9"/>
      <w:footerReference w:type="default" r:id="rId10"/>
      <w:pgSz w:w="12240" w:h="15840"/>
      <w:pgMar w:top="1440" w:right="1440" w:bottom="1440" w:left="144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5A5A5A"/>
        <w:sz w:val="16"/>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FBFBF"/>
      </w:pBdr>
    </w:pPr>
    <w:r>
      <w:rPr>
        <w:rFonts w:ascii="Times New Roman" w:hAnsi="Times New Roman" w:eastAsia="Times New Roman"/>
        <w:color w:val="5A5A5A"/>
        <w:sz w:val="16"/>
      </w:rPr>
      <w:t>SAMVAAD Research Paper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