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Level Design (HLD)</w:t>
      </w:r>
    </w:p>
    <w:p>
      <w:r>
        <w:t>Architecture Style: Microservices, API-first, event-driven</w:t>
      </w:r>
    </w:p>
    <w:p>
      <w:r>
        <w:t>Channels: Web, Mobile, Chat, Voice</w:t>
      </w:r>
    </w:p>
    <w:p>
      <w:r>
        <w:t>Core Services: Onboarding Orchestrator, Document Processing, KYC Integration, Identity Verification, Risk Engine, Conversational AI, Notification, Analytics, Config/White-label</w:t>
      </w:r>
    </w:p>
    <w:p>
      <w:r>
        <w:t>Integration: KYC APIs, Credit Bureau, Video KYC providers, Notification services</w:t>
      </w:r>
    </w:p>
    <w:p>
      <w:r>
        <w:t>Data Layer: Customer DB (PII), Document storage, Audit logs, Analytics DB</w:t>
      </w:r>
    </w:p>
    <w:p>
      <w:r>
        <w:t>Security: Encryption, RBAC, consent management</w:t>
      </w:r>
    </w:p>
    <w:p>
      <w:r>
        <w:t>Deployment: Cloud-native, containerized, scalable</w:t>
      </w:r>
    </w:p>
    <w:p>
      <w:r>
        <w:t>Non-functional: High availability, low latency (&lt;3s), scalable, audit 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2026-05-21T15:28:51Z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109e3819-a02a-493c-8b22-f90f715aa79a</vt:lpwstr>
  </property>
  <property fmtid="{D5CDD505-2E9C-101B-9397-08002B2CF9AE}" pid="8" name="MSIP_Label_e463cba9-5f6c-478d-9329-7b2295e4e8ed_ContentBits">
    <vt:lpwstr>0</vt:lpwstr>
  </property>
</Properties>
</file>