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2026 Financial Analysis</w:t>
      </w:r>
    </w:p>
    <w:p>
      <w:pPr>
        <w:pStyle w:val="Heading2"/>
      </w:pPr>
      <w:r>
        <w:t>Executive Summary</w:t>
      </w:r>
    </w:p>
    <w:p>
      <w:r>
        <w:t>Q3 2026 delivered steady growth across all major business units, with total revenue reaching $4.82M, an increase of 11.3% over Q2. Operating margin improved to 18.6%, driven primarily by reduced cloud infrastructure costs following the migration to reserved-instance pricing in July.</w:t>
      </w:r>
    </w:p>
    <w:p>
      <w:pPr>
        <w:pStyle w:val="Heading2"/>
      </w:pPr>
      <w:r>
        <w:t>Revenue Overview</w:t>
      </w:r>
    </w:p>
    <w:p>
      <w:r>
        <w:t>Subscription revenue accounted for $3.95M (82% of total), while professional services contributed $0.87M. The Enterprise tier saw the strongest growth at 24% quarter-over-quarter, adding 14 new logos including two Fortune 500 accounts.</w:t>
      </w:r>
    </w:p>
    <w:p>
      <w:pPr>
        <w:pStyle w:val="Heading2"/>
      </w:pPr>
      <w:r>
        <w:t>Expense Breakdown</w:t>
      </w:r>
    </w:p>
    <w:p>
      <w:r>
        <w:t>Total operating expenses were $3.92M. Engineering and product represented the largest category at $1.6M, followed by sales and marketing at $1.1M, and general administrative costs at $0.62M. Infrastructure spend declined 9% due to the reserved-capacity renegotiation completed in early Q3.</w:t>
      </w:r>
    </w:p>
    <w:p>
      <w:pPr>
        <w:pStyle w:val="Heading2"/>
      </w:pPr>
      <w:r>
        <w:t>Outlook</w:t>
      </w:r>
    </w:p>
    <w:p>
      <w:r>
        <w:t>Management expects Q4 revenue to reach $5.3M-$5.5M, supported by the renewal pipeline and the planned launch of the mid-market pricing tier in November. Headcount growth will remain conservative, with hiring concentrated in customer success and platform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