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24"/>
              <w:left w:val="single" w:color="1F3864" w:sz="4"/>
              <w:bottom w:val="single" w:color="C9A84C" w:sz="24"/>
              <w:right w:val="single" w:color="1F3864" w:sz="4"/>
            </w:tcBorders>
            <w:shd w:fill="1F3864" w:val="clear"/>
            <w:tcMar>
              <w:top w:type="dxa" w:w="600"/>
              <w:left w:type="dxa" w:w="500"/>
              <w:bottom w:type="dxa" w:w="600"/>
              <w:right w:type="dxa" w:w="500"/>
            </w:tcMar>
          </w:tcPr>
          <w:p>
            <w:pPr>
              <w:spacing w:after="80"/>
              <w:jc w:val="center"/>
            </w:pPr>
            <w:r>
              <w:rPr>
                <w:rFonts w:ascii="Arial" w:cs="Arial" w:eastAsia="Arial" w:hAnsi="Arial"/>
                <w:b/>
                <w:bCs/>
                <w:color w:val="FFFFFF"/>
                <w:sz w:val="56"/>
                <w:szCs w:val="56"/>
              </w:rPr>
              <w:t xml:space="preserve">CNM360 LLP</w:t>
            </w:r>
          </w:p>
          <w:p>
            <w:pPr>
              <w:spacing w:after="120"/>
              <w:jc w:val="center"/>
            </w:pPr>
            <w:r>
              <w:rPr>
                <w:rFonts w:ascii="Arial" w:cs="Arial" w:eastAsia="Arial" w:hAnsi="Arial"/>
                <w:i/>
                <w:iCs/>
                <w:color w:val="C9A84C"/>
                <w:sz w:val="26"/>
                <w:szCs w:val="26"/>
              </w:rPr>
              <w:t xml:space="preserve">AI-Enabled Integrated Financial Automation Platform</w:t>
            </w:r>
          </w:p>
          <w:p>
            <w:pPr>
              <w:jc w:val="center"/>
            </w:pPr>
            <w:r>
              <w:rPr>
                <w:rFonts w:ascii="Arial" w:cs="Arial" w:eastAsia="Arial" w:hAnsi="Arial"/>
                <w:color w:val="DDDDDD"/>
                <w:sz w:val="20"/>
                <w:szCs w:val="20"/>
              </w:rPr>
              <w:t xml:space="preserve">Comprehensive Business Write-Up for Startup India Recognition</w:t>
            </w:r>
          </w:p>
          <w:p>
            <w:pPr>
              <w:spacing w:before="120"/>
              <w:jc w:val="center"/>
            </w:pPr>
            <w:r>
              <w:rPr>
                <w:rFonts w:ascii="Arial" w:cs="Arial" w:eastAsia="Arial" w:hAnsi="Arial"/>
                <w:color w:val="AAAAAA"/>
                <w:sz w:val="18"/>
                <w:szCs w:val="18"/>
              </w:rPr>
              <w:t xml:space="preserve">April 2025  |  Confidential</w:t>
            </w:r>
          </w:p>
        </w:tc>
      </w:tr>
    </w:tbl>
    <w:p>
      <w:pPr>
        <w:spacing w:after="400" w:before="40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1. Executive Summary</w:t>
      </w:r>
    </w:p>
    <w:p>
      <w:pPr>
        <w:pStyle w:val="Heading2"/>
        <w:spacing w:after="100" w:before="280"/>
      </w:pPr>
      <w:r>
        <w:rPr>
          <w:rFonts w:ascii="Arial" w:cs="Arial" w:eastAsia="Arial" w:hAnsi="Arial"/>
          <w:b/>
          <w:bCs/>
          <w:color w:val="2E75B6"/>
          <w:sz w:val="24"/>
          <w:szCs w:val="24"/>
        </w:rPr>
        <w:t xml:space="preserve">1.1 Overview</w:t>
      </w:r>
    </w:p>
    <w:p>
      <w:pPr>
        <w:spacing w:after="80" w:before="80" w:line="320"/>
        <w:jc w:val="both"/>
      </w:pPr>
      <w:r>
        <w:rPr>
          <w:rFonts w:ascii="Arial" w:cs="Arial" w:eastAsia="Arial" w:hAnsi="Arial"/>
          <w:color w:val="1A1A1A"/>
          <w:sz w:val="22"/>
          <w:szCs w:val="22"/>
        </w:rPr>
        <w:t xml:space="preserve">CNM360 LLP is an innovative technology-driven organisation headquartered in India, developing an Artificial Intelligence-enabled integrated platform that automates and streamlines financial operations for businesses, professionals, and housing societies. The platform consolidates accounting automation, payroll processing, society accounting &amp; compliance, and intelligent document data extraction into a single, unified SaaS ecosystem.</w:t>
      </w:r>
    </w:p>
    <w:p>
      <w:pPr>
        <w:spacing w:after="80" w:before="80" w:line="320"/>
        <w:jc w:val="both"/>
      </w:pPr>
      <w:r>
        <w:rPr>
          <w:rFonts w:ascii="Arial" w:cs="Arial" w:eastAsia="Arial" w:hAnsi="Arial"/>
          <w:color w:val="1A1A1A"/>
          <w:sz w:val="22"/>
          <w:szCs w:val="22"/>
        </w:rPr>
        <w:t xml:space="preserve">By leveraging cutting-edge AI, Machine Learning (ML), and Optical Character Recognition (OCR) technologies, CNM360 LLP empowers its users to eliminate repetitive manual workflows, reduce operational errors, ensure regulatory compliance, and make data-driven financial decisions—all in real time.</w:t>
      </w:r>
    </w:p>
    <w:p>
      <w:pPr>
        <w:spacing w:after="120" w:before="120"/>
      </w:pPr>
      <w:r>
        <w:t xml:space="preserve"/>
      </w:r>
    </w:p>
    <w:p>
      <w:pPr>
        <w:pStyle w:val="Heading2"/>
        <w:spacing w:after="100" w:before="280"/>
      </w:pPr>
      <w:r>
        <w:rPr>
          <w:rFonts w:ascii="Arial" w:cs="Arial" w:eastAsia="Arial" w:hAnsi="Arial"/>
          <w:b/>
          <w:bCs/>
          <w:color w:val="2E75B6"/>
          <w:sz w:val="24"/>
          <w:szCs w:val="24"/>
        </w:rPr>
        <w:t xml:space="preserve">1.2 Vision and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Vision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To become India's most trusted AI-powered financial automation platform, transforming the way businesses, SMEs, CA firms, and housing societies manage their finances.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Mission</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To democratise financial intelligence by delivering an affordable, scalable, and intuitive AI platform that automates accounting, payroll, and compliance—enabling every organisation to operate with the efficiency of a large enterprise.</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1.3 Problem Being Solved</w:t>
      </w:r>
    </w:p>
    <w:p>
      <w:pPr>
        <w:spacing w:after="80" w:before="80" w:line="320"/>
        <w:jc w:val="both"/>
      </w:pPr>
      <w:r>
        <w:rPr>
          <w:rFonts w:ascii="Arial" w:cs="Arial" w:eastAsia="Arial" w:hAnsi="Arial"/>
          <w:color w:val="1A1A1A"/>
          <w:sz w:val="22"/>
          <w:szCs w:val="22"/>
        </w:rPr>
        <w:t xml:space="preserve">Millions of businesses across India continue to rely on manual, error-prone accounting practices, fragmented software tools, and labour-intensive document handling. Housing societies manage large volumes of financial data with minimal technological support. SMEs and professionals face mounting compliance demands with limited bandwidth. CNM360 LLP directly addresses this gap with a unified, intelligent automation platform.</w:t>
      </w:r>
    </w:p>
    <w:p>
      <w:pPr>
        <w:spacing w:after="120" w:before="120"/>
      </w:pPr>
      <w:r>
        <w:t xml:space="preserve"/>
      </w:r>
    </w:p>
    <w:p>
      <w:pPr>
        <w:pStyle w:val="Heading2"/>
        <w:spacing w:after="100" w:before="280"/>
      </w:pPr>
      <w:r>
        <w:rPr>
          <w:rFonts w:ascii="Arial" w:cs="Arial" w:eastAsia="Arial" w:hAnsi="Arial"/>
          <w:b/>
          <w:bCs/>
          <w:color w:val="2E75B6"/>
          <w:sz w:val="24"/>
          <w:szCs w:val="24"/>
        </w:rPr>
        <w:t xml:space="preserve">1.4 Solution Offered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2E75B6" w:sz="16"/>
              <w:bottom w:val="single" w:color="C9A84C" w:sz="4"/>
              <w:right w:val="single" w:color="CCCCCC" w:sz="1"/>
            </w:tcBorders>
            <w:shd w:fill="D6E4F0" w:val="clear"/>
            <w:tcMar>
              <w:top w:type="dxa" w:w="120"/>
              <w:left w:type="dxa" w:w="200"/>
              <w:bottom w:type="dxa" w:w="120"/>
              <w:right w:type="dxa" w:w="120"/>
            </w:tcMar>
          </w:tcPr>
          <w:p>
            <w:pPr>
              <w:spacing w:line="300"/>
            </w:pPr>
            <w:r>
              <w:rPr>
                <w:rFonts w:ascii="Arial" w:cs="Arial" w:eastAsia="Arial" w:hAnsi="Arial"/>
                <w:i/>
                <w:iCs/>
                <w:color w:val="1F3864"/>
                <w:sz w:val="22"/>
                <w:szCs w:val="22"/>
              </w:rPr>
              <w:t xml:space="preserve">CNM360 LLP's platform automates the full cycle of financial operations—from intelligent invoice reading and data extraction, to automated accounting entries, payroll processing, society billing, GST/TDS compliance, and advanced analytics dashboards—reducing manual effort by up to 80% and significantly improving accuracy and compliance.</w:t>
            </w:r>
          </w:p>
        </w:tc>
      </w:tr>
    </w:tbl>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2. Problem Statement</w:t>
      </w:r>
    </w:p>
    <w:p>
      <w:pPr>
        <w:spacing w:after="80" w:before="80" w:line="320"/>
        <w:jc w:val="both"/>
      </w:pPr>
      <w:r>
        <w:rPr>
          <w:rFonts w:ascii="Arial" w:cs="Arial" w:eastAsia="Arial" w:hAnsi="Arial"/>
          <w:color w:val="1A1A1A"/>
          <w:sz w:val="22"/>
          <w:szCs w:val="22"/>
        </w:rPr>
        <w:t xml:space="preserve">India's financial ecosystem, while rapidly digitalising, still faces significant structural challenges in accounting and compliance management. These challenges are particularly acute for SMEs, CA firms, and residential housing societies.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2.1 Challenges in Traditional Accounting and Payroll</w:t>
      </w:r>
    </w:p>
    <w:p>
      <w:pPr>
        <w:pStyle w:val="ListParagraph"/>
        <w:numPr>
          <w:ilvl w:val="0"/>
          <w:numId w:val="2"/>
        </w:numPr>
        <w:spacing w:after="60" w:before="60" w:line="300"/>
      </w:pPr>
      <w:r>
        <w:rPr>
          <w:rFonts w:ascii="Arial" w:cs="Arial" w:eastAsia="Arial" w:hAnsi="Arial"/>
          <w:color w:val="1A1A1A"/>
          <w:sz w:val="22"/>
          <w:szCs w:val="22"/>
        </w:rPr>
        <w:t xml:space="preserve">Manual data entry from invoices, bank statements, ERP exports, PDFs, and scanned documents is time-consuming and error-prone.</w:t>
      </w:r>
    </w:p>
    <w:p>
      <w:pPr>
        <w:pStyle w:val="ListParagraph"/>
        <w:numPr>
          <w:ilvl w:val="0"/>
          <w:numId w:val="2"/>
        </w:numPr>
        <w:spacing w:after="60" w:before="60" w:line="300"/>
      </w:pPr>
      <w:r>
        <w:rPr>
          <w:rFonts w:ascii="Arial" w:cs="Arial" w:eastAsia="Arial" w:hAnsi="Arial"/>
          <w:color w:val="1A1A1A"/>
          <w:sz w:val="22"/>
          <w:szCs w:val="22"/>
        </w:rPr>
        <w:t xml:space="preserve">Accounting personnel spend a disproportionate amount of time on repetitive, low-value tasks rather than financial analysis.</w:t>
      </w:r>
    </w:p>
    <w:p>
      <w:pPr>
        <w:pStyle w:val="ListParagraph"/>
        <w:numPr>
          <w:ilvl w:val="0"/>
          <w:numId w:val="2"/>
        </w:numPr>
        <w:spacing w:after="60" w:before="60" w:line="300"/>
      </w:pPr>
      <w:r>
        <w:rPr>
          <w:rFonts w:ascii="Arial" w:cs="Arial" w:eastAsia="Arial" w:hAnsi="Arial"/>
          <w:color w:val="1A1A1A"/>
          <w:sz w:val="22"/>
          <w:szCs w:val="22"/>
        </w:rPr>
        <w:t xml:space="preserve">Payroll calculations involving variable pay, statutory deductions (PF, ESIC, PT, TDS), and leave management are complex and often handled in isolated spreadsheets.</w:t>
      </w:r>
    </w:p>
    <w:p>
      <w:pPr>
        <w:pStyle w:val="ListParagraph"/>
        <w:numPr>
          <w:ilvl w:val="0"/>
          <w:numId w:val="2"/>
        </w:numPr>
        <w:spacing w:after="60" w:before="60" w:line="300"/>
      </w:pPr>
      <w:r>
        <w:rPr>
          <w:rFonts w:ascii="Arial" w:cs="Arial" w:eastAsia="Arial" w:hAnsi="Arial"/>
          <w:color w:val="1A1A1A"/>
          <w:sz w:val="22"/>
          <w:szCs w:val="22"/>
        </w:rPr>
        <w:t xml:space="preserve">Lack of integration between accounting, payroll, and compliance modules forces organisations to maintain parallel systems, leading to data inconsistency.</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2.2 Housing Society Accounting Challenges</w:t>
      </w:r>
    </w:p>
    <w:p>
      <w:pPr>
        <w:pStyle w:val="ListParagraph"/>
        <w:numPr>
          <w:ilvl w:val="0"/>
          <w:numId w:val="2"/>
        </w:numPr>
        <w:spacing w:after="60" w:before="60" w:line="300"/>
      </w:pPr>
      <w:r>
        <w:rPr>
          <w:rFonts w:ascii="Arial" w:cs="Arial" w:eastAsia="Arial" w:hAnsi="Arial"/>
          <w:color w:val="1A1A1A"/>
          <w:sz w:val="22"/>
          <w:szCs w:val="22"/>
        </w:rPr>
        <w:t xml:space="preserve">Residential housing societies manage maintenance collections, sinking funds, GST compliance, vendor payments, and annual audits with minimal technological support.</w:t>
      </w:r>
    </w:p>
    <w:p>
      <w:pPr>
        <w:pStyle w:val="ListParagraph"/>
        <w:numPr>
          <w:ilvl w:val="0"/>
          <w:numId w:val="2"/>
        </w:numPr>
        <w:spacing w:after="60" w:before="60" w:line="300"/>
      </w:pPr>
      <w:r>
        <w:rPr>
          <w:rFonts w:ascii="Arial" w:cs="Arial" w:eastAsia="Arial" w:hAnsi="Arial"/>
          <w:color w:val="1A1A1A"/>
          <w:sz w:val="22"/>
          <w:szCs w:val="22"/>
        </w:rPr>
        <w:t xml:space="preserve">Most societies rely on manual ledgers or basic spreadsheets, leading to delayed collections, audit discrepancies, and member disputes.</w:t>
      </w:r>
    </w:p>
    <w:p>
      <w:pPr>
        <w:pStyle w:val="ListParagraph"/>
        <w:numPr>
          <w:ilvl w:val="0"/>
          <w:numId w:val="2"/>
        </w:numPr>
        <w:spacing w:after="60" w:before="60" w:line="300"/>
      </w:pPr>
      <w:r>
        <w:rPr>
          <w:rFonts w:ascii="Arial" w:cs="Arial" w:eastAsia="Arial" w:hAnsi="Arial"/>
          <w:color w:val="1A1A1A"/>
          <w:sz w:val="22"/>
          <w:szCs w:val="22"/>
        </w:rPr>
        <w:t xml:space="preserve">There is no widely available, affordable, and integrated society accounting platform tailored to Indian statutory requirements.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2.3 Pain Points Faced by SMEs, Professionals, and Societies</w:t>
      </w:r>
    </w:p>
    <w:p>
      <w:pPr>
        <w:pStyle w:val="ListParagraph"/>
        <w:numPr>
          <w:ilvl w:val="0"/>
          <w:numId w:val="2"/>
        </w:numPr>
        <w:spacing w:after="60" w:before="60" w:line="300"/>
      </w:pPr>
      <w:r>
        <w:rPr>
          <w:rFonts w:ascii="Arial" w:cs="Arial" w:eastAsia="Arial" w:hAnsi="Arial"/>
          <w:b/>
          <w:bCs/>
          <w:color w:val="2E75B6"/>
          <w:sz w:val="22"/>
          <w:szCs w:val="22"/>
        </w:rPr>
        <w:t xml:space="preserve">Failure to meet GST, TDS, EPF, and ESIC deadlines due to manual tracking results in penalties and reputational damage.: </w:t>
      </w:r>
      <w:r>
        <w:rPr>
          <w:rFonts w:ascii="Arial" w:cs="Arial" w:eastAsia="Arial" w:hAnsi="Arial"/>
          <w:color w:val="1A1A1A"/>
          <w:sz w:val="22"/>
          <w:szCs w:val="22"/>
        </w:rPr>
        <w:t xml:space="preserve">Compliance Risk</w:t>
      </w:r>
    </w:p>
    <w:p>
      <w:pPr>
        <w:pStyle w:val="ListParagraph"/>
        <w:numPr>
          <w:ilvl w:val="0"/>
          <w:numId w:val="2"/>
        </w:numPr>
        <w:spacing w:after="60" w:before="60" w:line="300"/>
      </w:pPr>
      <w:r>
        <w:rPr>
          <w:rFonts w:ascii="Arial" w:cs="Arial" w:eastAsia="Arial" w:hAnsi="Arial"/>
          <w:b/>
          <w:bCs/>
          <w:color w:val="2E75B6"/>
          <w:sz w:val="22"/>
          <w:szCs w:val="22"/>
        </w:rPr>
        <w:t xml:space="preserve">Financial data is scattered across emails, PDFs, Excel files, and standalone software with no unified view.: </w:t>
      </w:r>
      <w:r>
        <w:rPr>
          <w:rFonts w:ascii="Arial" w:cs="Arial" w:eastAsia="Arial" w:hAnsi="Arial"/>
          <w:color w:val="1A1A1A"/>
          <w:sz w:val="22"/>
          <w:szCs w:val="22"/>
        </w:rPr>
        <w:t xml:space="preserve">Data Fragmentation</w:t>
      </w:r>
    </w:p>
    <w:p>
      <w:pPr>
        <w:pStyle w:val="ListParagraph"/>
        <w:numPr>
          <w:ilvl w:val="0"/>
          <w:numId w:val="2"/>
        </w:numPr>
        <w:spacing w:after="60" w:before="60" w:line="300"/>
      </w:pPr>
      <w:r>
        <w:rPr>
          <w:rFonts w:ascii="Arial" w:cs="Arial" w:eastAsia="Arial" w:hAnsi="Arial"/>
          <w:b/>
          <w:bCs/>
          <w:color w:val="2E75B6"/>
          <w:sz w:val="22"/>
          <w:szCs w:val="22"/>
        </w:rPr>
        <w:t xml:space="preserve">SMEs spend considerable resources on manual bookkeeping that could be redirected toward growth-oriented activities.: </w:t>
      </w:r>
      <w:r>
        <w:rPr>
          <w:rFonts w:ascii="Arial" w:cs="Arial" w:eastAsia="Arial" w:hAnsi="Arial"/>
          <w:color w:val="1A1A1A"/>
          <w:sz w:val="22"/>
          <w:szCs w:val="22"/>
        </w:rPr>
        <w:t xml:space="preserve">High Operational Cost</w:t>
      </w:r>
    </w:p>
    <w:p>
      <w:pPr>
        <w:pStyle w:val="ListParagraph"/>
        <w:numPr>
          <w:ilvl w:val="0"/>
          <w:numId w:val="2"/>
        </w:numPr>
        <w:spacing w:after="60" w:before="60" w:line="300"/>
      </w:pPr>
      <w:r>
        <w:rPr>
          <w:rFonts w:ascii="Arial" w:cs="Arial" w:eastAsia="Arial" w:hAnsi="Arial"/>
          <w:b/>
          <w:bCs/>
          <w:color w:val="2E75B6"/>
          <w:sz w:val="22"/>
          <w:szCs w:val="22"/>
        </w:rPr>
        <w:t xml:space="preserve">Traditional tools provide historical data without predictive analytics or actionable financial recommendations.: </w:t>
      </w:r>
      <w:r>
        <w:rPr>
          <w:rFonts w:ascii="Arial" w:cs="Arial" w:eastAsia="Arial" w:hAnsi="Arial"/>
          <w:color w:val="1A1A1A"/>
          <w:sz w:val="22"/>
          <w:szCs w:val="22"/>
        </w:rPr>
        <w:t xml:space="preserve">Limited Insights</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3. Proposed Solution</w:t>
      </w:r>
    </w:p>
    <w:p>
      <w:pPr>
        <w:spacing w:after="80" w:before="80" w:line="320"/>
        <w:jc w:val="both"/>
      </w:pPr>
      <w:r>
        <w:rPr>
          <w:rFonts w:ascii="Arial" w:cs="Arial" w:eastAsia="Arial" w:hAnsi="Arial"/>
          <w:color w:val="1A1A1A"/>
          <w:sz w:val="22"/>
          <w:szCs w:val="22"/>
        </w:rPr>
        <w:t xml:space="preserve">CNM360 LLP's AI-enabled integrated platform provides an end-to-end financial automation suite. Unlike traditional point solutions, the platform is designed as a cohesive ecosystem where each module communicates seamlessly with the others, providing a single source of financial truth for the organisation.</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3.1 Core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Accounting Automation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Automated chart of accounts, real-time journal entry posting, bank reconciliation, GST/TDS return preparation, P&amp;L and Balance Sheet generation.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Payroll Processing</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End-to-end payroll automation covering salary computation, statutory deductions (PF, ESIC, PT, TDS), payslip generation, Form 16, and compliance filings.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Society Accounting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Maintenance billing, collection tracking, sinking fund management, vendor payments, AGM reporting, GST compliance, and audit trail for housing societies.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Intelligent Document Processing</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AI/OCR-powered extraction of data from invoices, receipts, bank statements, ERP exports, PDFs, scanned images, and emails—with automated classification and posting.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Analytics &amp; Dashboards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Role-based financial dashboards, cash flow forecasting, compliance calendars, KPI tracking, and AI-generated actionable insights.</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3.2 Automation Capabilities</w:t>
      </w:r>
    </w:p>
    <w:p>
      <w:pPr>
        <w:pStyle w:val="ListParagraph"/>
        <w:numPr>
          <w:ilvl w:val="0"/>
          <w:numId w:val="2"/>
        </w:numPr>
        <w:spacing w:after="60" w:before="60" w:line="300"/>
      </w:pPr>
      <w:r>
        <w:rPr>
          <w:rFonts w:ascii="Arial" w:cs="Arial" w:eastAsia="Arial" w:hAnsi="Arial"/>
          <w:color w:val="1A1A1A"/>
          <w:sz w:val="22"/>
          <w:szCs w:val="22"/>
        </w:rPr>
        <w:t xml:space="preserve">Automated reading and classification of multi-format documents using OCR and Natural Language Processing (NLP).</w:t>
      </w:r>
    </w:p>
    <w:p>
      <w:pPr>
        <w:pStyle w:val="ListParagraph"/>
        <w:numPr>
          <w:ilvl w:val="0"/>
          <w:numId w:val="2"/>
        </w:numPr>
        <w:spacing w:after="60" w:before="60" w:line="300"/>
      </w:pPr>
      <w:r>
        <w:rPr>
          <w:rFonts w:ascii="Arial" w:cs="Arial" w:eastAsia="Arial" w:hAnsi="Arial"/>
          <w:color w:val="1A1A1A"/>
          <w:sz w:val="22"/>
          <w:szCs w:val="22"/>
        </w:rPr>
        <w:t xml:space="preserve">AI-driven matching of purchase invoices against purchase orders and goods receipt notes (3-way matching).</w:t>
      </w:r>
    </w:p>
    <w:p>
      <w:pPr>
        <w:pStyle w:val="ListParagraph"/>
        <w:numPr>
          <w:ilvl w:val="0"/>
          <w:numId w:val="2"/>
        </w:numPr>
        <w:spacing w:after="60" w:before="60" w:line="300"/>
      </w:pPr>
      <w:r>
        <w:rPr>
          <w:rFonts w:ascii="Arial" w:cs="Arial" w:eastAsia="Arial" w:hAnsi="Arial"/>
          <w:color w:val="1A1A1A"/>
          <w:sz w:val="22"/>
          <w:szCs w:val="22"/>
        </w:rPr>
        <w:t xml:space="preserve">Rule-based and ML-based classification of accounting entries to appropriate cost centres and ledger heads.</w:t>
      </w:r>
    </w:p>
    <w:p>
      <w:pPr>
        <w:pStyle w:val="ListParagraph"/>
        <w:numPr>
          <w:ilvl w:val="0"/>
          <w:numId w:val="2"/>
        </w:numPr>
        <w:spacing w:after="60" w:before="60" w:line="300"/>
      </w:pPr>
      <w:r>
        <w:rPr>
          <w:rFonts w:ascii="Arial" w:cs="Arial" w:eastAsia="Arial" w:hAnsi="Arial"/>
          <w:color w:val="1A1A1A"/>
          <w:sz w:val="22"/>
          <w:szCs w:val="22"/>
        </w:rPr>
        <w:t xml:space="preserve">Automated payroll computation with statutory compliance checks and payment file generation.</w:t>
      </w:r>
    </w:p>
    <w:p>
      <w:pPr>
        <w:pStyle w:val="ListParagraph"/>
        <w:numPr>
          <w:ilvl w:val="0"/>
          <w:numId w:val="2"/>
        </w:numPr>
        <w:spacing w:after="60" w:before="60" w:line="300"/>
      </w:pPr>
      <w:r>
        <w:rPr>
          <w:rFonts w:ascii="Arial" w:cs="Arial" w:eastAsia="Arial" w:hAnsi="Arial"/>
          <w:color w:val="1A1A1A"/>
          <w:sz w:val="22"/>
          <w:szCs w:val="22"/>
        </w:rPr>
        <w:t xml:space="preserve">Exception-flagging engine that highlights anomalies and potential compliance risks before filing.</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4. Innovation &amp; Uniqueness</w:t>
      </w:r>
    </w:p>
    <w:p>
      <w:pPr>
        <w:pStyle w:val="Heading2"/>
        <w:spacing w:after="100" w:before="280"/>
      </w:pPr>
      <w:r>
        <w:rPr>
          <w:rFonts w:ascii="Arial" w:cs="Arial" w:eastAsia="Arial" w:hAnsi="Arial"/>
          <w:b/>
          <w:bCs/>
          <w:color w:val="2E75B6"/>
          <w:sz w:val="24"/>
          <w:szCs w:val="24"/>
        </w:rPr>
        <w:t xml:space="preserve">4.1 Use of AI, ML, and OCR</w:t>
      </w:r>
    </w:p>
    <w:p>
      <w:pPr>
        <w:spacing w:after="80" w:before="80" w:line="320"/>
        <w:jc w:val="both"/>
      </w:pPr>
      <w:r>
        <w:rPr>
          <w:rFonts w:ascii="Arial" w:cs="Arial" w:eastAsia="Arial" w:hAnsi="Arial"/>
          <w:color w:val="1A1A1A"/>
          <w:sz w:val="22"/>
          <w:szCs w:val="22"/>
        </w:rPr>
        <w:t xml:space="preserve">CNM360 LLP's platform goes beyond rule-based automation. The embedded ML models are trained on large datasets of Indian financial documents, enabling the system to recognise diverse invoice formats, extract structured data with high accuracy, and continuously improve through user feedback loops. OCR capabilities extend to handwritten documents and low-resolution scanned files.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4.2 Differentiation from Traditional Software</w:t>
      </w:r>
    </w:p>
    <w:p>
      <w:pPr>
        <w:pStyle w:val="ListParagraph"/>
        <w:numPr>
          <w:ilvl w:val="0"/>
          <w:numId w:val="2"/>
        </w:numPr>
        <w:spacing w:after="60" w:before="60" w:line="300"/>
      </w:pPr>
      <w:r>
        <w:rPr>
          <w:rFonts w:ascii="Arial" w:cs="Arial" w:eastAsia="Arial" w:hAnsi="Arial"/>
          <w:b/>
          <w:bCs/>
          <w:color w:val="2E75B6"/>
          <w:sz w:val="22"/>
          <w:szCs w:val="22"/>
        </w:rPr>
        <w:t xml:space="preserve">Most existing solutions address only one function (e.g., payroll or GST filing). CNM360 LLP integrates accounting, payroll, society management, and document processing under one platform.: </w:t>
      </w:r>
      <w:r>
        <w:rPr>
          <w:rFonts w:ascii="Arial" w:cs="Arial" w:eastAsia="Arial" w:hAnsi="Arial"/>
          <w:color w:val="1A1A1A"/>
          <w:sz w:val="22"/>
          <w:szCs w:val="22"/>
        </w:rPr>
        <w:t xml:space="preserve">Unified Platform</w:t>
      </w:r>
    </w:p>
    <w:p>
      <w:pPr>
        <w:pStyle w:val="ListParagraph"/>
        <w:numPr>
          <w:ilvl w:val="0"/>
          <w:numId w:val="2"/>
        </w:numPr>
        <w:spacing w:after="60" w:before="60" w:line="300"/>
      </w:pPr>
      <w:r>
        <w:rPr>
          <w:rFonts w:ascii="Arial" w:cs="Arial" w:eastAsia="Arial" w:hAnsi="Arial"/>
          <w:b/>
          <w:bCs/>
          <w:color w:val="2E75B6"/>
          <w:sz w:val="22"/>
          <w:szCs w:val="22"/>
        </w:rPr>
        <w:t xml:space="preserve">The AI engine understands the context of financial transactions—not just their format—enabling intelligent auto-categorisation and anomaly detection.: </w:t>
      </w:r>
      <w:r>
        <w:rPr>
          <w:rFonts w:ascii="Arial" w:cs="Arial" w:eastAsia="Arial" w:hAnsi="Arial"/>
          <w:color w:val="1A1A1A"/>
          <w:sz w:val="22"/>
          <w:szCs w:val="22"/>
        </w:rPr>
        <w:t xml:space="preserve">Contextual AI</w:t>
      </w:r>
    </w:p>
    <w:p>
      <w:pPr>
        <w:pStyle w:val="ListParagraph"/>
        <w:numPr>
          <w:ilvl w:val="0"/>
          <w:numId w:val="2"/>
        </w:numPr>
        <w:spacing w:after="60" w:before="60" w:line="300"/>
      </w:pPr>
      <w:r>
        <w:rPr>
          <w:rFonts w:ascii="Arial" w:cs="Arial" w:eastAsia="Arial" w:hAnsi="Arial"/>
          <w:b/>
          <w:bCs/>
          <w:color w:val="2E75B6"/>
          <w:sz w:val="22"/>
          <w:szCs w:val="22"/>
        </w:rPr>
        <w:t xml:space="preserve">A dedicated module for housing society accounting, a segment largely underserved by existing SaaS platforms.: </w:t>
      </w:r>
      <w:r>
        <w:rPr>
          <w:rFonts w:ascii="Arial" w:cs="Arial" w:eastAsia="Arial" w:hAnsi="Arial"/>
          <w:color w:val="1A1A1A"/>
          <w:sz w:val="22"/>
          <w:szCs w:val="22"/>
        </w:rPr>
        <w:t xml:space="preserve">Society-Specific Modules</w:t>
      </w:r>
    </w:p>
    <w:p>
      <w:pPr>
        <w:pStyle w:val="ListParagraph"/>
        <w:numPr>
          <w:ilvl w:val="0"/>
          <w:numId w:val="2"/>
        </w:numPr>
        <w:spacing w:after="60" w:before="60" w:line="300"/>
      </w:pPr>
      <w:r>
        <w:rPr>
          <w:rFonts w:ascii="Arial" w:cs="Arial" w:eastAsia="Arial" w:hAnsi="Arial"/>
          <w:b/>
          <w:bCs/>
          <w:color w:val="2E75B6"/>
          <w:sz w:val="22"/>
          <w:szCs w:val="22"/>
        </w:rPr>
        <w:t xml:space="preserve">The platform learns from user corrections and approval patterns, improving automation accuracy over time.: </w:t>
      </w:r>
      <w:r>
        <w:rPr>
          <w:rFonts w:ascii="Arial" w:cs="Arial" w:eastAsia="Arial" w:hAnsi="Arial"/>
          <w:color w:val="1A1A1A"/>
          <w:sz w:val="22"/>
          <w:szCs w:val="22"/>
        </w:rPr>
        <w:t xml:space="preserve">Adaptive Learning</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4.3 Scalability and Adaptability</w:t>
      </w:r>
    </w:p>
    <w:p>
      <w:pPr>
        <w:spacing w:after="80" w:before="80" w:line="320"/>
        <w:jc w:val="both"/>
      </w:pPr>
      <w:r>
        <w:rPr>
          <w:rFonts w:ascii="Arial" w:cs="Arial" w:eastAsia="Arial" w:hAnsi="Arial"/>
          <w:color w:val="1A1A1A"/>
          <w:sz w:val="22"/>
          <w:szCs w:val="22"/>
        </w:rPr>
        <w:t xml:space="preserve">Built on a cloud-native, microservices architecture, the platform can scale horizontally to support thousands of concurrent users without performance degradation. It is designed to be sector-agnostic and can be configured for manufacturing, retail, professional services, real estate, and non-profit organisations.</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5. Market Opportunity</w:t>
      </w:r>
    </w:p>
    <w:p>
      <w:pPr>
        <w:pStyle w:val="Heading2"/>
        <w:spacing w:after="100" w:before="280"/>
      </w:pPr>
      <w:r>
        <w:rPr>
          <w:rFonts w:ascii="Arial" w:cs="Arial" w:eastAsia="Arial" w:hAnsi="Arial"/>
          <w:b/>
          <w:bCs/>
          <w:color w:val="2E75B6"/>
          <w:sz w:val="24"/>
          <w:szCs w:val="24"/>
        </w:rPr>
        <w:t xml:space="preserve">5.1 Target Audience</w:t>
      </w:r>
    </w:p>
    <w:p>
      <w:pPr>
        <w:pStyle w:val="ListParagraph"/>
        <w:numPr>
          <w:ilvl w:val="0"/>
          <w:numId w:val="2"/>
        </w:numPr>
        <w:spacing w:after="60" w:before="60" w:line="300"/>
      </w:pPr>
      <w:r>
        <w:rPr>
          <w:rFonts w:ascii="Arial" w:cs="Arial" w:eastAsia="Arial" w:hAnsi="Arial"/>
          <w:color w:val="1A1A1A"/>
          <w:sz w:val="22"/>
          <w:szCs w:val="22"/>
        </w:rPr>
        <w:t xml:space="preserve">Small and Medium Enterprises (SMEs) across manufacturing, trading, and services sectors.</w:t>
      </w:r>
    </w:p>
    <w:p>
      <w:pPr>
        <w:pStyle w:val="ListParagraph"/>
        <w:numPr>
          <w:ilvl w:val="0"/>
          <w:numId w:val="2"/>
        </w:numPr>
        <w:spacing w:after="60" w:before="60" w:line="300"/>
      </w:pPr>
      <w:r>
        <w:rPr>
          <w:rFonts w:ascii="Arial" w:cs="Arial" w:eastAsia="Arial" w:hAnsi="Arial"/>
          <w:color w:val="1A1A1A"/>
          <w:sz w:val="22"/>
          <w:szCs w:val="22"/>
        </w:rPr>
        <w:t xml:space="preserve">Chartered Accountant (CA) firms and accounting professionals managing multiple client portfolios.</w:t>
      </w:r>
    </w:p>
    <w:p>
      <w:pPr>
        <w:pStyle w:val="ListParagraph"/>
        <w:numPr>
          <w:ilvl w:val="0"/>
          <w:numId w:val="2"/>
        </w:numPr>
        <w:spacing w:after="60" w:before="60" w:line="300"/>
      </w:pPr>
      <w:r>
        <w:rPr>
          <w:rFonts w:ascii="Arial" w:cs="Arial" w:eastAsia="Arial" w:hAnsi="Arial"/>
          <w:color w:val="1A1A1A"/>
          <w:sz w:val="22"/>
          <w:szCs w:val="22"/>
        </w:rPr>
        <w:t xml:space="preserve">Residential housing societies, apartment complexes, and cooperative housing federations.</w:t>
      </w:r>
    </w:p>
    <w:p>
      <w:pPr>
        <w:pStyle w:val="ListParagraph"/>
        <w:numPr>
          <w:ilvl w:val="0"/>
          <w:numId w:val="2"/>
        </w:numPr>
        <w:spacing w:after="60" w:before="60" w:line="300"/>
      </w:pPr>
      <w:r>
        <w:rPr>
          <w:rFonts w:ascii="Arial" w:cs="Arial" w:eastAsia="Arial" w:hAnsi="Arial"/>
          <w:color w:val="1A1A1A"/>
          <w:sz w:val="22"/>
          <w:szCs w:val="22"/>
        </w:rPr>
        <w:t xml:space="preserve">Startups and new-age businesses seeking scalable, integrated financial management tools.</w:t>
      </w:r>
    </w:p>
    <w:p>
      <w:pPr>
        <w:pStyle w:val="ListParagraph"/>
        <w:numPr>
          <w:ilvl w:val="0"/>
          <w:numId w:val="2"/>
        </w:numPr>
        <w:spacing w:after="60" w:before="60" w:line="300"/>
      </w:pPr>
      <w:r>
        <w:rPr>
          <w:rFonts w:ascii="Arial" w:cs="Arial" w:eastAsia="Arial" w:hAnsi="Arial"/>
          <w:color w:val="1A1A1A"/>
          <w:sz w:val="22"/>
          <w:szCs w:val="22"/>
        </w:rPr>
        <w:t xml:space="preserve">Corporate finance departments requiring advanced automation and analytics.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5.2 Market Size and Growth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India SME Market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India has over 63 million MSMEs, of which a large and growing segment is actively digitising financial operations.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Accounting Software Market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India's accounting software market is projected to grow at a CAGR exceeding 12% through 2030, driven by GST compliance requirements and digital adoption.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Housing Society Segment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India has over 100,000 registered housing societies, representing a largely untapped, subscription-ready segment for specialised financial software.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Payroll Automation</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The Indian payroll software market is growing rapidly, with increasing regulatory complexity (PF, ESIC, PT, TDS) driving adoption of automated solutions.</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5.3 Demand Drivers</w:t>
      </w:r>
    </w:p>
    <w:p>
      <w:pPr>
        <w:pStyle w:val="ListParagraph"/>
        <w:numPr>
          <w:ilvl w:val="0"/>
          <w:numId w:val="2"/>
        </w:numPr>
        <w:spacing w:after="60" w:before="60" w:line="300"/>
      </w:pPr>
      <w:r>
        <w:rPr>
          <w:rFonts w:ascii="Arial" w:cs="Arial" w:eastAsia="Arial" w:hAnsi="Arial"/>
          <w:color w:val="1A1A1A"/>
          <w:sz w:val="22"/>
          <w:szCs w:val="22"/>
        </w:rPr>
        <w:t xml:space="preserve">Mandatory GST compliance creating strong incentive for digital accounting adoption across all business sizes.</w:t>
      </w:r>
    </w:p>
    <w:p>
      <w:pPr>
        <w:pStyle w:val="ListParagraph"/>
        <w:numPr>
          <w:ilvl w:val="0"/>
          <w:numId w:val="2"/>
        </w:numPr>
        <w:spacing w:after="60" w:before="60" w:line="300"/>
      </w:pPr>
      <w:r>
        <w:rPr>
          <w:rFonts w:ascii="Arial" w:cs="Arial" w:eastAsia="Arial" w:hAnsi="Arial"/>
          <w:color w:val="1A1A1A"/>
          <w:sz w:val="22"/>
          <w:szCs w:val="22"/>
        </w:rPr>
        <w:t xml:space="preserve">Government's push for digital economy and formal financial record-keeping under initiatives such as DPIIT, Startup India, and Digital India.</w:t>
      </w:r>
    </w:p>
    <w:p>
      <w:pPr>
        <w:pStyle w:val="ListParagraph"/>
        <w:numPr>
          <w:ilvl w:val="0"/>
          <w:numId w:val="2"/>
        </w:numPr>
        <w:spacing w:after="60" w:before="60" w:line="300"/>
      </w:pPr>
      <w:r>
        <w:rPr>
          <w:rFonts w:ascii="Arial" w:cs="Arial" w:eastAsia="Arial" w:hAnsi="Arial"/>
          <w:color w:val="1A1A1A"/>
          <w:sz w:val="22"/>
          <w:szCs w:val="22"/>
        </w:rPr>
        <w:t xml:space="preserve">Rising cost of skilled accounting manpower making automation a financially attractive proposition for SMEs.</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6. Business Model</w:t>
      </w:r>
    </w:p>
    <w:p>
      <w:pPr>
        <w:pStyle w:val="Heading2"/>
        <w:spacing w:after="100" w:before="280"/>
      </w:pPr>
      <w:r>
        <w:rPr>
          <w:rFonts w:ascii="Arial" w:cs="Arial" w:eastAsia="Arial" w:hAnsi="Arial"/>
          <w:b/>
          <w:bCs/>
          <w:color w:val="2E75B6"/>
          <w:sz w:val="24"/>
          <w:szCs w:val="24"/>
        </w:rPr>
        <w:t xml:space="preserve">6.1 SaaS Subscription Model</w:t>
      </w:r>
    </w:p>
    <w:p>
      <w:pPr>
        <w:spacing w:after="80" w:before="80" w:line="320"/>
        <w:jc w:val="both"/>
      </w:pPr>
      <w:r>
        <w:rPr>
          <w:rFonts w:ascii="Arial" w:cs="Arial" w:eastAsia="Arial" w:hAnsi="Arial"/>
          <w:color w:val="1A1A1A"/>
          <w:sz w:val="22"/>
          <w:szCs w:val="22"/>
        </w:rPr>
        <w:t xml:space="preserve">CNM360 LLP operates on a Software-as-a-Service (SaaS) model, offering cloud-based access to the platform on a monthly or annual subscription basis. This ensures predictable recurring revenue, low customer acquisition friction, and a scalable delivery mechanism without incremental infrastructure costs.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6.2 Tier-Based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Starter Tier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Designed for micro-businesses and freelancers—core accounting, basic invoicing, and limited document processing. Affordable entry point to build user base.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Professional Tier</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Suited for SMEs and CA firms—full accounting automation, payroll processing, GST/TDS compliance, and advanced document extraction.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Enterprise Tier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Tailored for larger organisations—custom integrations, multi-entity management, dedicated support, advanced analytics, and API access.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Society Plan</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Purpose-built for housing societies—maintenance billing, collection management, sinking fund accounting, vendor payments, and audit-ready reporting.</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6.3 Additional Revenue Streams</w:t>
      </w:r>
    </w:p>
    <w:p>
      <w:pPr>
        <w:pStyle w:val="ListParagraph"/>
        <w:numPr>
          <w:ilvl w:val="0"/>
          <w:numId w:val="2"/>
        </w:numPr>
        <w:spacing w:after="60" w:before="60" w:line="300"/>
      </w:pPr>
      <w:r>
        <w:rPr>
          <w:rFonts w:ascii="Arial" w:cs="Arial" w:eastAsia="Arial" w:hAnsi="Arial"/>
          <w:b/>
          <w:bCs/>
          <w:color w:val="2E75B6"/>
          <w:sz w:val="22"/>
          <w:szCs w:val="22"/>
        </w:rPr>
        <w:t xml:space="preserve">One-time professional services for enterprise clients requiring data migration and custom configuration.: </w:t>
      </w:r>
      <w:r>
        <w:rPr>
          <w:rFonts w:ascii="Arial" w:cs="Arial" w:eastAsia="Arial" w:hAnsi="Arial"/>
          <w:color w:val="1A1A1A"/>
          <w:sz w:val="22"/>
          <w:szCs w:val="22"/>
        </w:rPr>
        <w:t xml:space="preserve">Implementation &amp; Onboarding Consulting</w:t>
      </w:r>
    </w:p>
    <w:p>
      <w:pPr>
        <w:pStyle w:val="ListParagraph"/>
        <w:numPr>
          <w:ilvl w:val="0"/>
          <w:numId w:val="2"/>
        </w:numPr>
        <w:spacing w:after="60" w:before="60" w:line="300"/>
      </w:pPr>
      <w:r>
        <w:rPr>
          <w:rFonts w:ascii="Arial" w:cs="Arial" w:eastAsia="Arial" w:hAnsi="Arial"/>
          <w:b/>
          <w:bCs/>
          <w:color w:val="2E75B6"/>
          <w:sz w:val="22"/>
          <w:szCs w:val="22"/>
        </w:rPr>
        <w:t xml:space="preserve">Advanced financial forecasting, scenario modelling, and custom KPI dashboards available as paid extensions.: </w:t>
      </w:r>
      <w:r>
        <w:rPr>
          <w:rFonts w:ascii="Arial" w:cs="Arial" w:eastAsia="Arial" w:hAnsi="Arial"/>
          <w:color w:val="1A1A1A"/>
          <w:sz w:val="22"/>
          <w:szCs w:val="22"/>
        </w:rPr>
        <w:t xml:space="preserve">Premium Analytics Add-On</w:t>
      </w:r>
    </w:p>
    <w:p>
      <w:pPr>
        <w:pStyle w:val="ListParagraph"/>
        <w:numPr>
          <w:ilvl w:val="0"/>
          <w:numId w:val="2"/>
        </w:numPr>
        <w:spacing w:after="60" w:before="60" w:line="300"/>
      </w:pPr>
      <w:r>
        <w:rPr>
          <w:rFonts w:ascii="Arial" w:cs="Arial" w:eastAsia="Arial" w:hAnsi="Arial"/>
          <w:b/>
          <w:bCs/>
          <w:color w:val="2E75B6"/>
          <w:sz w:val="22"/>
          <w:szCs w:val="22"/>
        </w:rPr>
        <w:t xml:space="preserve">Charge third-party ERP vendors and fintech platforms for API access and certified integration partnerships.: </w:t>
      </w:r>
      <w:r>
        <w:rPr>
          <w:rFonts w:ascii="Arial" w:cs="Arial" w:eastAsia="Arial" w:hAnsi="Arial"/>
          <w:color w:val="1A1A1A"/>
          <w:sz w:val="22"/>
          <w:szCs w:val="22"/>
        </w:rPr>
        <w:t xml:space="preserve">API Integration Marketplace</w:t>
      </w:r>
    </w:p>
    <w:p>
      <w:pPr>
        <w:pStyle w:val="ListParagraph"/>
        <w:numPr>
          <w:ilvl w:val="0"/>
          <w:numId w:val="2"/>
        </w:numPr>
        <w:spacing w:after="60" w:before="60" w:line="300"/>
      </w:pPr>
      <w:r>
        <w:rPr>
          <w:rFonts w:ascii="Arial" w:cs="Arial" w:eastAsia="Arial" w:hAnsi="Arial"/>
          <w:b/>
          <w:bCs/>
          <w:color w:val="2E75B6"/>
          <w:sz w:val="22"/>
          <w:szCs w:val="22"/>
        </w:rPr>
        <w:t xml:space="preserve">License the platform to CA firms, banking institutions, and financial intermediaries under their own brand.: </w:t>
      </w:r>
      <w:r>
        <w:rPr>
          <w:rFonts w:ascii="Arial" w:cs="Arial" w:eastAsia="Arial" w:hAnsi="Arial"/>
          <w:color w:val="1A1A1A"/>
          <w:sz w:val="22"/>
          <w:szCs w:val="22"/>
        </w:rPr>
        <w:t xml:space="preserve">White-Label Licensing</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7. Revenue Model &amp; Scalability</w:t>
      </w:r>
    </w:p>
    <w:p>
      <w:pPr>
        <w:pStyle w:val="Heading2"/>
        <w:spacing w:after="100" w:before="280"/>
      </w:pPr>
      <w:r>
        <w:rPr>
          <w:rFonts w:ascii="Arial" w:cs="Arial" w:eastAsia="Arial" w:hAnsi="Arial"/>
          <w:b/>
          <w:bCs/>
          <w:color w:val="2E75B6"/>
          <w:sz w:val="24"/>
          <w:szCs w:val="24"/>
        </w:rPr>
        <w:t xml:space="preserve">7.1 Revenue Generation Approach</w:t>
      </w:r>
    </w:p>
    <w:p>
      <w:pPr>
        <w:spacing w:after="80" w:before="80" w:line="320"/>
        <w:jc w:val="both"/>
      </w:pPr>
      <w:r>
        <w:rPr>
          <w:rFonts w:ascii="Arial" w:cs="Arial" w:eastAsia="Arial" w:hAnsi="Arial"/>
          <w:color w:val="1A1A1A"/>
          <w:sz w:val="22"/>
          <w:szCs w:val="22"/>
        </w:rPr>
        <w:t xml:space="preserve">The primary revenue engine is the recurring SaaS subscription, supplemented by value-added services. As users scale their usage (additional users, entities, or modules), revenue grows organically through upselling and cross-selling within the same account—without proportionate increases in delivery costs.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7.2 Scaling Potential</w:t>
      </w:r>
    </w:p>
    <w:p>
      <w:pPr>
        <w:pStyle w:val="ListParagraph"/>
        <w:numPr>
          <w:ilvl w:val="0"/>
          <w:numId w:val="2"/>
        </w:numPr>
        <w:spacing w:after="60" w:before="60" w:line="300"/>
      </w:pPr>
      <w:r>
        <w:rPr>
          <w:rFonts w:ascii="Arial" w:cs="Arial" w:eastAsia="Arial" w:hAnsi="Arial"/>
          <w:b/>
          <w:bCs/>
          <w:color w:val="2E75B6"/>
          <w:sz w:val="22"/>
          <w:szCs w:val="22"/>
        </w:rPr>
        <w:t xml:space="preserve">The platform will be initially launched for the Indian market with full compliance for Indian statutory requirements. Phase 2 expansion will target South Asian markets and Indian diaspora-owned businesses globally.: </w:t>
      </w:r>
      <w:r>
        <w:rPr>
          <w:rFonts w:ascii="Arial" w:cs="Arial" w:eastAsia="Arial" w:hAnsi="Arial"/>
          <w:color w:val="1A1A1A"/>
          <w:sz w:val="22"/>
          <w:szCs w:val="22"/>
        </w:rPr>
        <w:t xml:space="preserve">Geographic Expansion</w:t>
      </w:r>
    </w:p>
    <w:p>
      <w:pPr>
        <w:pStyle w:val="ListParagraph"/>
        <w:numPr>
          <w:ilvl w:val="0"/>
          <w:numId w:val="2"/>
        </w:numPr>
        <w:spacing w:after="60" w:before="60" w:line="300"/>
      </w:pPr>
      <w:r>
        <w:rPr>
          <w:rFonts w:ascii="Arial" w:cs="Arial" w:eastAsia="Arial" w:hAnsi="Arial"/>
          <w:b/>
          <w:bCs/>
          <w:color w:val="2E75B6"/>
          <w:sz w:val="22"/>
          <w:szCs w:val="22"/>
        </w:rPr>
        <w:t xml:space="preserve">Industry-specific modules for retail, healthcare, educational institutions, and non-governmental organisations will be developed to increase addressable market.: </w:t>
      </w:r>
      <w:r>
        <w:rPr>
          <w:rFonts w:ascii="Arial" w:cs="Arial" w:eastAsia="Arial" w:hAnsi="Arial"/>
          <w:color w:val="1A1A1A"/>
          <w:sz w:val="22"/>
          <w:szCs w:val="22"/>
        </w:rPr>
        <w:t xml:space="preserve">Vertical Expansion</w:t>
      </w:r>
    </w:p>
    <w:p>
      <w:pPr>
        <w:pStyle w:val="ListParagraph"/>
        <w:numPr>
          <w:ilvl w:val="0"/>
          <w:numId w:val="2"/>
        </w:numPr>
        <w:spacing w:after="60" w:before="60" w:line="300"/>
      </w:pPr>
      <w:r>
        <w:rPr>
          <w:rFonts w:ascii="Arial" w:cs="Arial" w:eastAsia="Arial" w:hAnsi="Arial"/>
          <w:b/>
          <w:bCs/>
          <w:color w:val="2E75B6"/>
          <w:sz w:val="22"/>
          <w:szCs w:val="22"/>
        </w:rPr>
        <w:t xml:space="preserve">Strategic partnerships with CA institutes, MSME industry bodies, banks, and fintech platforms will accelerate user acquisition at low cost.: </w:t>
      </w:r>
      <w:r>
        <w:rPr>
          <w:rFonts w:ascii="Arial" w:cs="Arial" w:eastAsia="Arial" w:hAnsi="Arial"/>
          <w:color w:val="1A1A1A"/>
          <w:sz w:val="22"/>
          <w:szCs w:val="22"/>
        </w:rPr>
        <w:t xml:space="preserve">Channel Partnerships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7.3 ERP and System Integrations</w:t>
      </w:r>
    </w:p>
    <w:p>
      <w:pPr>
        <w:spacing w:after="80" w:before="80" w:line="320"/>
        <w:jc w:val="both"/>
      </w:pPr>
      <w:r>
        <w:rPr>
          <w:rFonts w:ascii="Arial" w:cs="Arial" w:eastAsia="Arial" w:hAnsi="Arial"/>
          <w:color w:val="1A1A1A"/>
          <w:sz w:val="22"/>
          <w:szCs w:val="22"/>
        </w:rPr>
        <w:t xml:space="preserve">The platform is designed with open API architecture to integrate with leading ERP systems including Tally, SAP, Oracle, Zoho Books, and government portals such as GSTN, MCA21, EPFO, and ESIC. This reduces switching barriers and positions CNM360 LLP as a complementary intelligence layer on top of existing business systems.</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8. Technology Stack (High-Level)</w:t>
      </w:r>
    </w:p>
    <w:p>
      <w:pPr>
        <w:pStyle w:val="Heading2"/>
        <w:spacing w:after="100" w:before="280"/>
      </w:pPr>
      <w:r>
        <w:rPr>
          <w:rFonts w:ascii="Arial" w:cs="Arial" w:eastAsia="Arial" w:hAnsi="Arial"/>
          <w:b/>
          <w:bCs/>
          <w:color w:val="2E75B6"/>
          <w:sz w:val="24"/>
          <w:szCs w:val="24"/>
        </w:rPr>
        <w:t xml:space="preserve">8.1 Core Technology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AI &amp; ML Engine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Python-based machine learning models for document classification, transaction categorisation, anomaly detection, and predictive analytics.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OCR &amp; NLP</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Advanced Optical Character Recognition combined with Natural Language Processing for intelligent extraction from diverse document formats.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Cloud Infrastructure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Hosted on leading cloud platforms (AWS/Azure/GCP) with auto-scaling, high availability (99.9% SLA), and disaster recovery capabilities.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Backend</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Microservices architecture using RESTful APIs, enabling modular development and independent scaling of each functional component.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Frontend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Responsive web application and mobile-compatible interface designed for ease of use by non-technical users.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Database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Combination of relational databases for transactional data and NoSQL databases for document storage and real-time analytics.</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8.2 Data Security and Compliance</w:t>
      </w:r>
    </w:p>
    <w:p>
      <w:pPr>
        <w:pStyle w:val="ListParagraph"/>
        <w:numPr>
          <w:ilvl w:val="0"/>
          <w:numId w:val="2"/>
        </w:numPr>
        <w:spacing w:after="60" w:before="60" w:line="300"/>
      </w:pPr>
      <w:r>
        <w:rPr>
          <w:rFonts w:ascii="Arial" w:cs="Arial" w:eastAsia="Arial" w:hAnsi="Arial"/>
          <w:color w:val="1A1A1A"/>
          <w:sz w:val="22"/>
          <w:szCs w:val="22"/>
        </w:rPr>
        <w:t xml:space="preserve">End-to-end encryption (AES-256) for data at rest and in transit.</w:t>
      </w:r>
    </w:p>
    <w:p>
      <w:pPr>
        <w:pStyle w:val="ListParagraph"/>
        <w:numPr>
          <w:ilvl w:val="0"/>
          <w:numId w:val="2"/>
        </w:numPr>
        <w:spacing w:after="60" w:before="60" w:line="300"/>
      </w:pPr>
      <w:r>
        <w:rPr>
          <w:rFonts w:ascii="Arial" w:cs="Arial" w:eastAsia="Arial" w:hAnsi="Arial"/>
          <w:color w:val="1A1A1A"/>
          <w:sz w:val="22"/>
          <w:szCs w:val="22"/>
        </w:rPr>
        <w:t xml:space="preserve">Role-based access control (RBAC) with multi-factor authentication (MFA).</w:t>
      </w:r>
    </w:p>
    <w:p>
      <w:pPr>
        <w:pStyle w:val="ListParagraph"/>
        <w:numPr>
          <w:ilvl w:val="0"/>
          <w:numId w:val="2"/>
        </w:numPr>
        <w:spacing w:after="60" w:before="60" w:line="300"/>
      </w:pPr>
      <w:r>
        <w:rPr>
          <w:rFonts w:ascii="Arial" w:cs="Arial" w:eastAsia="Arial" w:hAnsi="Arial"/>
          <w:color w:val="1A1A1A"/>
          <w:sz w:val="22"/>
          <w:szCs w:val="22"/>
        </w:rPr>
        <w:t xml:space="preserve">Compliance with India's Personal Data Protection framework and IT Act, 2000.</w:t>
      </w:r>
    </w:p>
    <w:p>
      <w:pPr>
        <w:pStyle w:val="ListParagraph"/>
        <w:numPr>
          <w:ilvl w:val="0"/>
          <w:numId w:val="2"/>
        </w:numPr>
        <w:spacing w:after="60" w:before="60" w:line="300"/>
      </w:pPr>
      <w:r>
        <w:rPr>
          <w:rFonts w:ascii="Arial" w:cs="Arial" w:eastAsia="Arial" w:hAnsi="Arial"/>
          <w:color w:val="1A1A1A"/>
          <w:sz w:val="22"/>
          <w:szCs w:val="22"/>
        </w:rPr>
        <w:t xml:space="preserve">Regular third-party security audits and vulnerability assessments.</w:t>
      </w:r>
    </w:p>
    <w:p>
      <w:pPr>
        <w:pStyle w:val="ListParagraph"/>
        <w:numPr>
          <w:ilvl w:val="0"/>
          <w:numId w:val="2"/>
        </w:numPr>
        <w:spacing w:after="60" w:before="60" w:line="300"/>
      </w:pPr>
      <w:r>
        <w:rPr>
          <w:rFonts w:ascii="Arial" w:cs="Arial" w:eastAsia="Arial" w:hAnsi="Arial"/>
          <w:color w:val="1A1A1A"/>
          <w:sz w:val="22"/>
          <w:szCs w:val="22"/>
        </w:rPr>
        <w:t xml:space="preserve">Complete audit trail and data lineage for all financial transactions.</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9. Competitive Advantage</w:t>
      </w:r>
    </w:p>
    <w:p>
      <w:pPr>
        <w:pStyle w:val="Heading2"/>
        <w:spacing w:after="100" w:before="280"/>
      </w:pPr>
      <w:r>
        <w:rPr>
          <w:rFonts w:ascii="Arial" w:cs="Arial" w:eastAsia="Arial" w:hAnsi="Arial"/>
          <w:b/>
          <w:bCs/>
          <w:color w:val="2E75B6"/>
          <w:sz w:val="24"/>
          <w:szCs w:val="24"/>
        </w:rPr>
        <w:t xml:space="preserve">9.1 Automation Depth</w:t>
      </w:r>
    </w:p>
    <w:p>
      <w:pPr>
        <w:spacing w:after="80" w:before="80" w:line="320"/>
        <w:jc w:val="both"/>
      </w:pPr>
      <w:r>
        <w:rPr>
          <w:rFonts w:ascii="Arial" w:cs="Arial" w:eastAsia="Arial" w:hAnsi="Arial"/>
          <w:color w:val="1A1A1A"/>
          <w:sz w:val="22"/>
          <w:szCs w:val="22"/>
        </w:rPr>
        <w:t xml:space="preserve">Unlike traditional software that automates data storage and report generation, CNM360 LLP automates the entire financial workflow—from document ingestion to entry posting, compliance check, and insight generation. This end-to-end automation significantly reduces the need for human intervention.</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9.2 Multi-Functional Integrated Platform</w:t>
      </w:r>
    </w:p>
    <w:p>
      <w:pPr>
        <w:spacing w:after="80" w:before="80" w:line="320"/>
        <w:jc w:val="both"/>
      </w:pPr>
      <w:r>
        <w:rPr>
          <w:rFonts w:ascii="Arial" w:cs="Arial" w:eastAsia="Arial" w:hAnsi="Arial"/>
          <w:color w:val="1A1A1A"/>
          <w:sz w:val="22"/>
          <w:szCs w:val="22"/>
        </w:rPr>
        <w:t xml:space="preserve">Competing solutions are fragmented—one tool for payroll, another for GST, another for accounting. CNM360 LLP's unified platform eliminates the need for multiple software subscriptions, data reconciliation across tools, and associated integration costs.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9.3 AI-Driven Insights vs. Traditional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1"/>
                <w:szCs w:val="21"/>
              </w:rPr>
              <w:t xml:space="preserve">Traditional Tools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Provide historical financial reports. Reactive and backward-looking.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F3864"/>
                <w:sz w:val="21"/>
                <w:szCs w:val="21"/>
              </w:rPr>
              <w:t xml:space="preserve">CNM360 LLP</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A1A1A"/>
                <w:sz w:val="21"/>
                <w:szCs w:val="21"/>
              </w:rPr>
              <w:t xml:space="preserve">Delivers real-time dashboards, AI-generated insights, compliance alerts, cash flow forecasts, and anomaly detection. Proactive and forward-looking.</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9.4 Housing Society Specialisation</w:t>
      </w:r>
    </w:p>
    <w:p>
      <w:pPr>
        <w:spacing w:after="80" w:before="80" w:line="320"/>
        <w:jc w:val="both"/>
      </w:pPr>
      <w:r>
        <w:rPr>
          <w:rFonts w:ascii="Arial" w:cs="Arial" w:eastAsia="Arial" w:hAnsi="Arial"/>
          <w:color w:val="1A1A1A"/>
          <w:sz w:val="22"/>
          <w:szCs w:val="22"/>
        </w:rPr>
        <w:t xml:space="preserve">The dedicated society accounting module is a unique differentiator in the Indian market, where this segment is significantly underserved. Features such as maintenance billing automation, member communication, sinking fund projections, and GST compliance for societies are unavailable in most competing platforms.</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10. Traction and Future Roadmap</w:t>
      </w:r>
    </w:p>
    <w:p>
      <w:pPr>
        <w:pStyle w:val="Heading2"/>
        <w:spacing w:after="100" w:before="280"/>
      </w:pPr>
      <w:r>
        <w:rPr>
          <w:rFonts w:ascii="Arial" w:cs="Arial" w:eastAsia="Arial" w:hAnsi="Arial"/>
          <w:b/>
          <w:bCs/>
          <w:color w:val="2E75B6"/>
          <w:sz w:val="24"/>
          <w:szCs w:val="24"/>
        </w:rPr>
        <w:t xml:space="preserve">10.1 Current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2E75B6" w:sz="16"/>
              <w:bottom w:val="single" w:color="C9A84C" w:sz="4"/>
              <w:right w:val="single" w:color="CCCCCC" w:sz="1"/>
            </w:tcBorders>
            <w:shd w:fill="D6E4F0" w:val="clear"/>
            <w:tcMar>
              <w:top w:type="dxa" w:w="120"/>
              <w:left w:type="dxa" w:w="200"/>
              <w:bottom w:type="dxa" w:w="120"/>
              <w:right w:type="dxa" w:w="120"/>
            </w:tcMar>
          </w:tcPr>
          <w:p>
            <w:pPr>
              <w:spacing w:line="300"/>
            </w:pPr>
            <w:r>
              <w:rPr>
                <w:rFonts w:ascii="Arial" w:cs="Arial" w:eastAsia="Arial" w:hAnsi="Arial"/>
                <w:i/>
                <w:iCs/>
                <w:color w:val="1F3864"/>
                <w:sz w:val="22"/>
                <w:szCs w:val="22"/>
              </w:rPr>
              <w:t xml:space="preserve">CNM360 LLP is currently at the product development and early validation stage. Core modules—accounting automation and document extraction—are in active development, with prototype demonstrations conducted with select SME clients and a residential housing society in Pune.</w:t>
            </w:r>
          </w:p>
        </w:tc>
      </w:tr>
    </w:tbl>
    <w:p>
      <w:pPr>
        <w:spacing w:after="120" w:before="120"/>
      </w:pPr>
      <w:r>
        <w:t xml:space="preserve"/>
      </w:r>
    </w:p>
    <w:p>
      <w:pPr>
        <w:pStyle w:val="Heading2"/>
        <w:spacing w:after="100" w:before="280"/>
      </w:pPr>
      <w:r>
        <w:rPr>
          <w:rFonts w:ascii="Arial" w:cs="Arial" w:eastAsia="Arial" w:hAnsi="Arial"/>
          <w:b/>
          <w:bCs/>
          <w:color w:val="2E75B6"/>
          <w:sz w:val="24"/>
          <w:szCs w:val="24"/>
        </w:rPr>
        <w:t xml:space="preserve">10.2 Planned Features and Expansion</w:t>
      </w:r>
    </w:p>
    <w:p>
      <w:pPr>
        <w:pStyle w:val="ListParagraph"/>
        <w:numPr>
          <w:ilvl w:val="0"/>
          <w:numId w:val="2"/>
        </w:numPr>
        <w:spacing w:after="60" w:before="60" w:line="300"/>
      </w:pPr>
      <w:r>
        <w:rPr>
          <w:rFonts w:ascii="Arial" w:cs="Arial" w:eastAsia="Arial" w:hAnsi="Arial"/>
          <w:b/>
          <w:bCs/>
          <w:color w:val="2E75B6"/>
          <w:sz w:val="22"/>
          <w:szCs w:val="22"/>
        </w:rPr>
        <w:t xml:space="preserve">Complete development and beta testing of accounting automation, payroll, and society modules. Onboard 50 pilot clients.: </w:t>
      </w:r>
      <w:r>
        <w:rPr>
          <w:rFonts w:ascii="Arial" w:cs="Arial" w:eastAsia="Arial" w:hAnsi="Arial"/>
          <w:color w:val="1A1A1A"/>
          <w:sz w:val="22"/>
          <w:szCs w:val="22"/>
        </w:rPr>
        <w:t xml:space="preserve">Phase 1 (0–12 months)</w:t>
      </w:r>
    </w:p>
    <w:p>
      <w:pPr>
        <w:pStyle w:val="ListParagraph"/>
        <w:numPr>
          <w:ilvl w:val="0"/>
          <w:numId w:val="2"/>
        </w:numPr>
        <w:spacing w:after="60" w:before="60" w:line="300"/>
      </w:pPr>
      <w:r>
        <w:rPr>
          <w:rFonts w:ascii="Arial" w:cs="Arial" w:eastAsia="Arial" w:hAnsi="Arial"/>
          <w:b/>
          <w:bCs/>
          <w:color w:val="2E75B6"/>
          <w:sz w:val="22"/>
          <w:szCs w:val="22"/>
        </w:rPr>
        <w:t xml:space="preserve">Full product launch, mobile application release, Tally and Zoho integration, and expansion to 500+ clients across Maharashtra.: </w:t>
      </w:r>
      <w:r>
        <w:rPr>
          <w:rFonts w:ascii="Arial" w:cs="Arial" w:eastAsia="Arial" w:hAnsi="Arial"/>
          <w:color w:val="1A1A1A"/>
          <w:sz w:val="22"/>
          <w:szCs w:val="22"/>
        </w:rPr>
        <w:t xml:space="preserve">Phase 2 (12–24 months)</w:t>
      </w:r>
    </w:p>
    <w:p>
      <w:pPr>
        <w:pStyle w:val="ListParagraph"/>
        <w:numPr>
          <w:ilvl w:val="0"/>
          <w:numId w:val="2"/>
        </w:numPr>
        <w:spacing w:after="60" w:before="60" w:line="300"/>
      </w:pPr>
      <w:r>
        <w:rPr>
          <w:rFonts w:ascii="Arial" w:cs="Arial" w:eastAsia="Arial" w:hAnsi="Arial"/>
          <w:b/>
          <w:bCs/>
          <w:color w:val="2E75B6"/>
          <w:sz w:val="22"/>
          <w:szCs w:val="22"/>
        </w:rPr>
        <w:t xml:space="preserve">Pan-India rollout, enterprise tier launch, international market research, and Series A fundraise.: </w:t>
      </w:r>
      <w:r>
        <w:rPr>
          <w:rFonts w:ascii="Arial" w:cs="Arial" w:eastAsia="Arial" w:hAnsi="Arial"/>
          <w:color w:val="1A1A1A"/>
          <w:sz w:val="22"/>
          <w:szCs w:val="22"/>
        </w:rPr>
        <w:t xml:space="preserve">Phase 3 (24–36 months)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10.3 Go-to-Market Strategy</w:t>
      </w:r>
    </w:p>
    <w:p>
      <w:pPr>
        <w:pStyle w:val="ListParagraph"/>
        <w:numPr>
          <w:ilvl w:val="0"/>
          <w:numId w:val="2"/>
        </w:numPr>
        <w:spacing w:after="60" w:before="60" w:line="300"/>
      </w:pPr>
      <w:r>
        <w:rPr>
          <w:rFonts w:ascii="Arial" w:cs="Arial" w:eastAsia="Arial" w:hAnsi="Arial"/>
          <w:color w:val="1A1A1A"/>
          <w:sz w:val="22"/>
          <w:szCs w:val="22"/>
        </w:rPr>
        <w:t xml:space="preserve">Direct sales to SME clusters and CA professional networks.</w:t>
      </w:r>
    </w:p>
    <w:p>
      <w:pPr>
        <w:pStyle w:val="ListParagraph"/>
        <w:numPr>
          <w:ilvl w:val="0"/>
          <w:numId w:val="2"/>
        </w:numPr>
        <w:spacing w:after="60" w:before="60" w:line="300"/>
      </w:pPr>
      <w:r>
        <w:rPr>
          <w:rFonts w:ascii="Arial" w:cs="Arial" w:eastAsia="Arial" w:hAnsi="Arial"/>
          <w:color w:val="1A1A1A"/>
          <w:sz w:val="22"/>
          <w:szCs w:val="22"/>
        </w:rPr>
        <w:t xml:space="preserve">Partnerships with ICAI chapters, housing society federations, and MSME associations.</w:t>
      </w:r>
    </w:p>
    <w:p>
      <w:pPr>
        <w:pStyle w:val="ListParagraph"/>
        <w:numPr>
          <w:ilvl w:val="0"/>
          <w:numId w:val="2"/>
        </w:numPr>
        <w:spacing w:after="60" w:before="60" w:line="300"/>
      </w:pPr>
      <w:r>
        <w:rPr>
          <w:rFonts w:ascii="Arial" w:cs="Arial" w:eastAsia="Arial" w:hAnsi="Arial"/>
          <w:color w:val="1A1A1A"/>
          <w:sz w:val="22"/>
          <w:szCs w:val="22"/>
        </w:rPr>
        <w:t xml:space="preserve">Digital marketing targeting finance professionals, startup founders, and society committee members.</w:t>
      </w:r>
    </w:p>
    <w:p>
      <w:pPr>
        <w:pStyle w:val="ListParagraph"/>
        <w:numPr>
          <w:ilvl w:val="0"/>
          <w:numId w:val="2"/>
        </w:numPr>
        <w:spacing w:after="60" w:before="60" w:line="300"/>
      </w:pPr>
      <w:r>
        <w:rPr>
          <w:rFonts w:ascii="Arial" w:cs="Arial" w:eastAsia="Arial" w:hAnsi="Arial"/>
          <w:color w:val="1A1A1A"/>
          <w:sz w:val="22"/>
          <w:szCs w:val="22"/>
        </w:rPr>
        <w:t xml:space="preserve">Referral and affiliate programmes for CA firms to onboard their client base onto the platform.</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11. Impact</w:t>
      </w:r>
    </w:p>
    <w:p>
      <w:pPr>
        <w:pStyle w:val="Heading2"/>
        <w:spacing w:after="100" w:before="280"/>
      </w:pPr>
      <w:r>
        <w:rPr>
          <w:rFonts w:ascii="Arial" w:cs="Arial" w:eastAsia="Arial" w:hAnsi="Arial"/>
          <w:b/>
          <w:bCs/>
          <w:color w:val="2E75B6"/>
          <w:sz w:val="24"/>
          <w:szCs w:val="24"/>
        </w:rPr>
        <w:t xml:space="preserve">11.1 Time and Cost Savings</w:t>
      </w:r>
    </w:p>
    <w:p>
      <w:pPr>
        <w:pStyle w:val="ListParagraph"/>
        <w:numPr>
          <w:ilvl w:val="0"/>
          <w:numId w:val="2"/>
        </w:numPr>
        <w:spacing w:after="60" w:before="60" w:line="300"/>
      </w:pPr>
      <w:r>
        <w:rPr>
          <w:rFonts w:ascii="Arial" w:cs="Arial" w:eastAsia="Arial" w:hAnsi="Arial"/>
          <w:color w:val="1A1A1A"/>
          <w:sz w:val="22"/>
          <w:szCs w:val="22"/>
        </w:rPr>
        <w:t xml:space="preserve">Platform users are expected to reduce time spent on manual accounting and payroll tasks by 70–80%, freeing resources for strategic business activities.</w:t>
      </w:r>
    </w:p>
    <w:p>
      <w:pPr>
        <w:pStyle w:val="ListParagraph"/>
        <w:numPr>
          <w:ilvl w:val="0"/>
          <w:numId w:val="2"/>
        </w:numPr>
        <w:spacing w:after="60" w:before="60" w:line="300"/>
      </w:pPr>
      <w:r>
        <w:rPr>
          <w:rFonts w:ascii="Arial" w:cs="Arial" w:eastAsia="Arial" w:hAnsi="Arial"/>
          <w:color w:val="1A1A1A"/>
          <w:sz w:val="22"/>
          <w:szCs w:val="22"/>
        </w:rPr>
        <w:t xml:space="preserve">SMEs stand to save significantly on bookkeeping and compliance management costs by consolidating multiple tools into one subscription.</w:t>
      </w:r>
    </w:p>
    <w:p>
      <w:pPr>
        <w:pStyle w:val="ListParagraph"/>
        <w:numPr>
          <w:ilvl w:val="0"/>
          <w:numId w:val="2"/>
        </w:numPr>
        <w:spacing w:after="60" w:before="60" w:line="300"/>
      </w:pPr>
      <w:r>
        <w:rPr>
          <w:rFonts w:ascii="Arial" w:cs="Arial" w:eastAsia="Arial" w:hAnsi="Arial"/>
          <w:color w:val="1A1A1A"/>
          <w:sz w:val="22"/>
          <w:szCs w:val="22"/>
        </w:rPr>
        <w:t xml:space="preserve">Housing societies can reduce collection delays, eliminate manual billing errors, and achieve audit readiness at a fraction of current costs.</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11.2 Improved Compliance and Error Reduction</w:t>
      </w:r>
    </w:p>
    <w:p>
      <w:pPr>
        <w:pStyle w:val="ListParagraph"/>
        <w:numPr>
          <w:ilvl w:val="0"/>
          <w:numId w:val="2"/>
        </w:numPr>
        <w:spacing w:after="60" w:before="60" w:line="300"/>
      </w:pPr>
      <w:r>
        <w:rPr>
          <w:rFonts w:ascii="Arial" w:cs="Arial" w:eastAsia="Arial" w:hAnsi="Arial"/>
          <w:color w:val="1A1A1A"/>
          <w:sz w:val="22"/>
          <w:szCs w:val="22"/>
        </w:rPr>
        <w:t xml:space="preserve">Automated compliance calendars and proactive alerts will significantly reduce the risk of GST, TDS, PF, and ESIC defaults.</w:t>
      </w:r>
    </w:p>
    <w:p>
      <w:pPr>
        <w:pStyle w:val="ListParagraph"/>
        <w:numPr>
          <w:ilvl w:val="0"/>
          <w:numId w:val="2"/>
        </w:numPr>
        <w:spacing w:after="60" w:before="60" w:line="300"/>
      </w:pPr>
      <w:r>
        <w:rPr>
          <w:rFonts w:ascii="Arial" w:cs="Arial" w:eastAsia="Arial" w:hAnsi="Arial"/>
          <w:color w:val="1A1A1A"/>
          <w:sz w:val="22"/>
          <w:szCs w:val="22"/>
        </w:rPr>
        <w:t xml:space="preserve">AI-driven anomaly detection will identify data entry errors and potential fraud before financial statements are finalised.</w:t>
      </w:r>
    </w:p>
    <w:p>
      <w:pPr>
        <w:pStyle w:val="ListParagraph"/>
        <w:numPr>
          <w:ilvl w:val="0"/>
          <w:numId w:val="2"/>
        </w:numPr>
        <w:spacing w:after="60" w:before="60" w:line="300"/>
      </w:pPr>
      <w:r>
        <w:rPr>
          <w:rFonts w:ascii="Arial" w:cs="Arial" w:eastAsia="Arial" w:hAnsi="Arial"/>
          <w:color w:val="1A1A1A"/>
          <w:sz w:val="22"/>
          <w:szCs w:val="22"/>
        </w:rPr>
        <w:t xml:space="preserve">Standardised digital audit trails will make statutory audits faster, more accurate, and less disruptive.</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11.3 Digital Transformation for SMEs and Societies</w:t>
      </w:r>
    </w:p>
    <w:p>
      <w:pPr>
        <w:spacing w:after="80" w:before="80" w:line="320"/>
        <w:jc w:val="both"/>
      </w:pPr>
      <w:r>
        <w:rPr>
          <w:rFonts w:ascii="Arial" w:cs="Arial" w:eastAsia="Arial" w:hAnsi="Arial"/>
          <w:color w:val="1A1A1A"/>
          <w:sz w:val="22"/>
          <w:szCs w:val="22"/>
        </w:rPr>
        <w:t xml:space="preserve">CNM360 LLP contributes to the broader national goal of financial formalisation and digital inclusion. By making enterprise-grade financial automation accessible to micro-businesses, SMEs, and housing societies at affordable SaaS pricing, the platform advances India's vision of a digitally empowered economy.</w:t>
      </w:r>
    </w:p>
    <w:p>
      <w:pPr>
        <w:spacing w:after="240" w:before="240"/>
      </w:pPr>
      <w:r>
        <w:t xml:space="preserve"/>
      </w:r>
    </w:p>
    <w:p>
      <w:r>
        <w:br w:type="page"/>
      </w:r>
    </w:p>
    <w:p>
      <w:pPr>
        <w:pStyle w:val="Heading1"/>
        <w:pBdr>
          <w:bottom w:val="single" w:color="C9A84C" w:sz="8" w:space="4"/>
        </w:pBdr>
        <w:spacing w:after="160" w:before="360"/>
      </w:pPr>
      <w:r>
        <w:rPr>
          <w:rFonts w:ascii="Arial" w:cs="Arial" w:eastAsia="Arial" w:hAnsi="Arial"/>
          <w:b/>
          <w:bCs/>
          <w:color w:val="1F3864"/>
          <w:sz w:val="28"/>
          <w:szCs w:val="28"/>
        </w:rPr>
        <w:t xml:space="preserve">12. Why Startup India Recognition</w:t>
      </w:r>
    </w:p>
    <w:p>
      <w:pPr>
        <w:pStyle w:val="Heading2"/>
        <w:spacing w:after="100" w:before="280"/>
      </w:pPr>
      <w:r>
        <w:rPr>
          <w:rFonts w:ascii="Arial" w:cs="Arial" w:eastAsia="Arial" w:hAnsi="Arial"/>
          <w:b/>
          <w:bCs/>
          <w:color w:val="2E75B6"/>
          <w:sz w:val="24"/>
          <w:szCs w:val="24"/>
        </w:rPr>
        <w:t xml:space="preserve">12.1 Innovation-Driven Solution</w:t>
      </w:r>
    </w:p>
    <w:p>
      <w:pPr>
        <w:spacing w:after="80" w:before="80" w:line="320"/>
        <w:jc w:val="both"/>
      </w:pPr>
      <w:r>
        <w:rPr>
          <w:rFonts w:ascii="Arial" w:cs="Arial" w:eastAsia="Arial" w:hAnsi="Arial"/>
          <w:color w:val="1A1A1A"/>
          <w:sz w:val="22"/>
          <w:szCs w:val="22"/>
        </w:rPr>
        <w:t xml:space="preserve">CNM360 LLP qualifies as an innovative startup under the DPIIT definition by virtue of its use of proprietary Artificial Intelligence, Machine Learning, and OCR technologies to solve a well-established and large-scale problem in the financial services sector. The platform is not a replication of existing products but represents a novel, multi-functional approach to financial automation that does not currently exist in the Indian market in its integrated form.</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12.2 Potential for Job Creation</w:t>
      </w:r>
    </w:p>
    <w:p>
      <w:pPr>
        <w:pStyle w:val="ListParagraph"/>
        <w:numPr>
          <w:ilvl w:val="0"/>
          <w:numId w:val="2"/>
        </w:numPr>
        <w:spacing w:after="60" w:before="60" w:line="300"/>
      </w:pPr>
      <w:r>
        <w:rPr>
          <w:rFonts w:ascii="Arial" w:cs="Arial" w:eastAsia="Arial" w:hAnsi="Arial"/>
          <w:color w:val="1A1A1A"/>
          <w:sz w:val="22"/>
          <w:szCs w:val="22"/>
        </w:rPr>
        <w:t xml:space="preserve">Direct employment in technology development, data science, product management, customer success, and sales functions.</w:t>
      </w:r>
    </w:p>
    <w:p>
      <w:pPr>
        <w:pStyle w:val="ListParagraph"/>
        <w:numPr>
          <w:ilvl w:val="0"/>
          <w:numId w:val="2"/>
        </w:numPr>
        <w:spacing w:after="60" w:before="60" w:line="300"/>
      </w:pPr>
      <w:r>
        <w:rPr>
          <w:rFonts w:ascii="Arial" w:cs="Arial" w:eastAsia="Arial" w:hAnsi="Arial"/>
          <w:color w:val="1A1A1A"/>
          <w:sz w:val="22"/>
          <w:szCs w:val="22"/>
        </w:rPr>
        <w:t xml:space="preserve">Indirect employment through the CA and accounting professional ecosystem enabled by the platform's tools.</w:t>
      </w:r>
    </w:p>
    <w:p>
      <w:pPr>
        <w:pStyle w:val="ListParagraph"/>
        <w:numPr>
          <w:ilvl w:val="0"/>
          <w:numId w:val="2"/>
        </w:numPr>
        <w:spacing w:after="60" w:before="60" w:line="300"/>
      </w:pPr>
      <w:r>
        <w:rPr>
          <w:rFonts w:ascii="Arial" w:cs="Arial" w:eastAsia="Arial" w:hAnsi="Arial"/>
          <w:color w:val="1A1A1A"/>
          <w:sz w:val="22"/>
          <w:szCs w:val="22"/>
        </w:rPr>
        <w:t xml:space="preserve">Contribution to upskilling of accounting professionals in AI-assisted financial management.</w:t>
      </w:r>
    </w:p>
    <w:p>
      <w:pPr>
        <w:spacing w:after="80" w:before="80"/>
      </w:pPr>
      <w:r>
        <w:t xml:space="preserve"/>
      </w:r>
    </w:p>
    <w:p>
      <w:pPr>
        <w:pStyle w:val="Heading2"/>
        <w:spacing w:after="100" w:before="280"/>
      </w:pPr>
      <w:r>
        <w:rPr>
          <w:rFonts w:ascii="Arial" w:cs="Arial" w:eastAsia="Arial" w:hAnsi="Arial"/>
          <w:b/>
          <w:bCs/>
          <w:color w:val="2E75B6"/>
          <w:sz w:val="24"/>
          <w:szCs w:val="24"/>
        </w:rPr>
        <w:t xml:space="preserve">12.3 Contribution to India's Digital Economy</w:t>
      </w:r>
    </w:p>
    <w:p>
      <w:pPr>
        <w:pStyle w:val="ListParagraph"/>
        <w:numPr>
          <w:ilvl w:val="0"/>
          <w:numId w:val="2"/>
        </w:numPr>
        <w:spacing w:after="60" w:before="60" w:line="300"/>
      </w:pPr>
      <w:r>
        <w:rPr>
          <w:rFonts w:ascii="Arial" w:cs="Arial" w:eastAsia="Arial" w:hAnsi="Arial"/>
          <w:color w:val="1A1A1A"/>
          <w:sz w:val="22"/>
          <w:szCs w:val="22"/>
        </w:rPr>
        <w:t xml:space="preserve">Facilitates digital formalisation of SME financial records, supporting government initiatives such as Digital India and Atmanirbhar Bharat.</w:t>
      </w:r>
    </w:p>
    <w:p>
      <w:pPr>
        <w:pStyle w:val="ListParagraph"/>
        <w:numPr>
          <w:ilvl w:val="0"/>
          <w:numId w:val="2"/>
        </w:numPr>
        <w:spacing w:after="60" w:before="60" w:line="300"/>
      </w:pPr>
      <w:r>
        <w:rPr>
          <w:rFonts w:ascii="Arial" w:cs="Arial" w:eastAsia="Arial" w:hAnsi="Arial"/>
          <w:color w:val="1A1A1A"/>
          <w:sz w:val="22"/>
          <w:szCs w:val="22"/>
        </w:rPr>
        <w:t xml:space="preserve">Reduces the compliance burden on small businesses and cooperatives, enabling them to focus on productive growth.</w:t>
      </w:r>
    </w:p>
    <w:p>
      <w:pPr>
        <w:pStyle w:val="ListParagraph"/>
        <w:numPr>
          <w:ilvl w:val="0"/>
          <w:numId w:val="2"/>
        </w:numPr>
        <w:spacing w:after="60" w:before="60" w:line="300"/>
      </w:pPr>
      <w:r>
        <w:rPr>
          <w:rFonts w:ascii="Arial" w:cs="Arial" w:eastAsia="Arial" w:hAnsi="Arial"/>
          <w:color w:val="1A1A1A"/>
          <w:sz w:val="22"/>
          <w:szCs w:val="22"/>
        </w:rPr>
        <w:t xml:space="preserve">Generates structured, auditable financial data that supports access to formal credit, insurance, and government schemes for underserved business segments.</w:t>
      </w:r>
    </w:p>
    <w:p>
      <w:pPr>
        <w:pStyle w:val="ListParagraph"/>
        <w:numPr>
          <w:ilvl w:val="0"/>
          <w:numId w:val="2"/>
        </w:numPr>
        <w:spacing w:after="60" w:before="60" w:line="300"/>
      </w:pPr>
      <w:r>
        <w:rPr>
          <w:rFonts w:ascii="Arial" w:cs="Arial" w:eastAsia="Arial" w:hAnsi="Arial"/>
          <w:color w:val="1A1A1A"/>
          <w:sz w:val="22"/>
          <w:szCs w:val="22"/>
        </w:rPr>
        <w:t xml:space="preserve">Strengthens India's SaaS export potential by developing a globally scalable platform rooted in Indian statutory expertise.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2E75B6" w:sz="16"/>
              <w:bottom w:val="single" w:color="C9A84C" w:sz="4"/>
              <w:right w:val="single" w:color="CCCCCC" w:sz="1"/>
            </w:tcBorders>
            <w:shd w:fill="D6E4F0" w:val="clear"/>
            <w:tcMar>
              <w:top w:type="dxa" w:w="120"/>
              <w:left w:type="dxa" w:w="200"/>
              <w:bottom w:type="dxa" w:w="120"/>
              <w:right w:type="dxa" w:w="120"/>
            </w:tcMar>
          </w:tcPr>
          <w:p>
            <w:pPr>
              <w:spacing w:line="300"/>
            </w:pPr>
            <w:r>
              <w:rPr>
                <w:rFonts w:ascii="Arial" w:cs="Arial" w:eastAsia="Arial" w:hAnsi="Arial"/>
                <w:i/>
                <w:iCs/>
                <w:color w:val="1F3864"/>
                <w:sz w:val="22"/>
                <w:szCs w:val="22"/>
              </w:rPr>
              <w:t xml:space="preserve">CNM360 LLP embodies the spirit of the Startup India initiative—innovation-driven, scalable, socially impactful, and built to solve a real problem for millions of Indian businesses and housing societies. Recognition under Startup India will provide the platform and its team the institutional support, tax benefits, and credibility needed to scale rapidly and contribute meaningfully to India's digital economy.</w:t>
            </w:r>
          </w:p>
        </w:tc>
      </w:tr>
    </w:tbl>
    <w:p>
      <w:pP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84C" w:sz="16"/>
              <w:left w:val="single" w:color="CCCCCC" w:sz="4"/>
              <w:bottom w:val="single" w:color="CCCCCC" w:sz="4"/>
              <w:right w:val="single" w:color="CCCCCC" w:sz="4"/>
            </w:tcBorders>
            <w:shd w:fill="1F3864" w:val="clear"/>
            <w:tcMar>
              <w:top w:type="dxa" w:w="300"/>
              <w:left w:type="dxa" w:w="400"/>
              <w:bottom w:type="dxa" w:w="300"/>
              <w:right w:type="dxa" w:w="400"/>
            </w:tcMar>
          </w:tcPr>
          <w:p>
            <w:pPr>
              <w:spacing w:after="60"/>
              <w:jc w:val="center"/>
            </w:pPr>
            <w:r>
              <w:rPr>
                <w:rFonts w:ascii="Arial" w:cs="Arial" w:eastAsia="Arial" w:hAnsi="Arial"/>
                <w:b/>
                <w:bCs/>
                <w:color w:val="FFFFFF"/>
                <w:sz w:val="32"/>
                <w:szCs w:val="32"/>
              </w:rPr>
              <w:t xml:space="preserve">CNM360 LLP</w:t>
            </w:r>
          </w:p>
          <w:p>
            <w:pPr>
              <w:spacing w:after="60"/>
              <w:jc w:val="center"/>
            </w:pPr>
            <w:r>
              <w:rPr>
                <w:rFonts w:ascii="Arial" w:cs="Arial" w:eastAsia="Arial" w:hAnsi="Arial"/>
                <w:i/>
                <w:iCs/>
                <w:color w:val="C9A84C"/>
                <w:sz w:val="21"/>
                <w:szCs w:val="21"/>
              </w:rPr>
              <w:t xml:space="preserve">Building India's Most Trusted AI-Powered Financial Automation Platform</w:t>
            </w:r>
          </w:p>
          <w:p>
            <w:pPr>
              <w:jc w:val="center"/>
            </w:pPr>
            <w:r>
              <w:rPr>
                <w:rFonts w:ascii="Arial" w:cs="Arial" w:eastAsia="Arial" w:hAnsi="Arial"/>
                <w:color w:val="BBBBBB"/>
                <w:sz w:val="18"/>
                <w:szCs w:val="18"/>
              </w:rPr>
              <w:t xml:space="preserve">Document prepared for DPIIT Startup India Recognition Application | April 2025</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pPr>
    <w:r>
      <w:rPr>
        <w:rFonts w:ascii="Arial" w:cs="Arial" w:eastAsia="Arial" w:hAnsi="Arial"/>
        <w:color w:val="444444"/>
        <w:sz w:val="18"/>
        <w:szCs w:val="18"/>
      </w:rPr>
      <w:t xml:space="preserve">Confidential | CNM360 LLP © 2025</w:t>
    </w:r>
    <w:r>
      <w:rPr>
        <w:rFonts w:ascii="Arial" w:cs="Arial" w:eastAsia="Arial" w:hAnsi="Arial"/>
        <w:sz w:val="18"/>
        <w:szCs w:val="18"/>
      </w:rPr>
      <w:t xml:space="preserve">	</w:t>
    </w:r>
    <w:r>
      <w:rPr>
        <w:rFonts w:ascii="Arial" w:cs="Arial" w:eastAsia="Arial" w:hAnsi="Arial"/>
        <w:color w:val="444444"/>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3864"/>
        <w:sz w:val="20"/>
        <w:szCs w:val="20"/>
      </w:rPr>
      <w:t xml:space="preserve">CNM360 LLP</w:t>
    </w:r>
    <w:r>
      <w:rPr>
        <w:rFonts w:ascii="Arial" w:cs="Arial" w:eastAsia="Arial" w:hAnsi="Arial"/>
        <w:sz w:val="20"/>
        <w:szCs w:val="20"/>
      </w:rPr>
      <w:t xml:space="preserve">	</w:t>
    </w:r>
    <w:r>
      <w:rPr>
        <w:rFonts w:ascii="Arial" w:cs="Arial" w:eastAsia="Arial" w:hAnsi="Arial"/>
        <w:i/>
        <w:iCs/>
        <w:color w:val="444444"/>
        <w:sz w:val="18"/>
        <w:szCs w:val="18"/>
      </w:rPr>
      <w:t xml:space="preserve">Business Write-Up | Startup India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2026-04-08T12:28:35.217Z</dcterms:created>
  <dcterms:modified xsi:type="dcterms:W3CDTF">2026-04-08T12:28:35.217Z</dcterms:modified>
</cp:coreProperties>
</file>

<file path=docProps/custom.xml><?xml version="1.0" encoding="utf-8"?>
<Properties xmlns="http://schemas.openxmlformats.org/officeDocument/2006/custom-properties" xmlns:vt="http://schemas.openxmlformats.org/officeDocument/2006/docPropsVTypes"/>
</file>