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EF3B39" w14:textId="187C305F" w:rsidR="00524F86" w:rsidRDefault="00524F86"/>
    <w:p w14:paraId="3FBFCB4E" w14:textId="6F5867EE" w:rsidR="00524F86" w:rsidRDefault="004C61B5">
      <w:r>
        <w:rPr>
          <w:noProof/>
        </w:rPr>
        <w:drawing>
          <wp:anchor distT="0" distB="0" distL="114300" distR="114300" simplePos="0" relativeHeight="251658240" behindDoc="0" locked="0" layoutInCell="1" allowOverlap="1" wp14:anchorId="505DEB86" wp14:editId="3573FBF2">
            <wp:simplePos x="0" y="0"/>
            <wp:positionH relativeFrom="page">
              <wp:posOffset>2432050</wp:posOffset>
            </wp:positionH>
            <wp:positionV relativeFrom="paragraph">
              <wp:posOffset>114300</wp:posOffset>
            </wp:positionV>
            <wp:extent cx="3276600" cy="1400175"/>
            <wp:effectExtent l="0" t="0" r="0" b="9525"/>
            <wp:wrapNone/>
            <wp:docPr id="51995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55110" name="Picture 519955110"/>
                    <pic:cNvPicPr/>
                  </pic:nvPicPr>
                  <pic:blipFill>
                    <a:blip r:embed="rId7">
                      <a:extLst>
                        <a:ext uri="{28A0092B-C50C-407E-A947-70E740481C1C}">
                          <a14:useLocalDpi xmlns:a14="http://schemas.microsoft.com/office/drawing/2010/main" val="0"/>
                        </a:ext>
                      </a:extLst>
                    </a:blip>
                    <a:stretch>
                      <a:fillRect/>
                    </a:stretch>
                  </pic:blipFill>
                  <pic:spPr>
                    <a:xfrm>
                      <a:off x="0" y="0"/>
                      <a:ext cx="3276600" cy="1400175"/>
                    </a:xfrm>
                    <a:prstGeom prst="rect">
                      <a:avLst/>
                    </a:prstGeom>
                  </pic:spPr>
                </pic:pic>
              </a:graphicData>
            </a:graphic>
            <wp14:sizeRelH relativeFrom="page">
              <wp14:pctWidth>0</wp14:pctWidth>
            </wp14:sizeRelH>
            <wp14:sizeRelV relativeFrom="page">
              <wp14:pctHeight>0</wp14:pctHeight>
            </wp14:sizeRelV>
          </wp:anchor>
        </w:drawing>
      </w:r>
    </w:p>
    <w:p w14:paraId="32A6D74A" w14:textId="77777777" w:rsidR="004C61B5" w:rsidRDefault="004C61B5"/>
    <w:p w14:paraId="5BD582A3" w14:textId="0A6F0E35" w:rsidR="004C61B5" w:rsidRDefault="004C61B5"/>
    <w:p w14:paraId="39988992" w14:textId="77777777" w:rsidR="004C61B5" w:rsidRDefault="004C61B5"/>
    <w:p w14:paraId="28654E09" w14:textId="77777777" w:rsidR="004C61B5" w:rsidRDefault="004C61B5"/>
    <w:p w14:paraId="3E730E47" w14:textId="77777777" w:rsidR="004C61B5" w:rsidRDefault="004C61B5"/>
    <w:p w14:paraId="5807A0A1" w14:textId="77777777" w:rsidR="004C61B5" w:rsidRDefault="004C61B5"/>
    <w:p w14:paraId="168F79DC" w14:textId="59E11B7A" w:rsidR="004C61B5" w:rsidRDefault="004C61B5"/>
    <w:p w14:paraId="3BE741C2" w14:textId="77777777" w:rsidR="00524F86" w:rsidRDefault="00524F86"/>
    <w:p w14:paraId="58B304DE" w14:textId="77777777" w:rsidR="004C61B5" w:rsidRDefault="004C61B5">
      <w:pPr>
        <w:spacing w:after="60"/>
        <w:jc w:val="center"/>
        <w:rPr>
          <w:b/>
          <w:bCs/>
          <w:caps/>
          <w:color w:val="1A1A1A"/>
          <w:sz w:val="32"/>
          <w:szCs w:val="32"/>
        </w:rPr>
      </w:pPr>
    </w:p>
    <w:p w14:paraId="1ED38BB4" w14:textId="77777777" w:rsidR="004C61B5" w:rsidRDefault="004C61B5">
      <w:pPr>
        <w:spacing w:after="60"/>
        <w:jc w:val="center"/>
        <w:rPr>
          <w:b/>
          <w:bCs/>
          <w:caps/>
          <w:color w:val="1A1A1A"/>
          <w:sz w:val="32"/>
          <w:szCs w:val="32"/>
        </w:rPr>
      </w:pPr>
    </w:p>
    <w:p w14:paraId="75EA51E2" w14:textId="77777777" w:rsidR="004C61B5" w:rsidRDefault="004C61B5">
      <w:pPr>
        <w:spacing w:after="60"/>
        <w:jc w:val="center"/>
        <w:rPr>
          <w:b/>
          <w:bCs/>
          <w:caps/>
          <w:color w:val="1A1A1A"/>
          <w:sz w:val="32"/>
          <w:szCs w:val="32"/>
        </w:rPr>
      </w:pPr>
    </w:p>
    <w:p w14:paraId="31D281D3" w14:textId="34A34066" w:rsidR="00524F86" w:rsidRDefault="00000000">
      <w:pPr>
        <w:spacing w:after="60"/>
        <w:jc w:val="center"/>
      </w:pPr>
      <w:r>
        <w:rPr>
          <w:b/>
          <w:bCs/>
          <w:caps/>
          <w:color w:val="1A1A1A"/>
          <w:sz w:val="32"/>
          <w:szCs w:val="32"/>
        </w:rPr>
        <w:t>PROJECT SYNOPSIS</w:t>
      </w:r>
    </w:p>
    <w:p w14:paraId="73CB4707" w14:textId="77777777" w:rsidR="00524F86" w:rsidRDefault="00000000">
      <w:pPr>
        <w:spacing w:after="60"/>
        <w:jc w:val="center"/>
        <w:rPr>
          <w:i/>
          <w:iCs/>
          <w:color w:val="4A4A4A"/>
          <w:sz w:val="22"/>
          <w:szCs w:val="22"/>
        </w:rPr>
      </w:pPr>
      <w:r>
        <w:rPr>
          <w:i/>
          <w:iCs/>
          <w:color w:val="4A4A4A"/>
          <w:sz w:val="22"/>
          <w:szCs w:val="22"/>
        </w:rPr>
        <w:t>Submitted in partial fulfilment of the requirements for the degree of</w:t>
      </w:r>
    </w:p>
    <w:p w14:paraId="3C73044D" w14:textId="77777777" w:rsidR="004C61B5" w:rsidRDefault="004C61B5">
      <w:pPr>
        <w:spacing w:after="60"/>
        <w:jc w:val="center"/>
      </w:pPr>
    </w:p>
    <w:p w14:paraId="5870CD67" w14:textId="77777777" w:rsidR="00524F86" w:rsidRDefault="00000000">
      <w:pPr>
        <w:spacing w:after="40"/>
        <w:jc w:val="center"/>
      </w:pPr>
      <w:r>
        <w:rPr>
          <w:b/>
          <w:bCs/>
          <w:color w:val="1A1A1A"/>
          <w:sz w:val="26"/>
          <w:szCs w:val="26"/>
        </w:rPr>
        <w:t>Master of Business Administration</w:t>
      </w:r>
    </w:p>
    <w:p w14:paraId="7A84DDFA" w14:textId="77777777" w:rsidR="00524F86" w:rsidRDefault="00000000">
      <w:pPr>
        <w:spacing w:after="220"/>
        <w:jc w:val="center"/>
      </w:pPr>
      <w:r>
        <w:rPr>
          <w:i/>
          <w:iCs/>
          <w:color w:val="4A4A4A"/>
          <w:sz w:val="22"/>
          <w:szCs w:val="22"/>
        </w:rPr>
        <w:t>(Specialisation: Artificial Intelligence &amp; Data Science)</w:t>
      </w:r>
    </w:p>
    <w:p w14:paraId="5644BFCC" w14:textId="77777777" w:rsidR="00524F86" w:rsidRDefault="00524F86">
      <w:pPr>
        <w:pBdr>
          <w:bottom w:val="single" w:sz="6" w:space="1" w:color="AAAAAA"/>
        </w:pBdr>
        <w:spacing w:after="220"/>
      </w:pPr>
    </w:p>
    <w:p w14:paraId="267ED83E" w14:textId="77777777" w:rsidR="00524F86" w:rsidRDefault="00000000">
      <w:pPr>
        <w:spacing w:before="220" w:after="60"/>
        <w:jc w:val="center"/>
      </w:pPr>
      <w:r>
        <w:rPr>
          <w:b/>
          <w:bCs/>
          <w:color w:val="1B2A4A"/>
          <w:sz w:val="30"/>
          <w:szCs w:val="30"/>
        </w:rPr>
        <w:t>MSME ALTERNATIVE CREDIT INTELLIGENCE PLATFORM</w:t>
      </w:r>
    </w:p>
    <w:p w14:paraId="6B3A81E9" w14:textId="77777777" w:rsidR="00524F86" w:rsidRDefault="00000000">
      <w:pPr>
        <w:spacing w:after="260"/>
        <w:jc w:val="center"/>
      </w:pPr>
      <w:r>
        <w:rPr>
          <w:i/>
          <w:iCs/>
          <w:color w:val="4A4A4A"/>
          <w:sz w:val="23"/>
          <w:szCs w:val="23"/>
        </w:rPr>
        <w:t>An AI-Driven Credit Scoring System Using Alternative Data for MSME Financial Inclusion</w:t>
      </w:r>
    </w:p>
    <w:p w14:paraId="3E96BB1C" w14:textId="77777777" w:rsidR="00524F86" w:rsidRDefault="00524F86">
      <w:pPr>
        <w:pBdr>
          <w:bottom w:val="single" w:sz="6" w:space="1" w:color="AAAAAA"/>
        </w:pBdr>
        <w:spacing w:after="280"/>
      </w:pPr>
    </w:p>
    <w:p w14:paraId="3794F791" w14:textId="77777777" w:rsidR="00524F86" w:rsidRDefault="00000000">
      <w:pPr>
        <w:spacing w:after="40"/>
        <w:jc w:val="center"/>
      </w:pPr>
      <w:r>
        <w:rPr>
          <w:i/>
          <w:iCs/>
          <w:color w:val="4A4A4A"/>
          <w:sz w:val="22"/>
          <w:szCs w:val="22"/>
        </w:rPr>
        <w:t>Submitted by</w:t>
      </w:r>
    </w:p>
    <w:p w14:paraId="68EA39B5" w14:textId="1208AF85" w:rsidR="00524F86" w:rsidRDefault="00000000">
      <w:pPr>
        <w:spacing w:after="20"/>
        <w:jc w:val="center"/>
        <w:rPr>
          <w:b/>
          <w:bCs/>
          <w:color w:val="1A1A1A"/>
          <w:sz w:val="26"/>
          <w:szCs w:val="26"/>
        </w:rPr>
      </w:pPr>
      <w:r>
        <w:rPr>
          <w:b/>
          <w:bCs/>
          <w:color w:val="1A1A1A"/>
          <w:sz w:val="26"/>
          <w:szCs w:val="26"/>
        </w:rPr>
        <w:t>[</w:t>
      </w:r>
      <w:r w:rsidR="004C61B5">
        <w:rPr>
          <w:b/>
          <w:bCs/>
          <w:color w:val="1A1A1A"/>
          <w:sz w:val="26"/>
          <w:szCs w:val="26"/>
        </w:rPr>
        <w:t>GAURAV SINGH</w:t>
      </w:r>
      <w:r>
        <w:rPr>
          <w:b/>
          <w:bCs/>
          <w:color w:val="1A1A1A"/>
          <w:sz w:val="26"/>
          <w:szCs w:val="26"/>
        </w:rPr>
        <w:t>]</w:t>
      </w:r>
    </w:p>
    <w:p w14:paraId="07599D6E" w14:textId="08AF2922" w:rsidR="004C61B5" w:rsidRPr="004C61B5" w:rsidRDefault="004C61B5">
      <w:pPr>
        <w:spacing w:after="20"/>
        <w:jc w:val="center"/>
        <w:rPr>
          <w:color w:val="4A4A4A"/>
          <w:sz w:val="22"/>
          <w:szCs w:val="22"/>
        </w:rPr>
      </w:pPr>
      <w:r w:rsidRPr="004C61B5">
        <w:rPr>
          <w:color w:val="4A4A4A"/>
          <w:sz w:val="22"/>
          <w:szCs w:val="22"/>
        </w:rPr>
        <w:t>Class Roll No: 25</w:t>
      </w:r>
    </w:p>
    <w:p w14:paraId="7CB4D241" w14:textId="137C6B52" w:rsidR="00524F86" w:rsidRDefault="004C61B5">
      <w:pPr>
        <w:spacing w:after="120"/>
        <w:jc w:val="center"/>
        <w:rPr>
          <w:color w:val="4A4A4A"/>
          <w:sz w:val="22"/>
          <w:szCs w:val="22"/>
        </w:rPr>
      </w:pPr>
      <w:r>
        <w:rPr>
          <w:color w:val="4A4A4A"/>
          <w:sz w:val="22"/>
          <w:szCs w:val="22"/>
        </w:rPr>
        <w:t>Student ID.: [2520010243]</w:t>
      </w:r>
    </w:p>
    <w:p w14:paraId="01F875AF" w14:textId="77777777" w:rsidR="004C61B5" w:rsidRDefault="004C61B5">
      <w:pPr>
        <w:spacing w:after="120"/>
        <w:jc w:val="center"/>
      </w:pPr>
    </w:p>
    <w:p w14:paraId="3FF31155" w14:textId="77777777" w:rsidR="00524F86" w:rsidRDefault="00000000">
      <w:pPr>
        <w:spacing w:after="40"/>
        <w:jc w:val="center"/>
      </w:pPr>
      <w:r>
        <w:rPr>
          <w:i/>
          <w:iCs/>
          <w:color w:val="4A4A4A"/>
          <w:sz w:val="22"/>
          <w:szCs w:val="22"/>
        </w:rPr>
        <w:t>Under the Guidance of</w:t>
      </w:r>
    </w:p>
    <w:p w14:paraId="6AECBE52" w14:textId="12E1F8A4" w:rsidR="00524F86" w:rsidRDefault="00000000">
      <w:pPr>
        <w:spacing w:after="20"/>
        <w:jc w:val="center"/>
      </w:pPr>
      <w:r>
        <w:rPr>
          <w:b/>
          <w:bCs/>
          <w:color w:val="1A1A1A"/>
          <w:sz w:val="24"/>
          <w:szCs w:val="24"/>
        </w:rPr>
        <w:t>[</w:t>
      </w:r>
      <w:r w:rsidR="004C61B5">
        <w:rPr>
          <w:b/>
          <w:bCs/>
          <w:color w:val="1A1A1A"/>
          <w:sz w:val="24"/>
          <w:szCs w:val="24"/>
        </w:rPr>
        <w:t>Mr. SHASHANK SEMWAL</w:t>
      </w:r>
      <w:r>
        <w:rPr>
          <w:b/>
          <w:bCs/>
          <w:color w:val="1A1A1A"/>
          <w:sz w:val="24"/>
          <w:szCs w:val="24"/>
        </w:rPr>
        <w:t>]</w:t>
      </w:r>
    </w:p>
    <w:p w14:paraId="174E44D4" w14:textId="7F389994" w:rsidR="00524F86" w:rsidRDefault="00000000">
      <w:pPr>
        <w:spacing w:after="120"/>
        <w:jc w:val="center"/>
        <w:rPr>
          <w:i/>
          <w:iCs/>
          <w:color w:val="4A4A4A"/>
          <w:sz w:val="22"/>
          <w:szCs w:val="22"/>
        </w:rPr>
      </w:pPr>
      <w:r>
        <w:rPr>
          <w:i/>
          <w:iCs/>
          <w:color w:val="4A4A4A"/>
          <w:sz w:val="22"/>
          <w:szCs w:val="22"/>
        </w:rPr>
        <w:t>[</w:t>
      </w:r>
      <w:r w:rsidR="004C61B5">
        <w:rPr>
          <w:i/>
          <w:iCs/>
          <w:color w:val="4A4A4A"/>
          <w:sz w:val="22"/>
          <w:szCs w:val="22"/>
        </w:rPr>
        <w:t>Assistant Professor, DOMS</w:t>
      </w:r>
      <w:r>
        <w:rPr>
          <w:i/>
          <w:iCs/>
          <w:color w:val="4A4A4A"/>
          <w:sz w:val="22"/>
          <w:szCs w:val="22"/>
        </w:rPr>
        <w:t>]</w:t>
      </w:r>
    </w:p>
    <w:p w14:paraId="59E55F69" w14:textId="77777777" w:rsidR="004C61B5" w:rsidRDefault="004C61B5">
      <w:pPr>
        <w:spacing w:after="120"/>
        <w:jc w:val="center"/>
      </w:pPr>
    </w:p>
    <w:p w14:paraId="68EBFF55" w14:textId="586C0EEF" w:rsidR="00524F86" w:rsidRDefault="00000000" w:rsidP="004C61B5">
      <w:pPr>
        <w:spacing w:after="40"/>
        <w:jc w:val="center"/>
      </w:pPr>
      <w:r>
        <w:rPr>
          <w:b/>
          <w:bCs/>
          <w:color w:val="1A1A1A"/>
          <w:sz w:val="24"/>
          <w:szCs w:val="24"/>
        </w:rPr>
        <w:t>[</w:t>
      </w:r>
      <w:r w:rsidR="004C61B5">
        <w:rPr>
          <w:b/>
          <w:bCs/>
          <w:color w:val="1A1A1A"/>
          <w:sz w:val="24"/>
          <w:szCs w:val="24"/>
        </w:rPr>
        <w:t>GRAPHIC ERA UNIVERSITY</w:t>
      </w:r>
      <w:r>
        <w:rPr>
          <w:b/>
          <w:bCs/>
          <w:color w:val="1A1A1A"/>
          <w:sz w:val="24"/>
          <w:szCs w:val="24"/>
        </w:rPr>
        <w:t>]</w:t>
      </w:r>
    </w:p>
    <w:p w14:paraId="40AF6121" w14:textId="5ECC61AE" w:rsidR="00524F86" w:rsidRDefault="00000000">
      <w:pPr>
        <w:spacing w:after="40"/>
        <w:jc w:val="center"/>
      </w:pPr>
      <w:r>
        <w:rPr>
          <w:color w:val="4A4A4A"/>
          <w:sz w:val="22"/>
          <w:szCs w:val="22"/>
        </w:rPr>
        <w:t>Academic Year: 202</w:t>
      </w:r>
      <w:r w:rsidR="004C61B5">
        <w:rPr>
          <w:color w:val="4A4A4A"/>
          <w:sz w:val="22"/>
          <w:szCs w:val="22"/>
        </w:rPr>
        <w:t>5</w:t>
      </w:r>
      <w:r>
        <w:rPr>
          <w:color w:val="4A4A4A"/>
          <w:sz w:val="22"/>
          <w:szCs w:val="22"/>
        </w:rPr>
        <w:t xml:space="preserve"> – 202</w:t>
      </w:r>
      <w:r w:rsidR="004C61B5">
        <w:rPr>
          <w:color w:val="4A4A4A"/>
          <w:sz w:val="22"/>
          <w:szCs w:val="22"/>
        </w:rPr>
        <w:t>7</w:t>
      </w:r>
    </w:p>
    <w:p w14:paraId="232E157E" w14:textId="77777777" w:rsidR="00524F86" w:rsidRDefault="00000000">
      <w:r>
        <w:br w:type="page"/>
      </w:r>
    </w:p>
    <w:p w14:paraId="39FB48D5" w14:textId="77777777" w:rsidR="00524F86" w:rsidRDefault="00000000">
      <w:pPr>
        <w:pBdr>
          <w:bottom w:val="single" w:sz="4" w:space="4" w:color="AAAAAA"/>
        </w:pBdr>
        <w:spacing w:before="320" w:after="120"/>
      </w:pPr>
      <w:r>
        <w:rPr>
          <w:b/>
          <w:bCs/>
          <w:caps/>
          <w:color w:val="1A1A1A"/>
          <w:sz w:val="28"/>
          <w:szCs w:val="28"/>
        </w:rPr>
        <w:lastRenderedPageBreak/>
        <w:t>Abstract</w:t>
      </w:r>
    </w:p>
    <w:p w14:paraId="7825E6D9" w14:textId="77777777" w:rsidR="00524F86" w:rsidRDefault="00000000">
      <w:pPr>
        <w:spacing w:after="160"/>
        <w:jc w:val="both"/>
      </w:pPr>
      <w:r>
        <w:rPr>
          <w:color w:val="4A4A4A"/>
          <w:sz w:val="24"/>
          <w:szCs w:val="24"/>
        </w:rPr>
        <w:t>India’s MSME sector is the backbone of the country’s economy — roughly 63 million enterprises, a 30% share of GDP, 45% of total exports, and employment for well over 110 million people. Yet access to formal institutional credit remains, by most measures, a crisis. The Reserve Bank of India has consistently documented a structural credit gap exceeding ₹25 lakh crore, with a large proportion of creditworthy small businesses either rejected outright or simply never approaching a bank because they know what the answer will be. The core problem is not that these businesses are financially unviable; it is that the tools used to assess them were not designed for them.</w:t>
      </w:r>
    </w:p>
    <w:p w14:paraId="6115FA02" w14:textId="77777777" w:rsidR="00524F86" w:rsidRDefault="00000000">
      <w:pPr>
        <w:spacing w:after="160"/>
        <w:jc w:val="both"/>
      </w:pPr>
      <w:r>
        <w:rPr>
          <w:color w:val="4A4A4A"/>
          <w:sz w:val="24"/>
          <w:szCs w:val="24"/>
        </w:rPr>
        <w:t xml:space="preserve">Conventional credit underwriting in India depends heavily on bureau scores — CIBIL, Experian, CRIF Highmark — and formally audited financial statements. Both require a documented credit history and formal accounting practices that most micro and small enterprises genuinely lack. This produces a circular trap: no credit history means no </w:t>
      </w:r>
      <w:proofErr w:type="gramStart"/>
      <w:r>
        <w:rPr>
          <w:color w:val="4A4A4A"/>
          <w:sz w:val="24"/>
          <w:szCs w:val="24"/>
        </w:rPr>
        <w:t>loan,</w:t>
      </w:r>
      <w:proofErr w:type="gramEnd"/>
      <w:r>
        <w:rPr>
          <w:color w:val="4A4A4A"/>
          <w:sz w:val="24"/>
          <w:szCs w:val="24"/>
        </w:rPr>
        <w:t xml:space="preserve"> no loan means no credit history. The result is a large, profitable, and persistently unaddressed lending opportunity that the formal banking system cannot access with its current assessment toolkit.</w:t>
      </w:r>
    </w:p>
    <w:p w14:paraId="2324FD37" w14:textId="77777777" w:rsidR="00524F86" w:rsidRDefault="00000000">
      <w:pPr>
        <w:spacing w:after="160"/>
        <w:jc w:val="both"/>
      </w:pPr>
      <w:r>
        <w:rPr>
          <w:color w:val="4A4A4A"/>
          <w:sz w:val="24"/>
          <w:szCs w:val="24"/>
        </w:rPr>
        <w:t>This project addresses that gap by developing an Alternative Credit Intelligence Platform (ACIP) — a machine learning system that constructs creditworthiness profiles for MSMEs from data they already generate through ordinary business activity: GST return filings, UPI payment flows, e-commerce seller performance, utility payment records, and geospatial business attributes. The credit score produced by the platform, referred to as AltScore™, is built on a stacked ensemble of Gradient Boosting classifiers (XGBoost and LightGBM) with isotonic calibration, yielding well-calibrated default probabilities rather than opaque risk categories.</w:t>
      </w:r>
    </w:p>
    <w:p w14:paraId="5D12DC54" w14:textId="77777777" w:rsidR="00524F86" w:rsidRDefault="00000000">
      <w:pPr>
        <w:spacing w:after="160"/>
        <w:jc w:val="both"/>
      </w:pPr>
      <w:r>
        <w:rPr>
          <w:color w:val="4A4A4A"/>
          <w:sz w:val="24"/>
          <w:szCs w:val="24"/>
        </w:rPr>
        <w:t>The motivation for this study is simultaneously commercial and social. For lenders, the model represents a mechanism to profitably extend credit to a segment that is currently invisible rather than risky. For MSMEs — particularly women-owned enterprises and those in Tier 2 and Tier 3 cities — it offers a potential exit from dependency on informal moneylenders. For regulators, it provides a documented and auditable alternative to proprietary black-box lending algorithms.</w:t>
      </w:r>
    </w:p>
    <w:p w14:paraId="379B68F2" w14:textId="77777777" w:rsidR="00524F86" w:rsidRDefault="00000000">
      <w:pPr>
        <w:spacing w:after="160"/>
        <w:jc w:val="both"/>
      </w:pPr>
      <w:r>
        <w:rPr>
          <w:color w:val="4A4A4A"/>
          <w:sz w:val="24"/>
          <w:szCs w:val="24"/>
        </w:rPr>
        <w:t>Existing solutions fall short in specific, identifiable ways. Credit bureaus are reporting systems, not intelligence platforms — they aggregate prior formal credit behaviour and are structurally blind to first-time borrowers. Fintech lenders such as KreditBee and Lendingkart have made genuine progress using transaction data, but their models are proprietary and undocumented in public literature. The academic literature, while growing, has not produced a publicly reproducible, India-specific model that formally tests the combined predictive power of GST, UPI, and geospatial features in an ensemble framework with fairness testing. This study contributes exactly that.</w:t>
      </w:r>
    </w:p>
    <w:p w14:paraId="6015CB01" w14:textId="77777777" w:rsidR="00524F86" w:rsidRDefault="00000000">
      <w:pPr>
        <w:spacing w:after="160"/>
        <w:jc w:val="both"/>
        <w:rPr>
          <w:color w:val="4A4A4A"/>
          <w:sz w:val="24"/>
          <w:szCs w:val="24"/>
        </w:rPr>
      </w:pPr>
      <w:r>
        <w:rPr>
          <w:color w:val="4A4A4A"/>
          <w:sz w:val="24"/>
          <w:szCs w:val="24"/>
        </w:rPr>
        <w:t>The methodology employs synthetic data generation via CTGAN, a twelve-feature engineering pipeline spanning four alternative data categories, and a five-stage modelling workflow from interpretable baseline through SHAP explainability and demographic fairness audit. Validation targets — AUC-ROC above 0.82, KS statistic above 0.40, Gini coefficient above 0.64 — align with standard industry benchmarks for credit scorecard quality. The final deliverable is a functional lender-facing dashboard alongside a reproducible pipeline published on GitHub.</w:t>
      </w:r>
    </w:p>
    <w:p w14:paraId="1A94F52C" w14:textId="77777777" w:rsidR="004C61B5" w:rsidRDefault="004C61B5">
      <w:pPr>
        <w:spacing w:after="160"/>
        <w:jc w:val="both"/>
      </w:pPr>
    </w:p>
    <w:p w14:paraId="3F19BCF4" w14:textId="77777777" w:rsidR="00524F86" w:rsidRDefault="00524F86"/>
    <w:p w14:paraId="5972C371" w14:textId="77777777" w:rsidR="00524F86" w:rsidRDefault="00000000">
      <w:pPr>
        <w:pBdr>
          <w:bottom w:val="single" w:sz="4" w:space="4" w:color="AAAAAA"/>
        </w:pBdr>
        <w:spacing w:before="320" w:after="120"/>
      </w:pPr>
      <w:r>
        <w:rPr>
          <w:b/>
          <w:bCs/>
          <w:caps/>
          <w:color w:val="1A1A1A"/>
          <w:sz w:val="28"/>
          <w:szCs w:val="28"/>
        </w:rPr>
        <w:lastRenderedPageBreak/>
        <w:t>Introduction</w:t>
      </w:r>
    </w:p>
    <w:p w14:paraId="22C0A7FC" w14:textId="77777777" w:rsidR="00524F86" w:rsidRDefault="00000000">
      <w:pPr>
        <w:spacing w:before="240" w:after="80"/>
      </w:pPr>
      <w:r>
        <w:rPr>
          <w:b/>
          <w:bCs/>
          <w:color w:val="1A1A1A"/>
          <w:sz w:val="24"/>
          <w:szCs w:val="24"/>
        </w:rPr>
        <w:t>1.1  About the Project</w:t>
      </w:r>
    </w:p>
    <w:p w14:paraId="53F93188" w14:textId="77777777" w:rsidR="00524F86" w:rsidRDefault="00000000">
      <w:pPr>
        <w:spacing w:after="160"/>
        <w:jc w:val="both"/>
      </w:pPr>
      <w:r>
        <w:rPr>
          <w:color w:val="4A4A4A"/>
          <w:sz w:val="24"/>
          <w:szCs w:val="24"/>
        </w:rPr>
        <w:t>The MSME Alternative Credit Intelligence Platform (ACIP) is a data science project built around a deceptively simple question: if a small business cannot provide a CIBIL score or three years of audited accounts, what can a lender look at instead — and how well does it actually predict whether the business will repay?</w:t>
      </w:r>
    </w:p>
    <w:p w14:paraId="19EE1715" w14:textId="77777777" w:rsidR="00524F86" w:rsidRDefault="00000000">
      <w:pPr>
        <w:spacing w:after="160"/>
        <w:jc w:val="both"/>
      </w:pPr>
      <w:r>
        <w:rPr>
          <w:color w:val="4A4A4A"/>
          <w:sz w:val="24"/>
          <w:szCs w:val="24"/>
        </w:rPr>
        <w:t>The project constructs an end-to-end credit scoring system from first principles. Starting from raw alternative data signals drawn primarily from India’s digital public infrastructure — the GST Network and the UPI ecosystem — supplemented by geospatial business attributes and e-commerce performance metrics, it builds a feature engineering pipeline, trains and validates a machine learning ensemble, integrates an explainability layer, and deploys the output as a working lender dashboard. The system is designed not as a conceptual exercise but as a close-to-production prototype that a bank, NBFC, or fintech lender could feasibly take forward with appropriate regulatory testing and data validation.</w:t>
      </w:r>
    </w:p>
    <w:p w14:paraId="5DF850F3" w14:textId="5579FAC0" w:rsidR="00524F86" w:rsidRDefault="00000000">
      <w:pPr>
        <w:spacing w:after="160"/>
        <w:jc w:val="both"/>
      </w:pPr>
      <w:r>
        <w:rPr>
          <w:color w:val="4A4A4A"/>
          <w:sz w:val="24"/>
          <w:szCs w:val="24"/>
        </w:rPr>
        <w:t>The credit score generated — AltScore — is expressed as a calibrated 12-month probability of default, accompanied by a ranked SHAP explanation of the data signals that drove the score in either direction. This explainability layer is integral to the project’s architecture, not an add-on. The RBI’s evolving guidance on AI in financial services — its 2021 discussion paper on digital lending regulation and its 2023 responsible AI guidance — signals clearly that opacity in algorithmic credit decisions is a compliance risk, not merely a reputational one. A score a lender cannot explain to a borrower, or defend before a regulator, cannot practically be deployed.</w:t>
      </w:r>
    </w:p>
    <w:p w14:paraId="1A466FB1" w14:textId="77777777" w:rsidR="00524F86" w:rsidRDefault="00000000">
      <w:pPr>
        <w:spacing w:after="160"/>
        <w:jc w:val="both"/>
      </w:pPr>
      <w:r>
        <w:rPr>
          <w:color w:val="4A4A4A"/>
          <w:sz w:val="24"/>
          <w:szCs w:val="24"/>
        </w:rPr>
        <w:t>The technical scope covers the complete data science lifecycle: problem framing, data sourcing strategy, synthetic dataset generation, exploratory data analysis, feature engineering, model development and hyperparameter optimisation, probability calibration, explainability integration, fairness testing, dashboard development, and documentation. Every step of the pipeline — from data ingestion to final model artifact — is versioned using DVC and documented in a public GitHub repository, making the research fully reproducible.</w:t>
      </w:r>
    </w:p>
    <w:p w14:paraId="1B37A4FB" w14:textId="77777777" w:rsidR="00524F86" w:rsidRDefault="00524F86"/>
    <w:p w14:paraId="40C0F631" w14:textId="77777777" w:rsidR="00524F86" w:rsidRDefault="00000000">
      <w:pPr>
        <w:spacing w:before="240" w:after="80"/>
      </w:pPr>
      <w:r>
        <w:rPr>
          <w:b/>
          <w:bCs/>
          <w:color w:val="1A1A1A"/>
          <w:sz w:val="24"/>
          <w:szCs w:val="24"/>
        </w:rPr>
        <w:t>1.2  Background and Context</w:t>
      </w:r>
    </w:p>
    <w:p w14:paraId="45B19ACE" w14:textId="77777777" w:rsidR="00524F86" w:rsidRDefault="00000000">
      <w:pPr>
        <w:spacing w:after="160"/>
        <w:jc w:val="both"/>
      </w:pPr>
      <w:r>
        <w:rPr>
          <w:color w:val="4A4A4A"/>
          <w:sz w:val="24"/>
          <w:szCs w:val="24"/>
        </w:rPr>
        <w:t>To understand why this project exists, it is useful to understand the exact shape of the problem it addresses. India’s MSME sector is large by almost any metric. The Ministry of MSME’s own estimates document over 63 million registered enterprises, with micro enterprises — those employing fewer than ten people — accounting for more than 99% of that figure. These are the businesses that form the connective tissue of the Indian economy: the small manufacturer in Ludhiana producing auto components for Tier 1 suppliers, the textile unit in Surat running five powerlooms, the food processing operation in a smaller city supplying regional retail chains. Their aggregate economic contribution is not marginal — it is foundational.</w:t>
      </w:r>
    </w:p>
    <w:p w14:paraId="498CA4FB" w14:textId="77777777" w:rsidR="00524F86" w:rsidRDefault="00000000">
      <w:pPr>
        <w:spacing w:after="160"/>
        <w:jc w:val="both"/>
      </w:pPr>
      <w:r>
        <w:rPr>
          <w:color w:val="4A4A4A"/>
          <w:sz w:val="24"/>
          <w:szCs w:val="24"/>
        </w:rPr>
        <w:t xml:space="preserve">Formal credit penetration into this segment is, however, inadequate by any reasonable standard. The </w:t>
      </w:r>
      <w:proofErr w:type="gramStart"/>
      <w:r>
        <w:rPr>
          <w:color w:val="4A4A4A"/>
          <w:sz w:val="24"/>
          <w:szCs w:val="24"/>
        </w:rPr>
        <w:t>All India</w:t>
      </w:r>
      <w:proofErr w:type="gramEnd"/>
      <w:r>
        <w:rPr>
          <w:color w:val="4A4A4A"/>
          <w:sz w:val="24"/>
          <w:szCs w:val="24"/>
        </w:rPr>
        <w:t xml:space="preserve"> Debt and Investment Survey and successive RBI Working Group reports have consistently documented that a majority of micro enterprises continue to rely primarily on informal credit — family networks, local moneylenders, rotating savings groups — rather than formal financial </w:t>
      </w:r>
      <w:r>
        <w:rPr>
          <w:color w:val="4A4A4A"/>
          <w:sz w:val="24"/>
          <w:szCs w:val="24"/>
        </w:rPr>
        <w:lastRenderedPageBreak/>
        <w:t>institutions. Interest rates in the informal credit market frequently exceed 24% per annum and can reach multiples of that figure when a business is in distress. The productivity and growth consequences of this constraint are well-established in the development economics literature: capital-constrained MSMEs invest less, scale more slowly, and are structurally more vulnerable to demand shocks than their formally-served counterparts.</w:t>
      </w:r>
    </w:p>
    <w:p w14:paraId="33A20A59" w14:textId="77777777" w:rsidR="00524F86" w:rsidRDefault="00000000">
      <w:pPr>
        <w:spacing w:after="160"/>
        <w:jc w:val="both"/>
      </w:pPr>
      <w:r>
        <w:rPr>
          <w:color w:val="4A4A4A"/>
          <w:sz w:val="24"/>
          <w:szCs w:val="24"/>
        </w:rPr>
        <w:t>The barriers are structural and self-reinforcing. Commercial banks, designed around risk frameworks calibrated for mid-market corporate and retail lending, apply underwriting criteria that the majority of MSMEs cannot meet. The requirement for two to three years of GST returns is itself a constraint — many micro businesses have been GST-compliant for only a year or two, given that widespread compliance among smaller enterprises accelerated only after 2018. The collateral requirement structurally excludes asset-light service businesses. And bureau scores are, by construction, a backward-looking measure of formal credit behaviour — which by definition cannot exist for a first-time formal borrower.</w:t>
      </w:r>
    </w:p>
    <w:p w14:paraId="6A73D803" w14:textId="77777777" w:rsidR="00524F86" w:rsidRDefault="00000000">
      <w:pPr>
        <w:spacing w:after="160"/>
        <w:jc w:val="both"/>
      </w:pPr>
      <w:r>
        <w:rPr>
          <w:color w:val="4A4A4A"/>
          <w:sz w:val="24"/>
          <w:szCs w:val="24"/>
        </w:rPr>
        <w:t>What has changed substantively in the last five years is the availability of alternative data that, at least in principle, captures much of the same economic reality that credit bureaus and financial statements were originally designed to approximate — but through different channels. GST return data provides a government-verified, structured record of revenue, transaction volumes, inter-state trade activity, and filing regularity. The consistency and timeliness of these filings are themselves informative: a business that files GSTR-1 and GSTR-3B on time every quarter is likely better-managed and less financially distressed than one that files irregularly or not at all. UPI transaction data captures the cash flow dynamics — inflow frequency, vendor payment regularity, liquidity cycles — that a previously cash-based micro business could never have documented formally. Geospatial attributes, including the commercial density of a locality and district-level economic indices, provide a contextual layer that helps interpret individual business performance relative to its operating environment.</w:t>
      </w:r>
    </w:p>
    <w:p w14:paraId="7932E991" w14:textId="77777777" w:rsidR="00524F86" w:rsidRDefault="00000000">
      <w:pPr>
        <w:spacing w:after="160"/>
        <w:jc w:val="both"/>
      </w:pPr>
      <w:r>
        <w:rPr>
          <w:color w:val="4A4A4A"/>
          <w:sz w:val="24"/>
          <w:szCs w:val="24"/>
        </w:rPr>
        <w:t>Internationally, the conceptual case for alternative data in credit scoring has moved well beyond theory. Kabbage (now American Express Business Blueprint) built a lending business on cash flow-based MSME credit assessment in the United States, using bank transaction data to underwrite businesses that traditional banks would not touch. M-Shwari in Kenya demonstrated that mobile money transaction history is a powerful predictor of creditworthiness even for borrowers with no formal credit record whatsoever. In the academic literature, Jagtiani and Lemieux (2019) found that Lending Club borrowers with thin credit files who scored well on alternative data metrics materially outperformed bureau-predicted default expectations — direct evidence that bureaus systematically underestimate creditworthiness for first-time borrowers. Berg et al. (2020) showed that even simple digital footprint signals have meaningful predictive power, independent of traditional credit variables.</w:t>
      </w:r>
    </w:p>
    <w:p w14:paraId="313750E5" w14:textId="77777777" w:rsidR="00524F86" w:rsidRDefault="00000000">
      <w:pPr>
        <w:spacing w:after="160"/>
        <w:jc w:val="both"/>
      </w:pPr>
      <w:r>
        <w:rPr>
          <w:color w:val="4A4A4A"/>
          <w:sz w:val="24"/>
          <w:szCs w:val="24"/>
        </w:rPr>
        <w:t xml:space="preserve">The Indian context has additional structural features that make this study particularly timely. The Account Aggregator (AA) framework, operationalised from 2021 onwards under RBI supervision, provides a consent-based mechanism for MSMEs to share verified financial data across institutions with full audit trails. The Open Credit Enablement Network (OCEN) protocol is designed explicitly to enable digitally-underwritten flow-based lending at the scale India requires. These developments mean that the data pipeline this project constructs is not theoretical — it is architecturally consistent with where the Indian digital lending infrastructure is actively moving. A validated, documented </w:t>
      </w:r>
      <w:r>
        <w:rPr>
          <w:color w:val="4A4A4A"/>
          <w:sz w:val="24"/>
          <w:szCs w:val="24"/>
        </w:rPr>
        <w:lastRenderedPageBreak/>
        <w:t>model built today constitutes credible proof of concept for a lender or policymaker evaluating whether to invest in this direction.</w:t>
      </w:r>
    </w:p>
    <w:p w14:paraId="3227265A" w14:textId="77777777" w:rsidR="00524F86" w:rsidRDefault="00000000">
      <w:pPr>
        <w:spacing w:after="160"/>
        <w:jc w:val="both"/>
      </w:pPr>
      <w:r>
        <w:rPr>
          <w:color w:val="4A4A4A"/>
          <w:sz w:val="24"/>
          <w:szCs w:val="24"/>
        </w:rPr>
        <w:t>The literature also identifies legitimate concerns that any serious study in this space must engage with rather than sidestep. Algorithmic credit models have been documented to perpetuate or amplify demographic biases when training data reflects historically discriminatory patterns. Alternative data is less standardised and more susceptible to manipulation than bureau data. Explainability is genuinely difficult to achieve at the model complexity required for strong predictive performance. And India’s regulatory environment for AI in lending is evolving actively, with the RBI’s Digital Lending Guidelines (2022) and subsequent responsible AI guidance creating a compliance layer that any production system must navigate carefully. This project engages with all of these concerns explicitly, building fairness audits and explainability requirements into the core methodology rather than appending them as afterthoughts.</w:t>
      </w:r>
    </w:p>
    <w:p w14:paraId="22F71746" w14:textId="77777777" w:rsidR="00524F86" w:rsidRDefault="00524F86"/>
    <w:p w14:paraId="7C44A454" w14:textId="77777777" w:rsidR="00524F86" w:rsidRDefault="00000000">
      <w:pPr>
        <w:spacing w:before="240" w:after="80"/>
      </w:pPr>
      <w:r>
        <w:rPr>
          <w:b/>
          <w:bCs/>
          <w:color w:val="1A1A1A"/>
          <w:sz w:val="24"/>
          <w:szCs w:val="24"/>
        </w:rPr>
        <w:t>1.3  Objectives of the Study</w:t>
      </w:r>
    </w:p>
    <w:p w14:paraId="70612ACA" w14:textId="77777777" w:rsidR="00524F86" w:rsidRDefault="00000000">
      <w:pPr>
        <w:spacing w:after="160"/>
        <w:jc w:val="both"/>
      </w:pPr>
      <w:r>
        <w:rPr>
          <w:color w:val="4A4A4A"/>
          <w:sz w:val="24"/>
          <w:szCs w:val="24"/>
        </w:rPr>
        <w:t>The study is organised around six primary objectives, stated in operational form — specific enough to be testable, but not so narrow as to preclude the exploratory analysis that characterises applied research in a relatively new domain.</w:t>
      </w:r>
    </w:p>
    <w:p w14:paraId="5AB38663" w14:textId="77777777" w:rsidR="00524F86" w:rsidRDefault="00524F86"/>
    <w:p w14:paraId="3437594F" w14:textId="77777777" w:rsidR="00524F86" w:rsidRDefault="00000000">
      <w:pPr>
        <w:spacing w:before="40" w:after="100"/>
        <w:ind w:left="500" w:hanging="320"/>
        <w:jc w:val="both"/>
      </w:pPr>
      <w:r>
        <w:rPr>
          <w:b/>
          <w:bCs/>
          <w:color w:val="1A1A1A"/>
          <w:sz w:val="24"/>
          <w:szCs w:val="24"/>
        </w:rPr>
        <w:t xml:space="preserve">1.  </w:t>
      </w:r>
      <w:r>
        <w:rPr>
          <w:color w:val="4A4A4A"/>
          <w:sz w:val="24"/>
          <w:szCs w:val="24"/>
        </w:rPr>
        <w:t>To construct a feature engineering pipeline that extracts twelve structured credit signals from four alternative data categories — GST compliance behaviour, payment transaction dynamics, e-commerce business performance, and geospatial business attributes — and validates each signal’s marginal information content through correlation analysis and ensemble feature importance testing.</w:t>
      </w:r>
    </w:p>
    <w:p w14:paraId="4A6A0144" w14:textId="77777777" w:rsidR="00524F86" w:rsidRDefault="00000000">
      <w:pPr>
        <w:spacing w:before="40" w:after="100"/>
        <w:ind w:left="500" w:hanging="320"/>
        <w:jc w:val="both"/>
      </w:pPr>
      <w:r>
        <w:rPr>
          <w:b/>
          <w:bCs/>
          <w:color w:val="1A1A1A"/>
          <w:sz w:val="24"/>
          <w:szCs w:val="24"/>
        </w:rPr>
        <w:t xml:space="preserve">2.  </w:t>
      </w:r>
      <w:r>
        <w:rPr>
          <w:color w:val="4A4A4A"/>
          <w:sz w:val="24"/>
          <w:szCs w:val="24"/>
        </w:rPr>
        <w:t>To develop and evaluate a family of credit default prediction models, beginning with an interpretable logistic regression baseline, progressing through individual tree ensembles (Random Forest, XGBoost, LightGBM), and culminating in a stacked meta-learner ensemble, with performance evaluated against industry-standard scorecard metrics: AUC-ROC, Kolmogorov-Smirnov statistic, Gini coefficient, and Brier score.</w:t>
      </w:r>
    </w:p>
    <w:p w14:paraId="5FBF782D" w14:textId="77777777" w:rsidR="00524F86" w:rsidRDefault="00000000">
      <w:pPr>
        <w:spacing w:before="40" w:after="100"/>
        <w:ind w:left="500" w:hanging="320"/>
        <w:jc w:val="both"/>
      </w:pPr>
      <w:r>
        <w:rPr>
          <w:b/>
          <w:bCs/>
          <w:color w:val="1A1A1A"/>
          <w:sz w:val="24"/>
          <w:szCs w:val="24"/>
        </w:rPr>
        <w:t xml:space="preserve">3.  </w:t>
      </w:r>
      <w:r>
        <w:rPr>
          <w:color w:val="4A4A4A"/>
          <w:sz w:val="24"/>
          <w:szCs w:val="24"/>
        </w:rPr>
        <w:t>To integrate SHAP TreeExplainer into the modelling pipeline to generate both global feature importance rankings and individual-level decision explanations, producing outputs interpretable by non-technical users and auditable against the RBI’s FAIR principles for responsible AI in financial services.</w:t>
      </w:r>
    </w:p>
    <w:p w14:paraId="4F723475" w14:textId="77777777" w:rsidR="00524F86" w:rsidRDefault="00000000">
      <w:pPr>
        <w:spacing w:before="40" w:after="100"/>
        <w:ind w:left="500" w:hanging="320"/>
        <w:jc w:val="both"/>
      </w:pPr>
      <w:r>
        <w:rPr>
          <w:b/>
          <w:bCs/>
          <w:color w:val="1A1A1A"/>
          <w:sz w:val="24"/>
          <w:szCs w:val="24"/>
        </w:rPr>
        <w:t xml:space="preserve">4.  </w:t>
      </w:r>
      <w:r>
        <w:rPr>
          <w:color w:val="4A4A4A"/>
          <w:sz w:val="24"/>
          <w:szCs w:val="24"/>
        </w:rPr>
        <w:t>To conduct a structured fairness and bias audit across geographic regions, enterprise sectors, and size categories, quantifying disparate impact using equal opportunity difference and statistical parity metrics, and documenting any detected bias with mitigation recommendations.</w:t>
      </w:r>
    </w:p>
    <w:p w14:paraId="6B534BBC" w14:textId="77777777" w:rsidR="00524F86" w:rsidRDefault="00000000">
      <w:pPr>
        <w:spacing w:before="40" w:after="100"/>
        <w:ind w:left="500" w:hanging="320"/>
        <w:jc w:val="both"/>
      </w:pPr>
      <w:r>
        <w:rPr>
          <w:b/>
          <w:bCs/>
          <w:color w:val="1A1A1A"/>
          <w:sz w:val="24"/>
          <w:szCs w:val="24"/>
        </w:rPr>
        <w:t xml:space="preserve">5.  </w:t>
      </w:r>
      <w:r>
        <w:rPr>
          <w:color w:val="4A4A4A"/>
          <w:sz w:val="24"/>
          <w:szCs w:val="24"/>
        </w:rPr>
        <w:t>To develop a functional proof-of-concept lender dashboard that accepts a synthetic MSME applicant profile, returns an AltScore™ probability of default with a confidence interval, and renders a ranked SHAP explanation of the key drivers — demonstrating the operational viability of the platform within a realistic lending workflow.</w:t>
      </w:r>
    </w:p>
    <w:p w14:paraId="758D6654" w14:textId="77777777" w:rsidR="00524F86" w:rsidRDefault="00000000">
      <w:pPr>
        <w:spacing w:before="40" w:after="100"/>
        <w:ind w:left="500" w:hanging="320"/>
        <w:jc w:val="both"/>
      </w:pPr>
      <w:r>
        <w:rPr>
          <w:b/>
          <w:bCs/>
          <w:color w:val="1A1A1A"/>
          <w:sz w:val="24"/>
          <w:szCs w:val="24"/>
        </w:rPr>
        <w:t xml:space="preserve">6.  </w:t>
      </w:r>
      <w:r>
        <w:rPr>
          <w:color w:val="4A4A4A"/>
          <w:sz w:val="24"/>
          <w:szCs w:val="24"/>
        </w:rPr>
        <w:t>To produce a research paper of sufficient depth and rigour for SSRN preprint submission, contributing documented and reproducible evidence to the still-limited Indian literature on alternative data-based MSME credit scoring.</w:t>
      </w:r>
    </w:p>
    <w:p w14:paraId="4C9B883F" w14:textId="77777777" w:rsidR="00524F86" w:rsidRDefault="00524F86"/>
    <w:p w14:paraId="05C6A9BD" w14:textId="77777777" w:rsidR="00524F86" w:rsidRDefault="00000000">
      <w:pPr>
        <w:spacing w:before="240" w:after="80"/>
      </w:pPr>
      <w:r>
        <w:rPr>
          <w:b/>
          <w:bCs/>
          <w:color w:val="1A1A1A"/>
          <w:sz w:val="24"/>
          <w:szCs w:val="24"/>
        </w:rPr>
        <w:t>1.4  Scope and Limitations</w:t>
      </w:r>
    </w:p>
    <w:p w14:paraId="316A6AC3" w14:textId="77777777" w:rsidR="00524F86" w:rsidRDefault="00000000">
      <w:pPr>
        <w:spacing w:after="160"/>
        <w:jc w:val="both"/>
      </w:pPr>
      <w:r>
        <w:rPr>
          <w:color w:val="4A4A4A"/>
          <w:sz w:val="24"/>
          <w:szCs w:val="24"/>
        </w:rPr>
        <w:t>The study operates entirely on synthetic and publicly aggregated data. No individual MSME’s financial records, no real loan application data, and no personal identification information is processed at any stage. The synthetic dataset is generated using CTGAN calibrated against publicly available RBI MSME aggregate statistics and is designed to be statistically representative of the Indian MSME lending population, but it is not a sample from any institution’s actual loan book. This is both a methodological constraint and a deliberate design choice: it allows the research to proceed without complex data-sharing agreements while keeping the methodology fully transparent and reproducible.</w:t>
      </w:r>
    </w:p>
    <w:p w14:paraId="5A8E9008" w14:textId="77777777" w:rsidR="00524F86" w:rsidRDefault="00000000">
      <w:pPr>
        <w:spacing w:after="160"/>
        <w:jc w:val="both"/>
      </w:pPr>
      <w:r>
        <w:rPr>
          <w:color w:val="4A4A4A"/>
          <w:sz w:val="24"/>
          <w:szCs w:val="24"/>
        </w:rPr>
        <w:t>The model’s performance metrics, however strong, should be interpreted accordingly. Validation on synthetic data demonstrates that the feature engineering approach and modelling architecture are sound and provides reasonable expectations for real-world performance — but it does not substitute for testing on a live lender’s portfolio. Any institution seeking to deploy a system based on this research would need to retrain on their own data, conduct a minimum period of shadow underwriting, and obtain appropriate RBI approval under the Digital Lending framework. These steps are explicitly outside the scope of this study and are documented as future work.</w:t>
      </w:r>
    </w:p>
    <w:p w14:paraId="2A3870E7" w14:textId="77777777" w:rsidR="00524F86" w:rsidRDefault="00000000">
      <w:pPr>
        <w:spacing w:after="160"/>
        <w:jc w:val="both"/>
      </w:pPr>
      <w:r>
        <w:rPr>
          <w:color w:val="4A4A4A"/>
          <w:sz w:val="24"/>
          <w:szCs w:val="24"/>
        </w:rPr>
        <w:t>The Streamlit dashboard is a prototype, intended to demonstrate output format and user experience rather than to handle concurrent requests at production scale. The gap between a research prototype and a deployable production system is acknowledged throughout and addressed in the project’s limitations section.</w:t>
      </w:r>
    </w:p>
    <w:p w14:paraId="52501A45" w14:textId="77777777" w:rsidR="00524F86" w:rsidRDefault="00524F86"/>
    <w:p w14:paraId="660CA66D" w14:textId="77777777" w:rsidR="00524F86" w:rsidRDefault="00000000">
      <w:pPr>
        <w:pBdr>
          <w:bottom w:val="single" w:sz="4" w:space="4" w:color="AAAAAA"/>
        </w:pBdr>
        <w:spacing w:before="320" w:after="120"/>
      </w:pPr>
      <w:r>
        <w:rPr>
          <w:b/>
          <w:bCs/>
          <w:caps/>
          <w:color w:val="1A1A1A"/>
          <w:sz w:val="28"/>
          <w:szCs w:val="28"/>
        </w:rPr>
        <w:t>Project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9"/>
        <w:gridCol w:w="7321"/>
      </w:tblGrid>
      <w:tr w:rsidR="00524F86" w14:paraId="73EC63A9" w14:textId="77777777">
        <w:tc>
          <w:tcPr>
            <w:tcW w:w="0" w:type="auto"/>
            <w:tcBorders>
              <w:top w:val="single" w:sz="4" w:space="0" w:color="AAAAAA"/>
              <w:left w:val="single" w:sz="4" w:space="0" w:color="AAAAAA"/>
              <w:bottom w:val="single" w:sz="4" w:space="0" w:color="AAAAAA"/>
              <w:right w:val="single" w:sz="4" w:space="0" w:color="AAAAAA"/>
            </w:tcBorders>
            <w:shd w:val="clear" w:color="auto" w:fill="E0E0E0"/>
            <w:tcMar>
              <w:top w:w="80" w:type="dxa"/>
              <w:left w:w="140" w:type="dxa"/>
              <w:bottom w:w="80" w:type="dxa"/>
              <w:right w:w="140" w:type="dxa"/>
            </w:tcMar>
          </w:tcPr>
          <w:p w14:paraId="0E5989E1" w14:textId="77777777" w:rsidR="00524F86" w:rsidRDefault="00000000">
            <w:r>
              <w:rPr>
                <w:b/>
                <w:bCs/>
                <w:color w:val="1A1A1A"/>
              </w:rPr>
              <w:t>Field</w:t>
            </w:r>
          </w:p>
        </w:tc>
        <w:tc>
          <w:tcPr>
            <w:tcW w:w="0" w:type="auto"/>
            <w:tcBorders>
              <w:top w:val="single" w:sz="4" w:space="0" w:color="AAAAAA"/>
              <w:left w:val="single" w:sz="4" w:space="0" w:color="AAAAAA"/>
              <w:bottom w:val="single" w:sz="4" w:space="0" w:color="AAAAAA"/>
              <w:right w:val="single" w:sz="4" w:space="0" w:color="AAAAAA"/>
            </w:tcBorders>
            <w:shd w:val="clear" w:color="auto" w:fill="E0E0E0"/>
            <w:tcMar>
              <w:top w:w="80" w:type="dxa"/>
              <w:left w:w="140" w:type="dxa"/>
              <w:bottom w:w="80" w:type="dxa"/>
              <w:right w:w="140" w:type="dxa"/>
            </w:tcMar>
          </w:tcPr>
          <w:p w14:paraId="1C0B2DE5" w14:textId="77777777" w:rsidR="00524F86" w:rsidRDefault="00000000">
            <w:r>
              <w:rPr>
                <w:b/>
                <w:bCs/>
                <w:color w:val="1A1A1A"/>
              </w:rPr>
              <w:t>Details</w:t>
            </w:r>
          </w:p>
        </w:tc>
      </w:tr>
      <w:tr w:rsidR="00524F86" w14:paraId="02C877E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EB83072" w14:textId="77777777" w:rsidR="00524F86" w:rsidRDefault="00000000">
            <w:r>
              <w:rPr>
                <w:color w:val="1A1A1A"/>
              </w:rPr>
              <w:t>Project Title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B276E8B" w14:textId="77777777" w:rsidR="00524F86" w:rsidRDefault="00000000">
            <w:r>
              <w:rPr>
                <w:color w:val="4A4A4A"/>
              </w:rPr>
              <w:t>MSME Alternative Credit Intelligence Platform (ACIP)</w:t>
            </w:r>
          </w:p>
        </w:tc>
      </w:tr>
      <w:tr w:rsidR="00524F86" w14:paraId="7B97F00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FACB59A" w14:textId="77777777" w:rsidR="00524F86" w:rsidRDefault="00000000">
            <w:r>
              <w:rPr>
                <w:color w:val="1A1A1A"/>
              </w:rPr>
              <w:t>Specialisation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FBFC93C" w14:textId="77777777" w:rsidR="00524F86" w:rsidRDefault="00000000">
            <w:r>
              <w:rPr>
                <w:color w:val="4A4A4A"/>
              </w:rPr>
              <w:t>MBA – Artificial Intelligence &amp; Data Science</w:t>
            </w:r>
          </w:p>
        </w:tc>
      </w:tr>
      <w:tr w:rsidR="00524F86" w14:paraId="15A1BAF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EE0A98B" w14:textId="77777777" w:rsidR="00524F86" w:rsidRDefault="00000000">
            <w:r>
              <w:rPr>
                <w:color w:val="1A1A1A"/>
              </w:rPr>
              <w:t>Domain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BD5015A" w14:textId="77777777" w:rsidR="00524F86" w:rsidRDefault="00000000">
            <w:r>
              <w:rPr>
                <w:color w:val="4A4A4A"/>
              </w:rPr>
              <w:t>Finance – Credit Risk &amp; Financial Inclusion</w:t>
            </w:r>
          </w:p>
        </w:tc>
      </w:tr>
      <w:tr w:rsidR="00524F86" w14:paraId="4306C95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8DF3A3" w14:textId="77777777" w:rsidR="00524F86" w:rsidRDefault="00000000">
            <w:r>
              <w:rPr>
                <w:color w:val="1A1A1A"/>
              </w:rPr>
              <w:t>Proprietary Output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C89B9D" w14:textId="77777777" w:rsidR="00524F86" w:rsidRDefault="00000000">
            <w:r>
              <w:rPr>
                <w:color w:val="4A4A4A"/>
              </w:rPr>
              <w:t>AltScore™ – Calibrated ML Default Probability Score</w:t>
            </w:r>
          </w:p>
        </w:tc>
      </w:tr>
      <w:tr w:rsidR="00524F86" w14:paraId="23F699F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6674A26" w14:textId="77777777" w:rsidR="00524F86" w:rsidRDefault="00000000">
            <w:r>
              <w:rPr>
                <w:color w:val="1A1A1A"/>
              </w:rPr>
              <w:t>Primary Technique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3948671" w14:textId="77777777" w:rsidR="00524F86" w:rsidRDefault="00000000">
            <w:r>
              <w:rPr>
                <w:color w:val="4A4A4A"/>
              </w:rPr>
              <w:t>Stacked Ensemble: XGBoost + LightGBM + Meta-Learner (Random Forest)</w:t>
            </w:r>
          </w:p>
        </w:tc>
      </w:tr>
      <w:tr w:rsidR="00524F86" w14:paraId="3A94B6D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67D1E0D" w14:textId="77777777" w:rsidR="00524F86" w:rsidRDefault="00000000">
            <w:r>
              <w:rPr>
                <w:color w:val="1A1A1A"/>
              </w:rPr>
              <w:t>Explainability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8F6AE97" w14:textId="77777777" w:rsidR="00524F86" w:rsidRDefault="00000000">
            <w:r>
              <w:rPr>
                <w:color w:val="4A4A4A"/>
              </w:rPr>
              <w:t>SHAP TreeExplainer – Global &amp; Local Decision Attribution</w:t>
            </w:r>
          </w:p>
        </w:tc>
      </w:tr>
      <w:tr w:rsidR="00524F86" w14:paraId="2E476FC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63723BA" w14:textId="77777777" w:rsidR="00524F86" w:rsidRDefault="00000000">
            <w:r>
              <w:rPr>
                <w:color w:val="1A1A1A"/>
              </w:rPr>
              <w:t>Data Sources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C629DAB" w14:textId="77777777" w:rsidR="00524F86" w:rsidRDefault="00000000">
            <w:r>
              <w:rPr>
                <w:color w:val="4A4A4A"/>
              </w:rPr>
              <w:t>Synthetic (CTGAN), RBI MSME Reports, MCA21, Census Geo-data, Kaggle SME</w:t>
            </w:r>
          </w:p>
        </w:tc>
      </w:tr>
      <w:tr w:rsidR="00524F86" w14:paraId="4854C67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5980A26" w14:textId="77777777" w:rsidR="00524F86" w:rsidRDefault="00000000">
            <w:r>
              <w:rPr>
                <w:color w:val="1A1A1A"/>
              </w:rPr>
              <w:t>Performance Targets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4CA1A03" w14:textId="77777777" w:rsidR="00524F86" w:rsidRDefault="00000000">
            <w:r>
              <w:rPr>
                <w:color w:val="4A4A4A"/>
              </w:rPr>
              <w:t>AUC-ROC &gt; 0.82  |  KS &gt; 0.40  |  Gini &gt; 0.64  |  Brier Score &lt; 0.15</w:t>
            </w:r>
          </w:p>
        </w:tc>
      </w:tr>
      <w:tr w:rsidR="00524F86" w14:paraId="48448AE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74FD511" w14:textId="77777777" w:rsidR="00524F86" w:rsidRDefault="00000000">
            <w:r>
              <w:rPr>
                <w:color w:val="1A1A1A"/>
              </w:rPr>
              <w:t>Duration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CADF2B3" w14:textId="77777777" w:rsidR="00524F86" w:rsidRDefault="00000000">
            <w:r>
              <w:rPr>
                <w:color w:val="4A4A4A"/>
              </w:rPr>
              <w:t>10 Weeks (4 Phases)</w:t>
            </w:r>
          </w:p>
        </w:tc>
      </w:tr>
      <w:tr w:rsidR="00524F86" w14:paraId="06A97D7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890A904" w14:textId="77777777" w:rsidR="00524F86" w:rsidRDefault="00000000">
            <w:r>
              <w:rPr>
                <w:color w:val="1A1A1A"/>
              </w:rPr>
              <w:t>Tech Stack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0B0B8AC" w14:textId="77777777" w:rsidR="00524F86" w:rsidRDefault="00000000">
            <w:r>
              <w:rPr>
                <w:color w:val="4A4A4A"/>
              </w:rPr>
              <w:t>Python 3.11, XGBoost, LightGBM, SHAP, Streamlit, FastAPI, PostgreSQL, DVC</w:t>
            </w:r>
          </w:p>
        </w:tc>
      </w:tr>
      <w:tr w:rsidR="00524F86" w14:paraId="51780B3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F4030E7" w14:textId="77777777" w:rsidR="00524F86" w:rsidRDefault="00000000">
            <w:r>
              <w:rPr>
                <w:color w:val="1A1A1A"/>
              </w:rPr>
              <w:t>Key Deliverables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CA0D77F" w14:textId="77777777" w:rsidR="00524F86" w:rsidRDefault="00000000">
            <w:r>
              <w:rPr>
                <w:color w:val="4A4A4A"/>
              </w:rPr>
              <w:t>Trained Model, Lender Dashboard, Research Paper, GitHub Repository</w:t>
            </w:r>
          </w:p>
        </w:tc>
      </w:tr>
      <w:tr w:rsidR="00524F86" w14:paraId="57DA030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552FBED" w14:textId="77777777" w:rsidR="00524F86" w:rsidRDefault="00000000">
            <w:r>
              <w:rPr>
                <w:color w:val="1A1A1A"/>
              </w:rPr>
              <w:t>Ethical Framework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B975663" w14:textId="77777777" w:rsidR="00524F86" w:rsidRDefault="00000000">
            <w:r>
              <w:rPr>
                <w:color w:val="4A4A4A"/>
              </w:rPr>
              <w:t>DPDP Act 2023, RBI FAIR Principles, AIF360 Fairness Audit</w:t>
            </w:r>
          </w:p>
        </w:tc>
      </w:tr>
    </w:tbl>
    <w:p w14:paraId="61B244E8" w14:textId="77777777" w:rsidR="00524F86" w:rsidRDefault="00524F86"/>
    <w:sectPr w:rsidR="00524F86">
      <w:headerReference w:type="default" r:id="rId8"/>
      <w:footerReference w:type="default" r:id="rId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845293" w14:textId="77777777" w:rsidR="000B01A9" w:rsidRDefault="000B01A9">
      <w:r>
        <w:separator/>
      </w:r>
    </w:p>
  </w:endnote>
  <w:endnote w:type="continuationSeparator" w:id="0">
    <w:p w14:paraId="186C2233" w14:textId="77777777" w:rsidR="000B01A9" w:rsidRDefault="000B0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0EB54" w14:textId="34A7348B" w:rsidR="00524F86" w:rsidRDefault="00000000">
    <w:pPr>
      <w:pBdr>
        <w:top w:val="single" w:sz="4" w:space="2" w:color="AAAAAA"/>
      </w:pBdr>
      <w:spacing w:before="80"/>
      <w:jc w:val="center"/>
    </w:pPr>
    <w:r>
      <w:rPr>
        <w:color w:val="4A4A4A"/>
        <w:sz w:val="18"/>
        <w:szCs w:val="18"/>
      </w:rPr>
      <w:t>[</w:t>
    </w:r>
    <w:r w:rsidR="004C61B5">
      <w:rPr>
        <w:color w:val="4A4A4A"/>
        <w:sz w:val="18"/>
        <w:szCs w:val="18"/>
      </w:rPr>
      <w:t>Graphic Era University</w:t>
    </w:r>
    <w:r>
      <w:rPr>
        <w:color w:val="4A4A4A"/>
        <w:sz w:val="18"/>
        <w:szCs w:val="18"/>
      </w:rPr>
      <w:t>]  ·  MBA (AI &amp; DS)  ·  202</w:t>
    </w:r>
    <w:r w:rsidR="004C61B5">
      <w:rPr>
        <w:color w:val="4A4A4A"/>
        <w:sz w:val="18"/>
        <w:szCs w:val="18"/>
      </w:rPr>
      <w:t>5</w:t>
    </w:r>
    <w:r>
      <w:rPr>
        <w:color w:val="4A4A4A"/>
        <w:sz w:val="18"/>
        <w:szCs w:val="18"/>
      </w:rPr>
      <w:t>–2</w:t>
    </w:r>
    <w:r w:rsidR="004C61B5">
      <w:rPr>
        <w:color w:val="4A4A4A"/>
        <w:sz w:val="18"/>
        <w:szCs w:val="18"/>
      </w:rPr>
      <w:t>027</w:t>
    </w:r>
    <w:r>
      <w:rPr>
        <w:color w:val="4A4A4A"/>
        <w:sz w:val="18"/>
        <w:szCs w:val="18"/>
      </w:rPr>
      <w:t xml:space="preserve">  ·  </w:t>
    </w:r>
    <w:r w:rsidRPr="004C61B5">
      <w:rPr>
        <w:b/>
        <w:bCs/>
        <w:color w:val="4A4A4A"/>
        <w:sz w:val="18"/>
        <w:szCs w:val="18"/>
      </w:rPr>
      <w:t xml:space="preserve">Page </w:t>
    </w:r>
    <w:r w:rsidRPr="004C61B5">
      <w:rPr>
        <w:b/>
        <w:bCs/>
        <w:color w:val="4A4A4A"/>
        <w:sz w:val="18"/>
        <w:szCs w:val="18"/>
      </w:rPr>
      <w:fldChar w:fldCharType="begin"/>
    </w:r>
    <w:r w:rsidRPr="004C61B5">
      <w:rPr>
        <w:b/>
        <w:bCs/>
        <w:color w:val="4A4A4A"/>
        <w:sz w:val="18"/>
        <w:szCs w:val="18"/>
      </w:rPr>
      <w:instrText>PAGE</w:instrText>
    </w:r>
    <w:r w:rsidRPr="004C61B5">
      <w:rPr>
        <w:b/>
        <w:bCs/>
        <w:color w:val="4A4A4A"/>
        <w:sz w:val="18"/>
        <w:szCs w:val="18"/>
      </w:rPr>
      <w:fldChar w:fldCharType="separate"/>
    </w:r>
    <w:r w:rsidR="004C61B5" w:rsidRPr="004C61B5">
      <w:rPr>
        <w:b/>
        <w:bCs/>
        <w:noProof/>
        <w:color w:val="4A4A4A"/>
        <w:sz w:val="18"/>
        <w:szCs w:val="18"/>
      </w:rPr>
      <w:t>1</w:t>
    </w:r>
    <w:r w:rsidRPr="004C61B5">
      <w:rPr>
        <w:b/>
        <w:bCs/>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175264" w14:textId="77777777" w:rsidR="000B01A9" w:rsidRDefault="000B01A9">
      <w:r>
        <w:separator/>
      </w:r>
    </w:p>
  </w:footnote>
  <w:footnote w:type="continuationSeparator" w:id="0">
    <w:p w14:paraId="5B4BBDA1" w14:textId="77777777" w:rsidR="000B01A9" w:rsidRDefault="000B0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EF40E9" w14:textId="2EFCBBFA" w:rsidR="00524F86" w:rsidRDefault="00000000">
    <w:pPr>
      <w:pBdr>
        <w:bottom w:val="single" w:sz="4" w:space="2" w:color="AAAAAA"/>
      </w:pBdr>
      <w:tabs>
        <w:tab w:val="right" w:pos="9026"/>
      </w:tabs>
      <w:spacing w:after="80"/>
    </w:pPr>
    <w:r>
      <w:rPr>
        <w:i/>
        <w:iCs/>
        <w:color w:val="4A4A4A"/>
        <w:sz w:val="18"/>
        <w:szCs w:val="18"/>
      </w:rPr>
      <w:t>MSME Alternative Credit Intelligence Platform  –  Project Synopsis</w:t>
    </w:r>
    <w:r>
      <w:rPr>
        <w:color w:val="4A4A4A"/>
        <w:sz w:val="18"/>
        <w:szCs w:val="18"/>
      </w:rPr>
      <w:tab/>
      <w:t>[</w:t>
    </w:r>
    <w:r w:rsidR="004C61B5">
      <w:rPr>
        <w:color w:val="4A4A4A"/>
        <w:sz w:val="18"/>
        <w:szCs w:val="18"/>
      </w:rPr>
      <w:t>Gaurav Singh</w:t>
    </w:r>
    <w:r>
      <w:rPr>
        <w:color w:val="4A4A4A"/>
        <w:sz w:val="18"/>
        <w:szCs w:val="18"/>
      </w:rPr>
      <w:t>]  |  Roll No. [</w:t>
    </w:r>
    <w:r w:rsidR="004C61B5">
      <w:rPr>
        <w:color w:val="4A4A4A"/>
        <w:sz w:val="18"/>
        <w:szCs w:val="18"/>
      </w:rPr>
      <w:t>2520010243</w:t>
    </w:r>
    <w:r>
      <w:rPr>
        <w:color w:val="4A4A4A"/>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66CAF"/>
    <w:multiLevelType w:val="hybridMultilevel"/>
    <w:tmpl w:val="8D545400"/>
    <w:lvl w:ilvl="0" w:tplc="D5D6FB88">
      <w:start w:val="1"/>
      <w:numFmt w:val="bullet"/>
      <w:lvlText w:val="●"/>
      <w:lvlJc w:val="left"/>
      <w:pPr>
        <w:ind w:left="720" w:hanging="360"/>
      </w:pPr>
    </w:lvl>
    <w:lvl w:ilvl="1" w:tplc="1A768066">
      <w:start w:val="1"/>
      <w:numFmt w:val="bullet"/>
      <w:lvlText w:val="○"/>
      <w:lvlJc w:val="left"/>
      <w:pPr>
        <w:ind w:left="1440" w:hanging="360"/>
      </w:pPr>
    </w:lvl>
    <w:lvl w:ilvl="2" w:tplc="697071F2">
      <w:start w:val="1"/>
      <w:numFmt w:val="bullet"/>
      <w:lvlText w:val="■"/>
      <w:lvlJc w:val="left"/>
      <w:pPr>
        <w:ind w:left="2160" w:hanging="360"/>
      </w:pPr>
    </w:lvl>
    <w:lvl w:ilvl="3" w:tplc="C39232AE">
      <w:start w:val="1"/>
      <w:numFmt w:val="bullet"/>
      <w:lvlText w:val="●"/>
      <w:lvlJc w:val="left"/>
      <w:pPr>
        <w:ind w:left="2880" w:hanging="360"/>
      </w:pPr>
    </w:lvl>
    <w:lvl w:ilvl="4" w:tplc="C082BBB0">
      <w:start w:val="1"/>
      <w:numFmt w:val="bullet"/>
      <w:lvlText w:val="○"/>
      <w:lvlJc w:val="left"/>
      <w:pPr>
        <w:ind w:left="3600" w:hanging="360"/>
      </w:pPr>
    </w:lvl>
    <w:lvl w:ilvl="5" w:tplc="E556B784">
      <w:start w:val="1"/>
      <w:numFmt w:val="bullet"/>
      <w:lvlText w:val="■"/>
      <w:lvlJc w:val="left"/>
      <w:pPr>
        <w:ind w:left="4320" w:hanging="360"/>
      </w:pPr>
    </w:lvl>
    <w:lvl w:ilvl="6" w:tplc="D2522D5A">
      <w:start w:val="1"/>
      <w:numFmt w:val="bullet"/>
      <w:lvlText w:val="●"/>
      <w:lvlJc w:val="left"/>
      <w:pPr>
        <w:ind w:left="5040" w:hanging="360"/>
      </w:pPr>
    </w:lvl>
    <w:lvl w:ilvl="7" w:tplc="2AB4C96A">
      <w:start w:val="1"/>
      <w:numFmt w:val="bullet"/>
      <w:lvlText w:val="●"/>
      <w:lvlJc w:val="left"/>
      <w:pPr>
        <w:ind w:left="5760" w:hanging="360"/>
      </w:pPr>
    </w:lvl>
    <w:lvl w:ilvl="8" w:tplc="9828C34C">
      <w:start w:val="1"/>
      <w:numFmt w:val="bullet"/>
      <w:lvlText w:val="●"/>
      <w:lvlJc w:val="left"/>
      <w:pPr>
        <w:ind w:left="6480" w:hanging="360"/>
      </w:pPr>
    </w:lvl>
  </w:abstractNum>
  <w:num w:numId="1" w16cid:durableId="1281843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F86"/>
    <w:rsid w:val="00002940"/>
    <w:rsid w:val="000B01A9"/>
    <w:rsid w:val="004C61B5"/>
    <w:rsid w:val="00524F86"/>
    <w:rsid w:val="00592F97"/>
    <w:rsid w:val="00D36703"/>
    <w:rsid w:val="00DE69F2"/>
    <w:rsid w:val="00DF78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E45AB"/>
  <w15:docId w15:val="{43ED91F9-22DB-437A-8E36-27A2A4A4B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61B5"/>
    <w:pPr>
      <w:tabs>
        <w:tab w:val="center" w:pos="4513"/>
        <w:tab w:val="right" w:pos="9026"/>
      </w:tabs>
    </w:pPr>
  </w:style>
  <w:style w:type="character" w:customStyle="1" w:styleId="HeaderChar">
    <w:name w:val="Header Char"/>
    <w:basedOn w:val="DefaultParagraphFont"/>
    <w:link w:val="Header"/>
    <w:uiPriority w:val="99"/>
    <w:rsid w:val="004C61B5"/>
  </w:style>
  <w:style w:type="paragraph" w:styleId="Footer">
    <w:name w:val="footer"/>
    <w:basedOn w:val="Normal"/>
    <w:link w:val="FooterChar"/>
    <w:uiPriority w:val="99"/>
    <w:unhideWhenUsed/>
    <w:rsid w:val="004C61B5"/>
    <w:pPr>
      <w:tabs>
        <w:tab w:val="center" w:pos="4513"/>
        <w:tab w:val="right" w:pos="9026"/>
      </w:tabs>
    </w:pPr>
  </w:style>
  <w:style w:type="character" w:customStyle="1" w:styleId="FooterChar">
    <w:name w:val="Footer Char"/>
    <w:basedOn w:val="DefaultParagraphFont"/>
    <w:link w:val="Footer"/>
    <w:uiPriority w:val="99"/>
    <w:rsid w:val="004C61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2579</Words>
  <Characters>14704</Characters>
  <Application>Microsoft Office Word</Application>
  <DocSecurity>0</DocSecurity>
  <Lines>122</Lines>
  <Paragraphs>34</Paragraphs>
  <ScaleCrop>false</ScaleCrop>
  <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BISHT</cp:lastModifiedBy>
  <cp:revision>3</cp:revision>
  <dcterms:created xsi:type="dcterms:W3CDTF">2026-06-11T06:30:00Z</dcterms:created>
  <dcterms:modified xsi:type="dcterms:W3CDTF">2026-06-11T08:46:00Z</dcterms:modified>
</cp:coreProperties>
</file>