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Override PartName="/word/endnotes.xml" ContentType="application/vnd.openxmlformats-officedocument.wordprocessingml.endnot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a="http://schemas.openxmlformats.org/drawingml/2006/main" xmlns:pic="http://schemas.openxmlformats.org/drawingml/2006/pictur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ManuscriptTitle"/>
      </w:pPr>
      <w:r>
        <w:t xml:space="preserve">The taxonomic correction process: how often are taxonomic hypotheses accepted, rejected and then accepted again?</w:t>
      </w:r>
    </w:p>
    <w:p>
      <w:pPr>
        <w:pStyle w:val="BodyText"/>
      </w:pPr>
    </w:p>
    <w:p>
      <w:pPr>
        <w:pStyle w:val="BodyText"/>
      </w:pPr>
    </w:p>
    <w:p w14:paraId="MPSection:599905AE-2E3C-4ABA-82C9-5B351050EE70">
      <w:pPr>
        <w:pStyle w:val="SectionHeading"/>
      </w:pPr>
      <w:bookmarkStart w:id="1" w:name="MPSection:599905AE-2E3C-4ABA-82C9-5B3510"/>
      <w:r>
        <w:t xml:space="preserve">1.  Abstract</w:t>
      </w:r>
    </w:p>
    <w:bookmarkEnd w:id="1"/>
    <w:p w14:paraId="MPParagraphElement:813FFA7C-D79F-45C6-B999-9D703A7542BB">
      <w:pPr>
        <w:pStyle w:val="BodyText"/>
      </w:pPr>
    </w:p>
    <w:p w14:paraId="MPSection:719E44D5-838F-40FF-84CA-3805716344B0">
      <w:pPr>
        <w:pStyle w:val="SectionHeading"/>
      </w:pPr>
      <w:bookmarkStart w:id="2" w:name="MPSection:719E44D5-838F-40FF-84CA-380571"/>
      <w:r>
        <w:t xml:space="preserve">2.  Introduction</w:t>
      </w:r>
    </w:p>
    <w:bookmarkEnd w:id="2"/>
    <w:p w14:paraId="MPParagraphElement:377C5106-E49B-480C-E0AA-63B6941AE8FD">
      <w:pPr>
        <w:pStyle w:val="BodyText"/>
      </w:pPr>
      <w:r>
        <w:t xml:space="preserve">The goal of taxonomy is to provide a complete, accurate catalogue of planetary biodiversity. When taxonomists encounter a putative new species, they collect evidence to support the hypothesis that it is distinct enough from any known species to necessitate its own name. If so, this species is formally described and is given a new name under the appropriate codes of nomenclature </w:t>
      </w:r>
      <w:r>
        <w:t xml:space="preserve">[1,2]</w:t>
      </w:r>
      <w:r>
        <w:t xml:space="preserve">. Over 16,000 species have been described every year between 2000 and 2010 </w:t>
      </w:r>
      <w:r>
        <w:t xml:space="preserve">[3]</w:t>
      </w:r>
      <w:r>
        <w:t xml:space="preserve">, and both the number of new descriptions and the number of authors involved in species description across multiple plant and animal groups have been rising since the 1750s, while the number of species described by each author has been falling </w:t>
      </w:r>
      <w:r>
        <w:t xml:space="preserve">[4,5]</w:t>
      </w:r>
      <w:r>
        <w:t xml:space="preserve">. Some authors have concluded that these observations indicate that more taxonomists are chasing fewer remaining species, suggesting that species description is approaching completion </w:t>
      </w:r>
      <w:r>
        <w:t xml:space="preserve">[6]</w:t>
      </w:r>
      <w:r>
        <w:t xml:space="preserve">. But the taxonomic process remains incomplete even after all species have been initially described: once those species have been described, an unknown proportion of them will be re-tested and, if falsified, may be rejected in favour of other hypotheses of conspecificity </w:t>
      </w:r>
      <w:r>
        <w:t xml:space="preserve">[7]</w:t>
      </w:r>
      <w:r>
        <w:t xml:space="preserve">. The proportion of species hypotheses that will eventually be falsified may be expected to vary over time as techniques and species delimitation philosophies change, as later taxonomists have access to more evidence than those working previously, and as previously falsified hypotheses are retested in light of new evidence. Understanding how often these changes take place may allow us to estimate when species description and taxonomic corrections will both be completed. The taxonomic correction process also complicates data aggregation from multiple sources on the basis of scientific name alone </w:t>
      </w:r>
      <w:r>
        <w:t xml:space="preserve">[8]</w:t>
      </w:r>
      <w:r>
        <w:t xml:space="preserve">. This problem limits the usability of large global scale occurrence databases that collect data from multiple types of data — from museum collection records to citizen science observations — such as GBIF or OBIS. Corrections that change the circumscription of a name — its “taxon concept” </w:t>
      </w:r>
      <w:r>
        <w:rPr>
          <w:i/>
        </w:rPr>
        <w:t xml:space="preserve">sensu</w:t>
      </w:r>
      <w:r>
        <w:t xml:space="preserve"> Franz </w:t>
      </w:r>
      <w:r>
        <w:rPr>
          <w:i/>
        </w:rPr>
        <w:t xml:space="preserve">et al.</w:t>
      </w:r>
      <w:r>
        <w:t xml:space="preserve"> </w:t>
      </w:r>
      <w:r>
        <w:t xml:space="preserve">[9]</w:t>
      </w:r>
      <w:r>
        <w:t xml:space="preserve"> — may occur without any corresponding change in its scientific name. Rates of taxonomic correction have previously been investigated at the nomenclature level </w:t>
      </w:r>
      <w:r>
        <w:t xml:space="preserve">[10]</w:t>
      </w:r>
      <w:r>
        <w:t xml:space="preserve">, but changes in the accepted name are relatively easy for biodiversity databases to deal with. Estimating how many taxon concepts each name is associated may allow us estimate how much error is introduced to large analyses by ignoring these types of corrections, and which species are most likely to eventually need correction.</w:t>
      </w:r>
    </w:p>
    <w:p w14:paraId="MPParagraphElement:34CC8178-A2A3-4313-D3BE-9D47B67CB440">
      <w:pPr>
        <w:pStyle w:val="BodyText"/>
      </w:pPr>
      <w:r>
        <w:t xml:space="preserve">The question of which species will eventually need correction is particularly pertinent to a recent discussion of the causes of taxonomic inflation. A seminal paper by Isaac </w:t>
      </w:r>
      <w:r>
        <w:rPr>
          <w:i/>
        </w:rPr>
        <w:t xml:space="preserve">et al.</w:t>
      </w:r>
      <w:r>
        <w:t xml:space="preserve">, 2009 </w:t>
      </w:r>
      <w:r>
        <w:t xml:space="preserve">[11]</w:t>
      </w:r>
      <w:r>
        <w:t xml:space="preserve"> identifies “taxonomic inflation” as a sharp increase in the number of subspecies being raised to full species since the 1950s (often referred to as “splitting”) across a wide range of animal groups </w:t>
      </w:r>
      <w:r>
        <w:t xml:space="preserve">[12]</w:t>
      </w:r>
      <w:r>
        <w:t xml:space="preserve">, including primates </w:t>
      </w:r>
      <w:r>
        <w:t xml:space="preserve">[11,13]</w:t>
      </w:r>
      <w:r>
        <w:t xml:space="preserve">, amphibians </w:t>
      </w:r>
      <w:r>
        <w:t xml:space="preserve">[14]</w:t>
      </w:r>
      <w:r>
        <w:t xml:space="preserve">, bovids </w:t>
      </w:r>
      <w:r>
        <w:t xml:space="preserve">[15]</w:t>
      </w:r>
      <w:r>
        <w:t xml:space="preserve"> and birds </w:t>
      </w:r>
      <w:r>
        <w:t xml:space="preserve">[16]</w:t>
      </w:r>
      <w:r>
        <w:t xml:space="preserve">. Isaac </w:t>
      </w:r>
      <w:r>
        <w:rPr>
          <w:i/>
        </w:rPr>
        <w:t xml:space="preserve">et al. </w:t>
      </w:r>
      <w:r>
        <w:t xml:space="preserve">hypothesise that this may result from a philosophical change among taxonomists, from the biological species concept (BSC) to the phylogenetic species concept (PSC), but Sangster </w:t>
      </w:r>
      <w:r>
        <w:t xml:space="preserve">[16,17]</w:t>
      </w:r>
      <w:r>
        <w:t xml:space="preserve"> has shown convincingly that there have been no wholesale change in the criteria used to delimit species boundaries in birds since the 1950s. In primates, these changes have been found to have a positive effect on the understanding of taxonomic boundaries because of its insistence on testability and falsifiability </w:t>
      </w:r>
      <w:r>
        <w:t xml:space="preserve">[13]</w:t>
      </w:r>
      <w:r>
        <w:t xml:space="preserve">. An alternate explanation for the current high rate of splitting was raised by Gill </w:t>
      </w:r>
      <w:r>
        <w:t xml:space="preserve">[18]</w:t>
      </w:r>
      <w:r>
        <w:t xml:space="preserve">, who noted that taxonomists today are working on a “backlog of polytypic species awaiting attention”, which may have been created by wholesale merging of more finely circumscribed species into polytypic species “in the early days of the biological species concept [...] not based on strong biological evidence” (</w:t>
      </w:r>
      <w:r>
        <w:t xml:space="preserve">[19]</w:t>
      </w:r>
      <w:r>
        <w:t xml:space="preserve">, quoted in </w:t>
      </w:r>
      <w:r>
        <w:t xml:space="preserve">[18]</w:t>
      </w:r>
      <w:r>
        <w:t xml:space="preserve">). Gill postulates that not all taxonomic corrections represent taxonomic progress; instead, some proportion of them are “recorrected” later on. This corresponds to a special category of taxonomic corrections — the “recorrections” of existing corrections — that are currently understudied. In particular, these has been no quantitative examination of how recent taxonomic efforts relate to those in the past, especially the key question of if and how new effort is recorrecting previous corrections. We further delineate testable questions below, but first discuss the importance of checklists for examining taxon concept changes.</w:t>
      </w:r>
    </w:p>
    <w:p w14:paraId="MPParagraphElement:B395CAF9-93E7-40EA-BEF8-8991F0ACC862">
      <w:pPr>
        <w:pStyle w:val="BodyText"/>
      </w:pPr>
      <w:r>
        <w:rPr>
          <w:b/>
        </w:rPr>
        <w:t xml:space="preserve">The importance of taxonomic checklists. </w:t>
      </w:r>
      <w:r>
        <w:t xml:space="preserve">Studies of species description generally start with a dataset of all species described within a particular time period, as recorded by an index of species descriptions (e.g. </w:t>
      </w:r>
      <w:r>
        <w:t xml:space="preserve">[4]</w:t>
      </w:r>
      <w:r>
        <w:t xml:space="preserve">) or by taking lists of recognised species and identifying when and by whom they had been described (e.g. </w:t>
      </w:r>
      <w:r>
        <w:t xml:space="preserve">[5]</w:t>
      </w:r>
      <w:r>
        <w:t xml:space="preserve">). Neither of these approaches can be applied to taxonomic corrections: no widely used dataset of taxonomic changes exist, although datasets of nomenclatural changes are now being built by individual publishers (e.g. </w:t>
      </w:r>
      <w:r>
        <w:t xml:space="preserve">[20]</w:t>
      </w:r>
      <w:r>
        <w:t xml:space="preserve">). Taxonomic changes published in a wide variety of scientific literature and a variety of non-peer-reviewed publications, from scientific monographs to taxonomic checklists to general-interest identification guides. Previous analyses have surveyed a set of journals where taxonomic changes are likely to be published (e.g. </w:t>
      </w:r>
      <w:r>
        <w:t xml:space="preserve">[16,17]</w:t>
      </w:r>
      <w:r>
        <w:t xml:space="preserve">), but there is no easy way to determine if a particular proposal has gained widespread recognition within its taxonomic community. Conventional methods to gauge the impact of a publication, such as citations counts, cannot help us: a contentious proposal may be heavily cited by scientists disputing it, while a generally accepted proposal may only be cited a few times before being incorporated into field guides or taxonomic checklists, which may then be cited instead.</w:t>
      </w:r>
    </w:p>
    <w:p w14:paraId="MPParagraphElement:99379AAA-96E4-4765-FCE7-D143DFB72BFB">
      <w:pPr>
        <w:pStyle w:val="BodyText"/>
      </w:pPr>
      <w:r>
        <w:t xml:space="preserve">One source of taxonomic changes both representative within a taxonomic group and are widely recognised by taxonomists and other biologists are taxonomic checklists: expert-curated authoritative lists of recognized species within a taxonomic group in a particular geographical area. They are widely used by both scientists and non-scientists to distinguish species in field, museum and lab settings, and represent one of the most important outputs of taxonomy. In this study, we focussed on a single checklist that has been maintained over the last 127 years by the North American Classification Committee of the American Ornithologists' Union (AOU): the </w:t>
      </w:r>
      <w:r>
        <w:rPr>
          <w:i/>
        </w:rPr>
        <w:t xml:space="preserve">Check-List of North American Birds</w:t>
      </w:r>
      <w:r>
        <w:t xml:space="preserve">, hereafter referred to as the "AOU Checklist". This checklist was first published in 1886, and has been maintained by the AOU through six major and fifty-seven minor updates since then </w:t>
      </w:r>
      <w:r>
        <w:t xml:space="preserve">[21]</w:t>
      </w:r>
      <w:r>
        <w:t xml:space="preserve">. Proposed changes are vetted by the Classification Committee; a two-thirds majority can accept proposals, which are published as a series of editions and supplements </w:t>
      </w:r>
      <w:r>
        <w:t xml:space="preserve">[22]</w:t>
      </w:r>
      <w:r>
        <w:t xml:space="preserve">. The checklist therefore provides a community review process for corrections and continues to be widely used as an authoritative source for taxonomic names among professional and amateur birders, either directly or indirectly through birding organisations and field guides that track the AOU Checklist, including the National Audubon Society’s Bird Guide App </w:t>
      </w:r>
      <w:r>
        <w:t xml:space="preserve">[23]</w:t>
      </w:r>
      <w:r>
        <w:t xml:space="preserve">, the Cornell Lab of Ornithology’s eBird/Clements Checklist </w:t>
      </w:r>
      <w:r>
        <w:t xml:space="preserve">[24]</w:t>
      </w:r>
      <w:r>
        <w:t xml:space="preserve">, the American Birding Association Checklist </w:t>
      </w:r>
      <w:r>
        <w:t xml:space="preserve">[25]</w:t>
      </w:r>
      <w:r>
        <w:t xml:space="preserve">, and the Sibley Guide to Birds </w:t>
      </w:r>
      <w:r>
        <w:t xml:space="preserve">[26]</w:t>
      </w:r>
      <w:r>
        <w:t xml:space="preserve">. Birds are generally believed to be a group that has been largely described (e.g. </w:t>
      </w:r>
      <w:r>
        <w:t xml:space="preserve">[27]</w:t>
      </w:r>
      <w:r>
        <w:t xml:space="preserve">), and North American birds have been studied for over 250 years </w:t>
      </w:r>
      <w:r>
        <w:t xml:space="preserve">[28]</w:t>
      </w:r>
      <w:r>
        <w:t xml:space="preserve">. Since this group was central to the development of both the biological species concept </w:t>
      </w:r>
      <w:r>
        <w:t xml:space="preserve">[29]</w:t>
      </w:r>
      <w:r>
        <w:t xml:space="preserve">, the phylogenetic species concept </w:t>
      </w:r>
      <w:r>
        <w:t xml:space="preserve">[30]</w:t>
      </w:r>
      <w:r>
        <w:t xml:space="preserve"> and Gill’s observations of recorrection patterns, they are a particularly apt group to begin studies of taxonomic change.</w:t>
      </w:r>
    </w:p>
    <w:p w14:paraId="MPParagraphElement:93B19657-EFF9-4E0E-CAC5-82E8C15980C5">
      <w:pPr>
        <w:pStyle w:val="BodyText"/>
      </w:pPr>
      <w:r>
        <w:rPr>
          <w:b/>
        </w:rPr>
        <w:t xml:space="preserve">Key questions. </w:t>
      </w:r>
      <w:r>
        <w:t xml:space="preserve">Our analysis focused on changes that alter the circumscription of a scientific name without altering the name itself. These are of two kinds: the division of putative species into multiple species (“splits”), which usually occurs through the raising of a subspecies to a full species, and the union of putative species into polytypic species (“lumps”). A polytypic species as used here is simply one that contains several subspecies; we do not distinguish between polytypic species that are created through the description of new subspecies and those formed by lumping species. In order to better understand how post-description taxonomic circumscriptions change, we quantified several rates: we defined the “correction rate” as the proportion of recognized species that have ever been corrected, the “recorrection rate” as the proportion of recognized species that have been corrected more than once, and the “perfect reversion rate” as the proportion of all corrections that completely reverted an earlier correction (i.e. when a lump is subsequently resplit, or a split is subsequently relumped). We further defined the “reversion rate” as the proportion of all corrections that have been partially or completely reverted, in which two or more split species are relumped (possibly along with other species), or where two or more lumped species are resplit (possibly along with other species). These measures provide an insight into the taxonomic correction process within a group marked by a low level of species description.</w:t>
      </w:r>
    </w:p>
    <w:p w14:paraId="MPParagraphElement:7839EC34-2147-415C-AA13-22B9F3880749">
      <w:pPr>
        <w:pStyle w:val="BodyText"/>
      </w:pPr>
      <w:r>
        <w:t xml:space="preserve">To test whether newly recognised bird species are the result of resplitting previous lumps, we determined the proportion of all splits that were the result of a previous lump and those where the split resulting in a species that had never previously been recognised by the AOU Checklist. If this period of splitting is largely the result of undoing lumping from the 1940s and 1950s, then we would expect splitting to continue until it roughly equals the amount of observed lumping; if, on the other hand, it is largely driven by discoveries that while previously described in the taxonomic literature had never been accepted by the Classification Committee, then we cannot estimate when splitting might end based on the number of lumps alone.</w:t>
      </w:r>
    </w:p>
    <w:p w14:paraId="MPParagraphElement:9BDF9561-D4BE-4DFF-93B3-467F2E5CA7DA">
      <w:pPr>
        <w:pStyle w:val="BodyText"/>
      </w:pPr>
      <w:r>
        <w:t xml:space="preserve">{{$$$ This used to be the original text here, but I think our analysis of lumps -&gt; splits vs splits -&gt; lumps makes more sense? Should we delete this? — In order to test whether post-1980s splitting is the direct result of pre-1980s lumping, we tested the null hypothesis that species lumped before 1980 are no more likely to be subsequently split than all species recognized in 1980: we expect the former proportion to be significantly higher than the latter. We also tested to see how many post-1980 splits reverted previous lumps, supporting Gill's supposition that increasing numbers of recognized species are in part being driven by the resplitting of previously lumped species. Finally, we determine if recorrections are generating previously extant taxon concepts by fully reverting previous corrections, or creating new concepts that had not been previously recognized.}}</w:t>
      </w:r>
    </w:p>
    <w:p w14:paraId="MPParagraphElement:6F8212AE-8CA6-44D5-B3DE-924DDA7B1D0A">
      <w:pPr>
        <w:pStyle w:val="BodyText"/>
      </w:pPr>
      <w:r>
        <w:t xml:space="preserve">These measurements will help us understand how often corrections, recorrections and reversions take place in this one taxonomically and spatially localised group, with limited utility until this study can be replicated on other groups. However, it provides an essential first step to the broader examination of changing rates of lumping and splitting in the 20th century, and the determination of factors for why some taxonomic groups may be more or less likely to be corrected or recorrected than any other. Quantifying these patterns provides a more empirical basis to understanding trends in taxonomic work that have so far only been discussed qualitatively, and help to elucidate what potential end-states of taxonomic effort may look like.</w:t>
      </w:r>
    </w:p>
    <w:p w14:paraId="MPSection:A2F32ADC-BB2C-4ED9-83F8-032B205FD9DC">
      <w:pPr>
        <w:pStyle w:val="SectionHeading"/>
      </w:pPr>
      <w:bookmarkStart w:id="3" w:name="MPSection:A2F32ADC-BB2C-4ED9-83F8-032B20"/>
      <w:r>
        <w:t xml:space="preserve">3.  Materials and Methods</w:t>
      </w:r>
    </w:p>
    <w:bookmarkEnd w:id="3"/>
    <w:p w14:paraId="MPParagraphElement:8B6E5365-C903-48C7-AB2C-1EE961B0A8B9">
      <w:pPr>
        <w:pStyle w:val="BodyText"/>
      </w:pPr>
      <w:r>
        <w:rPr>
          <w:b/>
        </w:rPr>
        <w:t xml:space="preserve">Source data. </w:t>
      </w:r>
      <w:r>
        <w:t xml:space="preserve">The AOU Checklist consists of sixty-four checklists published between 1886 and 2016: seven major editions, which list every recognised species, and fifty-seven “supplements”, which list changes to the checklist since the previous supplement (S1 Table). We began with lists of additions, deletions and changes in scientific names to the AOU Checklist collected by one of the authors (DL) for checklists published between 1886 and 2012. These changes were collected as part of the online database Avibase </w:t>
      </w:r>
      <w:r>
        <w:t xml:space="preserve">[31]</w:t>
      </w:r>
      <w:r>
        <w:t xml:space="preserve">, which also contains information on which taxon concepts are entirely contained within others </w:t>
      </w:r>
      <w:r>
        <w:t xml:space="preserve">[32]</w:t>
      </w:r>
      <w:r>
        <w:t xml:space="preserve">. Based on this information, we were able to identify additions and deletions that involve overlapping circumscriptions. We checked these changes against the AOU Checklists themselves to identify changes that were explicitly stated to be a lump or split in the publications; for instance, "...we divide </w:t>
      </w:r>
      <w:r>
        <w:rPr>
          <w:i/>
        </w:rPr>
        <w:t xml:space="preserve">B[ranta] canadensis</w:t>
      </w:r>
      <w:r>
        <w:t xml:space="preserve"> by recognising a set of smaller-bodied forms as the species </w:t>
      </w:r>
      <w:r>
        <w:rPr>
          <w:i/>
        </w:rPr>
        <w:t xml:space="preserve">B. hutchinsii</w:t>
      </w:r>
      <w:r>
        <w:t xml:space="preserve">..." from </w:t>
      </w:r>
      <w:r>
        <w:t xml:space="preserve">[33]</w:t>
      </w:r>
      <w:r>
        <w:t xml:space="preserve">. This means that several putative lumps and splits were excluded from our analyses as we could not be certain that they were intended as such. For example, the 34th Supplement (1982) </w:t>
      </w:r>
      <w:r>
        <w:t xml:space="preserve">[34]</w:t>
      </w:r>
      <w:r>
        <w:t xml:space="preserve"> includes the deletion of </w:t>
      </w:r>
      <w:r>
        <w:rPr>
          <w:i/>
        </w:rPr>
        <w:t xml:space="preserve">Melanitta deglandi</w:t>
      </w:r>
      <w:r>
        <w:t xml:space="preserve">, which Avibase records as having been lumped into </w:t>
      </w:r>
      <w:r>
        <w:rPr>
          <w:i/>
        </w:rPr>
        <w:t xml:space="preserve">Melanitta fusca</w:t>
      </w:r>
      <w:r>
        <w:t xml:space="preserve">. As this supplement consists solely of a list of recognized species, we have no evidence that this was indeed intended to be a lump and not a mere deletion; therefore, we conservatively assumed that the change had been made because of changes in species ranges and not taxonomic amendations. Our measures are therefore conservative counts that are likely smaller than the true values. Furthermore, since the 34th Supplement gave us a list of all species recognised in 1982, we used it to correct any discrepancies that may have entered our dataset before that date. For checklists between 2013 and 2016, we extracted the lumps, splits and name changes directly from the supplements themselves. We found 121 lumps and 185 splits.</w:t>
      </w:r>
    </w:p>
    <w:p w14:paraId="MPParagraphElement:8B7568AC-5028-4D0C-FC24-7F424F5AECFD">
      <w:pPr>
        <w:pStyle w:val="BodyText"/>
      </w:pPr>
      <w:r>
        <w:rPr>
          <w:b/>
        </w:rPr>
        <w:t xml:space="preserve">Geographic range changes in our data. </w:t>
      </w:r>
      <w:r>
        <w:t xml:space="preserve">Our analysis was complicated by a dramatic change in the geographic range of the AOU Checklist in 1982 and 1983, expanding to include Mexico, the Hawaiian islands, the Caribbean Islands and Central America while removing species found only in Greenland. From approx. 789 species recognised in the 33rd Supplement (1976) </w:t>
      </w:r>
      <w:r>
        <w:t xml:space="preserve">[35]</w:t>
      </w:r>
      <w:r>
        <w:t xml:space="preserve">, the number of recognized species rose to 933 species in the 34th Supplement (1982) </w:t>
      </w:r>
      <w:r>
        <w:t xml:space="preserve">[34]</w:t>
      </w:r>
      <w:r>
        <w:t xml:space="preserve"> and to approx. 1,904 species in the 6th Edition (1983; all counts available in S1 Table). To obtain a consistent picture of taxonomic changes over as long a time period as possible, we eliminated all changes involving species first added to the checklist before 1982. This resulted in 115 unambiguous lumps and 89 unambiguous splits (S2 Table). The number of estimated recognised species after eliminating changes varied from 771 (in 1886) to 976 (in 2015), finally ending at 975 in 2016. We eliminated eleven checklists because no unambiguous lumps or splits took place in them (1894, 1899, 1909, 1912, 1920, 1953, 1957, 1983, 1991, 1998 and 2009). We calculated the cumulative change in the number of lumps and splits over the last 127 years (</w:t>
      </w:r>
      <w:r>
        <w:rPr>
          <w:b/>
        </w:rPr>
        <w:t xml:space="preserve">Figure 1</w:t>
      </w:r>
      <w:r>
        <w:t xml:space="preserve">a) and summarised these changes by decade to look at overall trends (</w:t>
      </w:r>
      <w:r>
        <w:rPr>
          <w:b/>
        </w:rPr>
        <w:t xml:space="preserve">Figure 1</w:t>
      </w:r>
      <w:r>
        <w:t xml:space="preserve">b).</w:t>
      </w:r>
    </w:p>
    <w:p w14:paraId="MPParagraphElement:4CA6886C-9D35-4A0E-829A-66A88337B328">
      <w:pPr>
        <w:pStyle w:val="BodyText"/>
      </w:pPr>
      <w:r>
        <w:rPr>
          <w:b/>
        </w:rPr>
        <w:t xml:space="preserve">Measuring taxonomic change rates. </w:t>
      </w:r>
      <w:r>
        <w:t xml:space="preserve">To account for synonymy while measuring these rates, we assembled “name clusters” that link together species names that have been renamed. For example, </w:t>
      </w:r>
      <w:r>
        <w:rPr>
          <w:i/>
        </w:rPr>
        <w:t xml:space="preserve">Phyllopseustes borealis</w:t>
      </w:r>
      <w:r>
        <w:t xml:space="preserve"> was first added to the AOU Checklist in 1886, but has since become known as </w:t>
      </w:r>
      <w:r>
        <w:rPr>
          <w:i/>
        </w:rPr>
        <w:t xml:space="preserve">Acanthopneuste borealis</w:t>
      </w:r>
      <w:r>
        <w:t xml:space="preserve"> and </w:t>
      </w:r>
      <w:r>
        <w:rPr>
          <w:i/>
        </w:rPr>
        <w:t xml:space="preserve">Phylloscopus borealis </w:t>
      </w:r>
      <w:r>
        <w:t xml:space="preserve">as it was reclassified into different genera. Each name cluster refers to one or more taxon concepts, divided on the basis of lumps and splits. We built a list of these taxon concepts, along with the checklists in which they were first added, all the checklists that explicitly referred to this taxon concept, and the last checklist in which this concept was recognised before being changed (S3 Table).</w:t>
      </w:r>
    </w:p>
    <w:p w14:paraId="MPParagraphElement:AF45F821-7724-4D87-E095-FDBEC2780108">
      <w:pPr>
        <w:pStyle w:val="BodyText"/>
      </w:pPr>
      <w:r>
        <w:t xml:space="preserve">We measured the correction rate as the proportion of currently recognised name clusters (after removing those added after 1981) that had more than one taxon concepts associated with it, and the recorrection rate as the proportion that have two or more taxon concepts associated with it. We measured the reversion rate as the proportional of all lumps and splits that partially undid a previous split or lump. For example, </w:t>
      </w:r>
      <w:r>
        <w:rPr>
          <w:i/>
        </w:rPr>
        <w:t xml:space="preserve">Rallus obsoletus</w:t>
      </w:r>
      <w:r>
        <w:t xml:space="preserve"> was lumped into </w:t>
      </w:r>
      <w:r>
        <w:rPr>
          <w:i/>
        </w:rPr>
        <w:t xml:space="preserve">Rallus longirostris</w:t>
      </w:r>
      <w:r>
        <w:t xml:space="preserve"> in the 19th Supplement </w:t>
      </w:r>
      <w:r>
        <w:t xml:space="preserve">[36]</w:t>
      </w:r>
      <w:r>
        <w:t xml:space="preserve">, but </w:t>
      </w:r>
      <w:r>
        <w:rPr>
          <w:i/>
        </w:rPr>
        <w:t xml:space="preserve">R. longirostris</w:t>
      </w:r>
      <w:r>
        <w:t xml:space="preserve"> was resplit in the 55th Supplement ($$$aou_7_55) yielding </w:t>
      </w:r>
      <w:r>
        <w:rPr>
          <w:i/>
        </w:rPr>
        <w:t xml:space="preserve">R. obsoletus </w:t>
      </w:r>
      <w:r>
        <w:t xml:space="preserve">and </w:t>
      </w:r>
      <w:r>
        <w:rPr>
          <w:i/>
        </w:rPr>
        <w:t xml:space="preserve">R. crepitans</w:t>
      </w:r>
      <w:r>
        <w:t xml:space="preserve">. We classify this as a partial resplit, since without detailed taxon concepts we can’t be sure that the resulting </w:t>
      </w:r>
      <w:r>
        <w:rPr>
          <w:i/>
        </w:rPr>
        <w:t xml:space="preserve">R. obsoletus </w:t>
      </w:r>
      <w:r>
        <w:t xml:space="preserve">recognised currently is congruent with </w:t>
      </w:r>
      <w:r>
        <w:rPr>
          <w:i/>
        </w:rPr>
        <w:t xml:space="preserve">R. obsoletus</w:t>
      </w:r>
      <w:r>
        <w:t xml:space="preserve"> as defined in 1944. In some cases, changes were perfectly reverted: for example, </w:t>
      </w:r>
      <w:r>
        <w:rPr>
          <w:i/>
        </w:rPr>
        <w:t xml:space="preserve">Gallinula galeata</w:t>
      </w:r>
      <w:r>
        <w:t xml:space="preserve"> was lumped into </w:t>
      </w:r>
      <w:r>
        <w:rPr>
          <w:i/>
        </w:rPr>
        <w:t xml:space="preserve">Gallinula chloropus </w:t>
      </w:r>
      <w:r>
        <w:t xml:space="preserve">in the 18th Supplement ($$$aou_3_18) before being resplit in the 52nd Supplement ($$$aou_7_52). We measured these perfect revisions as a "perfect revisionary rate" (S2 Table). To test whether the increase in recognised species is caused by the resplitting of previously lumped species, we determined whether lumps were as likely to be resplit as splits were to be relumped.</w:t>
      </w:r>
    </w:p>
    <w:p w14:paraId="MPParagraphElement:A80CDE77-38A4-46B6-A40E-8FFBD5C5887C">
      <w:pPr>
        <w:pStyle w:val="BodyText"/>
      </w:pPr>
      <w:r>
        <w:t xml:space="preserve">To determine whether newly recognised bird species were the result of resplitting previous lumps, we assembled lists of (1) all 89 splits and (2) the 68 splits (76.4%) that took place after 1982, and determined the proportion of these splits that reverted previous lumps (the “resplitting rate”). Since we expect some splits to resplit previous lumps and some to result in never-previously recognised species, we did not test an extreme null hypothesis. Determining the precise significance of this measure will not be possible until it has been replicated on other groups, but it will provide an insight into when the correction process might be expected to finish.</w:t>
      </w:r>
    </w:p>
    <w:p w14:paraId="MPParagraphElement:8DC29EE6-C24B-4B65-8084-6E98DE571E7F">
      <w:pPr>
        <w:pStyle w:val="BodyText"/>
      </w:pPr>
      <w:r>
        <w:rPr>
          <w:b/>
        </w:rPr>
        <w:t xml:space="preserve">Which species are most likely to be lumped or split? </w:t>
      </w:r>
      <w:r>
        <w:t xml:space="preserve">To determine whether different taxonomic groups showed significantly different amendment rates, we modelled the number of taxonomic changes (lumps + splits) involving currently recognized name clusters (as of 2016 in </w:t>
      </w:r>
      <w:r>
        <w:t xml:space="preserve">[21]</w:t>
      </w:r>
      <w:r>
        <w:t xml:space="preserve">) as a Poisson distribution, in which the rate at which new circumscriptions are added to existing names is assumed to be constant within a taxonomic group. We started by eliminating “extralimital splits” — species that were split over the time period of the study, but are not recognised by the AOU Checklist as they are not found within the geographical area covered by it. Our model had three hierarchical levels of grouping: at the level of genus (</w:t>
      </w:r>
      <w:r>
        <w:rPr>
          <w:i/>
        </w:rPr>
        <w:t xml:space="preserve">π</w:t>
      </w:r>
      <w:r>
        <w:t xml:space="preserve">), family (</w:t>
      </w:r>
      <w:r>
        <w:rPr>
          <w:i/>
        </w:rPr>
        <w:t xml:space="preserve">τ</w:t>
      </w:r>
      <w:r>
        <w:t xml:space="preserve">) and order (</w:t>
      </w:r>
      <w:r>
        <w:rPr>
          <w:i/>
        </w:rPr>
        <w:t xml:space="preserve">ρ</w:t>
      </w:r>
      <w:r>
        <w:t xml:space="preserve">). Additionally, we included an offset to account for the different lengths of time that that different species have been in the checklist. Our hierachical model can be described as:</w:t>
      </w:r>
    </w:p>
    <w:p w14:paraId="MPEquationElement:CDA38CFF-ADC3-474F-EA05-ABA27EEBDFB4">
      <w:pPr>
        <w:keepNext/>
      </w:pPr>
      <m:oMathPara>
        <m:oMath>
          <m:sSub>
            <m:e>
              <m:r>
                <w:rPr>
                  <w:rFonts w:ascii="Cambria Math" w:eastAsia="Cambria Math" w:hAnsi="Cambria Math" w:cs="Cambria Math"/>
                </w:rPr>
                <m:t>y</m:t>
              </m:r>
            </m:e>
            <m:sub>
              <m:r>
                <w:rPr>
                  <w:rFonts w:ascii="Cambria Math" w:eastAsia="Cambria Math" w:hAnsi="Cambria Math" w:cs="Cambria Math"/>
                </w:rPr>
                <m:t>i</m:t>
              </m:r>
            </m:sub>
          </m:sSub>
          <m:r>
            <w:rPr>
              <w:rFonts w:ascii="Cambria Math" w:eastAsia="Cambria Math" w:hAnsi="Cambria Math" w:cs="Cambria Math"/>
            </w:rPr>
            <m:t>∼Poisson(</m:t>
          </m:r>
          <m:sSub>
            <m:e>
              <m:r>
                <w:rPr>
                  <w:rFonts w:ascii="Cambria Math" w:eastAsia="Cambria Math" w:hAnsi="Cambria Math" w:cs="Cambria Math"/>
                </w:rPr>
                <m:t>λ</m:t>
              </m:r>
            </m:e>
            <m:sub>
              <m:r>
                <w:rPr>
                  <w:rFonts w:ascii="Cambria Math" w:eastAsia="Cambria Math" w:hAnsi="Cambria Math" w:cs="Cambria Math"/>
                </w:rPr>
                <m:t>i</m:t>
              </m:r>
            </m:sub>
          </m:sSub>
          <m:r>
            <w:rPr>
              <w:rFonts w:ascii="Cambria Math" w:eastAsia="Cambria Math" w:hAnsi="Cambria Math" w:cs="Cambria Math"/>
            </w:rPr>
            <m:t>)</m:t>
          </m:r>
        </m:oMath>
      </m:oMathPara>
    </w:p>
    <w:p w14:paraId="MPEquationElement:5F09480C-E3F8-4BCA-B9A3-05E4988717B6">
      <w:pPr>
        <w:keepNext/>
      </w:pPr>
      <m:oMathPara>
        <m:oMath>
          <m:r>
            <w:rPr>
              <w:rFonts w:ascii="Cambria Math" w:eastAsia="Cambria Math" w:hAnsi="Cambria Math" w:cs="Cambria Math"/>
            </w:rPr>
            <m:t>log(</m:t>
          </m:r>
          <m:sSub>
            <m:e>
              <m:r>
                <w:rPr>
                  <w:rFonts w:ascii="Cambria Math" w:eastAsia="Cambria Math" w:hAnsi="Cambria Math" w:cs="Cambria Math"/>
                </w:rPr>
                <m:t>λ</m:t>
              </m:r>
            </m:e>
            <m:sub>
              <m:r>
                <w:rPr>
                  <w:rFonts w:ascii="Cambria Math" w:eastAsia="Cambria Math" w:hAnsi="Cambria Math" w:cs="Cambria Math"/>
                </w:rPr>
                <m:t>i</m:t>
              </m:r>
            </m:sub>
          </m:sSub>
          <m:r>
            <w:rPr>
              <w:rFonts w:ascii="Cambria Math" w:eastAsia="Cambria Math" w:hAnsi="Cambria Math" w:cs="Cambria Math"/>
            </w:rPr>
            <m:t>)=</m:t>
          </m:r>
          <m:sSub>
            <m:e>
              <m:r>
                <w:rPr>
                  <w:rFonts w:ascii="Cambria Math" w:eastAsia="Cambria Math" w:hAnsi="Cambria Math" w:cs="Cambria Math"/>
                </w:rPr>
                <m:t>λ</m:t>
              </m:r>
            </m:e>
            <m:sub>
              <m:r>
                <w:rPr>
                  <w:rFonts w:ascii="Cambria Math" w:eastAsia="Cambria Math" w:hAnsi="Cambria Math" w:cs="Cambria Math"/>
                </w:rPr>
                <m:t>0</m:t>
              </m:r>
            </m:sub>
          </m:sSub>
          <m:r>
            <w:rPr>
              <w:rFonts w:ascii="Cambria Math" w:eastAsia="Cambria Math" w:hAnsi="Cambria Math" w:cs="Cambria Math"/>
            </w:rPr>
            <m:t>+</m:t>
          </m:r>
          <m:sSub>
            <m:e>
              <m:r>
                <w:rPr>
                  <w:rFonts w:ascii="Cambria Math" w:eastAsia="Cambria Math" w:hAnsi="Cambria Math" w:cs="Cambria Math"/>
                </w:rPr>
                <m:t>π</m:t>
              </m:r>
            </m:e>
            <m:sub>
              <m:r>
                <w:rPr>
                  <w:rFonts w:ascii="Cambria Math" w:eastAsia="Cambria Math" w:hAnsi="Cambria Math" w:cs="Cambria Math"/>
                </w:rPr>
                <m:t>i</m:t>
              </m:r>
            </m:sub>
          </m:sSub>
          <m:r>
            <w:rPr>
              <w:rFonts w:ascii="Cambria Math" w:eastAsia="Cambria Math" w:hAnsi="Cambria Math" w:cs="Cambria Math"/>
            </w:rPr>
            <m:t>+</m:t>
          </m:r>
          <m:sSub>
            <m:e>
              <m:r>
                <w:rPr>
                  <w:rFonts w:ascii="Cambria Math" w:eastAsia="Cambria Math" w:hAnsi="Cambria Math" w:cs="Cambria Math"/>
                </w:rPr>
                <m:t>τ</m:t>
              </m:r>
            </m:e>
            <m:sub>
              <m:r>
                <w:rPr>
                  <w:rFonts w:ascii="Cambria Math" w:eastAsia="Cambria Math" w:hAnsi="Cambria Math" w:cs="Cambria Math"/>
                </w:rPr>
                <m:t>j[i]</m:t>
              </m:r>
            </m:sub>
          </m:sSub>
          <m:r>
            <w:rPr>
              <w:rFonts w:ascii="Cambria Math" w:eastAsia="Cambria Math" w:hAnsi="Cambria Math" w:cs="Cambria Math"/>
            </w:rPr>
            <m:t>+</m:t>
          </m:r>
          <m:sSub>
            <m:e>
              <m:r>
                <w:rPr>
                  <w:rFonts w:ascii="Cambria Math" w:eastAsia="Cambria Math" w:hAnsi="Cambria Math" w:cs="Cambria Math"/>
                </w:rPr>
                <m:t>ρ</m:t>
              </m:r>
            </m:e>
            <m:sub>
              <m:r>
                <w:rPr>
                  <w:rFonts w:ascii="Cambria Math" w:eastAsia="Cambria Math" w:hAnsi="Cambria Math" w:cs="Cambria Math"/>
                </w:rPr>
                <m:t>k[j[i]]</m:t>
              </m:r>
            </m:sub>
          </m:sSub>
          <m:r>
            <w:rPr>
              <w:rFonts w:ascii="Cambria Math" w:eastAsia="Cambria Math" w:hAnsi="Cambria Math" w:cs="Cambria Math"/>
            </w:rPr>
            <m:t>+log(</m:t>
          </m:r>
          <m:sSub>
            <m:e>
              <m:r>
                <w:rPr>
                  <w:rFonts w:ascii="Cambria Math" w:eastAsia="Cambria Math" w:hAnsi="Cambria Math" w:cs="Cambria Math"/>
                </w:rPr>
                <m:t>t</m:t>
              </m:r>
            </m:e>
            <m:sub>
              <m:r>
                <w:rPr>
                  <w:rFonts w:ascii="Cambria Math" w:eastAsia="Cambria Math" w:hAnsi="Cambria Math" w:cs="Cambria Math"/>
                </w:rPr>
                <m:t>i</m:t>
              </m:r>
            </m:sub>
          </m:sSub>
          <m:r>
            <w:rPr>
              <w:rFonts w:ascii="Cambria Math" w:eastAsia="Cambria Math" w:hAnsi="Cambria Math" w:cs="Cambria Math"/>
            </w:rPr>
            <m:t>)</m:t>
          </m:r>
        </m:oMath>
      </m:oMathPara>
    </w:p>
    <w:p w14:paraId="MPParagraphElement:9A0C1BC9-378F-4795-D7B3-0F8A292A23E5">
      <w:pPr>
        <w:pStyle w:val="BodyText"/>
      </w:pPr>
      <w:r>
        <w:t xml:space="preserve">Each of these parameters were modeled as normally distributed random variables, with a mean of zero and with variable standard deviations (</w:t>
      </w:r>
      <w:r>
        <w:rPr>
          <w:i/>
        </w:rPr>
        <w:t xml:space="preserve">σ</w:t>
      </w:r>
      <w:r>
        <w:rPr>
          <w:i/>
        </w:rPr>
        <w:t xml:space="preserve">π</w:t>
      </w:r>
      <w:r>
        <w:t xml:space="preserve">, </w:t>
      </w:r>
      <w:r>
        <w:rPr>
          <w:i/>
        </w:rPr>
        <w:t xml:space="preserve">σ</w:t>
      </w:r>
      <w:r>
        <w:rPr>
          <w:i/>
        </w:rPr>
        <w:t xml:space="preserve">τ</w:t>
      </w:r>
      <w:r>
        <w:t xml:space="preserve"> and </w:t>
      </w:r>
      <w:r>
        <w:rPr>
          <w:i/>
        </w:rPr>
        <w:t xml:space="preserve">σ</w:t>
      </w:r>
      <w:r>
        <w:rPr>
          <w:i/>
        </w:rPr>
        <w:t xml:space="preserve">ρ</w:t>
      </w:r>
      <w:r>
        <w:t xml:space="preserve"> respectively). </w:t>
      </w:r>
      <w:r>
        <w:rPr>
          <w:i/>
        </w:rPr>
        <w:t xml:space="preserve">t</w:t>
      </w:r>
      <w:r>
        <w:rPr>
          <w:i/>
        </w:rPr>
        <w:t xml:space="preserve">i</w:t>
      </w:r>
      <w:r>
        <w:t xml:space="preserve"> is the number of years that this species has been recognized in the AOU Checklist, to control for some species having had a longer time span within which to be lumped or split than others. This model failed to converge in rSTAN 2.12.1 </w:t>
      </w:r>
      <w:r>
        <w:t xml:space="preserve">[37]</w:t>
      </w:r>
      <w:r>
        <w:t xml:space="preserve">, and so we used transformed parameters to define standard normal deviations that were multipled by the variable standard deviations (see S7 Code). This model converged successfully in rSTAN and gave us an estimate of the overall mean rate as well as the mean rate for every genus, family and order (S4-S6 Tables).</w:t>
      </w:r>
    </w:p>
    <w:p w14:paraId="MPSection:D48BE3C4-DA97-497C-8CFC-FEA08DAFDC24">
      <w:pPr>
        <w:pStyle w:val="SectionHeading"/>
      </w:pPr>
      <w:bookmarkStart w:id="4" w:name="MPSection:D48BE3C4-DA97-497C-8CFC-FEA08D"/>
      <w:r>
        <w:t xml:space="preserve">4.  Results</w:t>
      </w:r>
    </w:p>
    <w:bookmarkEnd w:id="4"/>
    <w:p w14:paraId="MPParagraphElement:F1A40D3C-3DB2-4493-A9F5-110E5EA7E353">
      <w:pPr>
        <w:pStyle w:val="BodyText"/>
      </w:pPr>
      <w:r>
        <w:rPr>
          <w:b/>
        </w:rPr>
        <w:t xml:space="preserve">Overall trends in lumping and splitting. </w:t>
      </w:r>
      <w:r>
        <w:t xml:space="preserve">New species descriptions have effectively ceased in North America: of the 2,127 species currently recognized (as of </w:t>
      </w:r>
      <w:r>
        <w:t xml:space="preserve">[21]</w:t>
      </w:r>
      <w:r>
        <w:t xml:space="preserve">), only 14 species (0.66%) have been described since 1950. Most taxonomic work over the last 127 years have been correcting delimitations. We discovered 115 unambiguous lumps and 89 unambiguous splits on species name clusters added before 1982. Examining the cadence of lumping and splitting (</w:t>
      </w:r>
      <w:r>
        <w:rPr>
          <w:b/>
        </w:rPr>
        <w:t xml:space="preserve">Figure 1</w:t>
      </w:r>
      <w:r>
        <w:t xml:space="preserve">a), we note large numbers of lumps, in particular the 30 lumps in the 19th supplement in 1944 </w:t>
      </w:r>
      <w:r>
        <w:t xml:space="preserve">[36]</w:t>
      </w:r>
      <w:r>
        <w:t xml:space="preserve">, 19 lumps in the 4th edition in 1931 </w:t>
      </w:r>
      <w:r>
        <w:t xml:space="preserve">[38]</w:t>
      </w:r>
      <w:r>
        <w:t xml:space="preserve">, and the 15 lumps in the 32nd supplement in 1973 </w:t>
      </w:r>
      <w:r>
        <w:t xml:space="preserve">[39]</w:t>
      </w:r>
      <w:r>
        <w:t xml:space="preserve">. While there are no specific spikes in the number of splits, most (68, or 76.4%) of the splits in our dataset took place after 1980. Cumulative plots show that lumping has all but ceased since 1980, while splitting rates have sharply increased after 1985 and continue to accelerate (best seen in </w:t>
      </w:r>
      <w:r>
        <w:rPr>
          <w:b/>
        </w:rPr>
        <w:t xml:space="preserve">Figure 1</w:t>
      </w:r>
      <w:r>
        <w:t xml:space="preserve">b). In summary, and based on the trends in the data, new formation of taxonomic concepts in North American birds is mainly driven by splitting of taxa. This rate appears to be accelerating, making it impossible to extrapolate when and if taxonomic corrections via splitting might slow down. As noted by Gill </w:t>
      </w:r>
      <w:r>
        <w:t xml:space="preserve">[18]</w:t>
      </w:r>
      <w:r>
        <w:t xml:space="preserve">, the era of splitting appears to be far from over.</w:t>
      </w:r>
    </w:p>
    <w:tbl>
      <w:tblPr>
        <w:tblStyle w:val="DefaultTableStyle"/>
        <w:tblW w:w="9638" w:type="dxa"/>
        <w:tblLook w:firstRow="false" w:lastRow="false" w:firstColumn="false" w:lastColumn="false" w:noVBand="true" w:noHBand="true"/>
      </w:tblPr>
      <w:tblGrid/>
      <w:tr>
        <w:trPr/>
        <w:tc>
          <w:tcPr/>
          <w:p>
            <w:pPr>
              <w:keepNext/>
            </w:pPr>
            <w:r>
              <w:rPr>
                <w:noProof/>
              </w:rPr>
              <w:drawing>
                <wp:inline distT="0" distB="0" distL="0" distR="0">
                  <wp:extent cx="6120000" cy="3672000"/>
                  <wp:effectExtent l="0" t="0" r="12700" b="0"/>
                  <wp:docPr id="1" name="Figure_1_1"/>
                  <wp:cNvGraphicFramePr>
                    <a:graphicFrameLocks noChangeAspect="1"/>
                  </wp:cNvGraphicFramePr>
                  <a:graphic>
                    <a:graphicData uri="http://schemas.openxmlformats.org/drawingml/2006/picture">
                      <pic:pic>
                        <pic:nvPicPr>
                          <pic:cNvPr name="Figure_1_1.png" id="1"/>
                          <pic:cNvPicPr/>
                        </pic:nvPicPr>
                        <pic:blipFill>
                          <a:blip r:embed="Figure_1_1"/>
                          <a:stretch>
                            <a:fillRect/>
                          </a:stretch>
                        </pic:blipFill>
                        <pic:spPr>
                          <a:xfrm>
                            <a:off x="0" y="0"/>
                            <a:ext cx="6120000" cy="3672000"/>
                          </a:xfrm>
                          <a:prstGeom prst="rect">
                            <a:avLst/>
                          </a:prstGeom>
                        </pic:spPr>
                      </pic:pic>
                    </a:graphicData>
                  </a:graphic>
                </wp:inline>
              </w:drawing>
            </w:r>
          </w:p>
          <w:p>
            <w:pPr>
              <w:pStyle w:val="BodyText"/>
              <w:jc w:val="center"/>
            </w:pPr>
            <w:r>
              <w:rPr>
                <w:b/>
              </w:rPr>
              <w:t xml:space="preserve">A. </w:t>
            </w:r>
          </w:p>
        </w:tc>
      </w:tr>
      <w:tr>
        <w:trPr/>
        <w:tc>
          <w:tcPr/>
          <w:p>
            <w:pPr>
              <w:keepNext/>
            </w:pPr>
            <w:r>
              <w:rPr>
                <w:noProof/>
              </w:rPr>
              <w:drawing>
                <wp:inline distT="0" distB="0" distL="0" distR="0">
                  <wp:extent cx="6120000" cy="4080000"/>
                  <wp:effectExtent l="0" t="0" r="12700" b="0"/>
                  <wp:docPr id="2" name="Figure_1_2"/>
                  <wp:cNvGraphicFramePr>
                    <a:graphicFrameLocks noChangeAspect="1"/>
                  </wp:cNvGraphicFramePr>
                  <a:graphic>
                    <a:graphicData uri="http://schemas.openxmlformats.org/drawingml/2006/picture">
                      <pic:pic>
                        <pic:nvPicPr>
                          <pic:cNvPr name="Figure_1_2.png" id="2"/>
                          <pic:cNvPicPr/>
                        </pic:nvPicPr>
                        <pic:blipFill>
                          <a:blip r:embed="Figure_1_2"/>
                          <a:stretch>
                            <a:fillRect/>
                          </a:stretch>
                        </pic:blipFill>
                        <pic:spPr>
                          <a:xfrm>
                            <a:off x="0" y="0"/>
                            <a:ext cx="6120000" cy="4080000"/>
                          </a:xfrm>
                          <a:prstGeom prst="rect">
                            <a:avLst/>
                          </a:prstGeom>
                        </pic:spPr>
                      </pic:pic>
                    </a:graphicData>
                  </a:graphic>
                </wp:inline>
              </w:drawing>
            </w:r>
          </w:p>
          <w:p>
            <w:pPr>
              <w:pStyle w:val="BodyText"/>
              <w:jc w:val="center"/>
            </w:pPr>
            <w:r>
              <w:rPr>
                <w:b/>
              </w:rPr>
              <w:t xml:space="preserve">B. </w:t>
            </w:r>
          </w:p>
        </w:tc>
      </w:tr>
    </w:tbl>
    <w:p>
      <w:pPr>
        <w:pStyle w:val="BodyTextCaption"/>
        <w:jc w:val="center"/>
      </w:pPr>
      <w:r xml:space="preserve">
        <w:t xml:space="preserve">Figure </w:t>
      </w:r>
      <w:fldSimple w:instr=" SEQ Figure \* ARABIC ">
        <w:r>
          <w:rPr>
            <w:noProof/>
          </w:rPr>
          <w:t>1</w:t>
        </w:r>
      </w:fldSimple>
      <w:r xml:space="preserve">
        <w:t xml:space="preserve"> </w:t>
      </w:r>
      <w:r>
        <w:t xml:space="preserve">Cumulative lumps and splits, showing trends in taxonomic changes within the AOU Checklist between 1886 to 2016. Note that the first decade is incomplete, as we only have data on the eight years from 1889 to 1896.</w:t>
      </w:r>
    </w:p>
    <w:p w14:paraId="MPParagraphElement:658D764A-E0F0-4DA3-A83E-FE3D3B6351CA">
      <w:pPr>
        <w:pStyle w:val="BodyText"/>
      </w:pPr>
      <w:r>
        <w:rPr>
          <w:b/>
        </w:rPr>
        <w:t xml:space="preserve">Measuring taxonomic change rates.</w:t>
      </w:r>
      <w:r>
        <w:t xml:space="preserve"> Our dataset contained a total of 3,522 taxon concepts for the 2,404 species name clusters (S3 Table). ($$$ todo I’ll redo that previous calculation right at the end, as I need to delete the final AOU dataset to do it). Of these, 1,198 taxon concepts refer to the 975 name clusters that are currently recognised </w:t>
      </w:r>
      <w:r>
        <w:rPr>
          <w:i/>
        </w:rPr>
        <w:t xml:space="preserve">($$$ When we come at this from taxon concepts, we get 973! Why?)</w:t>
      </w:r>
      <w:r>
        <w:t xml:space="preserve">. 162 species name clusters were corrected at least once, while 50 name clusters were corrected two or more times, giving us a correction rate of 16.62% and a recorrection rate of 5.15%. ($$$ This should be “currently recognised species”, right? We’re ignoring revisions on species previously recognised but not recognised today. This also creates a discrepancy with the number of lumps and splits, which *do* count all species, even those that aren’t recognised today). Of the 114 lumps and 89 splits in our dataset, 22 lumps (19.13%) and 21 splits (23.6%) were perfectly reverted, giving us an overall perfect reversion rate of 21.08%. If we count partial reversions, 40 lumps (34.78%) and 37 splits (41.57%) have been partially or completed reverted, giving us an overall reversion rate of 37.75%.</w:t>
      </w:r>
    </w:p>
    <w:p w14:paraId="MPParagraphElement:40DE8474-7E37-48B4-93EA-30C559B66547">
      <w:pPr>
        <w:pStyle w:val="BodyText"/>
      </w:pPr>
      <w:r>
        <w:t xml:space="preserve">$$$ RPG: Is this where you look and see if splits/lumps are more likely to be undoing (partially or fully) previous decisions or unrelated to prior corrections? This seems like an important thing to add, right? It gets us to this question if its more recorrection or new corrections.</w:t>
      </w:r>
    </w:p>
    <w:p w14:paraId="MPParagraphElement:54FBB7E5-6E45-446C-B518-8FDFDC0DBF7A">
      <w:pPr>
        <w:pStyle w:val="BodyText"/>
      </w:pPr>
      <w:r>
        <w:rPr>
          <w:b/>
        </w:rPr>
        <w:t xml:space="preserve">Are most splits reverting previous lumps? </w:t>
      </w:r>
      <w:r>
        <w:t xml:space="preserve">As previously noted, 21 splits (23.6%) perfectly reverted a previous lump, a relatively small percentage under the hypothesis that most splits reverted previous lumps. Only 10 splits (14.71%) since 1980 have perfectly reverted a previous lump, suggesting that the process of resplitting lumps started long before the 1980s. When we examine partial reversions, 37 splits (41.57%) have partially reverted previous lumps, of which 22 splits (32.35%) since 1980 have partially reverted previous lumps. In every case, most splits do not revert previous lumps, even when we focus on post-1980s splits: this suggests that within North American birds, most splits are the result of taxonomic reversion, not taxonomic recorrection.</w:t>
      </w:r>
    </w:p>
    <w:p w14:paraId="MPParagraphElement:F5F75DC1-1C23-4855-FF86-BECA516EB8F3">
      <w:pPr>
        <w:pStyle w:val="BodyText"/>
      </w:pPr>
      <w:r>
        <w:rPr>
          <w:b/>
        </w:rPr>
        <w:t xml:space="preserve">Which species are most likely to be lumped or split?</w:t>
      </w:r>
      <w:r>
        <w:t xml:space="preserve"> The 975 species name clusters currently recognised after filtering out species added after 1982 have been associated with a mean of 1.235 taxon concepts. We used a Bayesian hierarchical model to determine if some orders, families or genera were more or less likely to be associated with multiple taxon concepts than others, and found that there was no significant difference for any of the orders, families or genera in our dataset (see S$$$ Table, S$$$ Table, S$$$ Table). Thus, it appears that taxonomic corrections are not focussing significantly on particular charismatic species, but appears to be uniformly distributed across the higher taxonomy of this group.</w:t>
      </w:r>
    </w:p>
    <w:p w14:paraId="MPSection:A640A4A9-93AE-437A-83E2-40DE115589EC">
      <w:pPr>
        <w:pStyle w:val="SectionHeading"/>
      </w:pPr>
      <w:bookmarkStart w:id="5" w:name="MPSection:A640A4A9-93AE-437A-83E2-40DE11"/>
      <w:r>
        <w:t xml:space="preserve">5.  Discussion</w:t>
      </w:r>
    </w:p>
    <w:bookmarkEnd w:id="5"/>
    <w:p w14:paraId="MPParagraphElement:7116BE12-D169-4311-BD89-D952F1535951">
      <w:pPr>
        <w:pStyle w:val="BodyText"/>
      </w:pPr>
      <w:r>
        <w:t xml:space="preserve">(1) There is a lot of taxonomic change going on in a very well described group without many new descriptions happening at the same time. This is what scientists miss when they look only at description rates: papers like $$$ can predict the end of taxonomic description, but there is a taxonomic process to come after that.</w:t>
      </w:r>
    </w:p>
    <w:p w14:paraId="MPParagraphElement:414B9D66-1718-47A1-8FD7-808BEA77A4ED">
      <w:pPr>
        <w:pStyle w:val="BodyText"/>
      </w:pPr>
      <w:r>
        <w:t xml:space="preserve">(2) What have we learned about that correction process? 17% of currently recognised species have been corrected at least once, and 5% have been corrected more than once, so it’s pretty widespread. It doesn’t appear to be limited to particular charismatic groups. So any analysis using species names is likely to hit up against this problem of not knowing exactly which definition someone intended. On the other hand, it’s rare enough that it probably won’t dramatically change the results of an analysis, and is likely to be less than 17% for a less well studied group than birds, where fewer changes have gained widespread recognition.</w:t>
      </w:r>
    </w:p>
    <w:p w14:paraId="MPParagraphElement:8ECECAF3-95F5-4B3E-E87B-43AD894416CC">
      <w:pPr>
        <w:pStyle w:val="BodyText"/>
      </w:pPr>
      <w:r>
        <w:t xml:space="preserve">(3) We’re not just fixing polytypic species — something else is going on here. So our data suggests that taxonomy is being fixed through both improvements to existing, recognised species as well as the discovery of previously described but previously unrecognised taxon concepts.</w:t>
      </w:r>
    </w:p>
    <w:p w14:paraId="MPParagraphElement:7404F04F-7604-4F02-ABCE-E79E5CE1D2F9">
      <w:pPr>
        <w:pStyle w:val="BodyText"/>
      </w:pPr>
      <w:r>
        <w:t xml:space="preserve">(4) The future of taxonomic correction in North American birds is unclear. Given the consistency of the AOU Classification Committee over the last hundred years, it is likely that present trends — many splits with some lumps — will continue for the foreseeable future. It seems likely that we’re not just reverting to 1920: most splits do not partially or completely undo previous lumps, and so we will probably end up with many more species than we recognised in 1920. Barrowclough’s prediction that the number of bird species will double seems possible. Note that the philosophies here haven’t changed much over the last century (see Sangster), nor have the results been significantly undone; this suggests that taxonomic correction is an ongoing, incremental process that is heading towards an end-goal, not a circular process that is continuously correcting itself.</w:t>
      </w:r>
    </w:p>
    <w:p w14:paraId="MPParagraphElement:25B7BC4B-2703-423A-F513-FA19C8B916E3">
      <w:pPr>
        <w:pStyle w:val="BodyText"/>
      </w:pPr>
      <w:r>
        <w:t xml:space="preserve">(5) These results are probably specific to North American birds, which were a convenient and useful first group for this analysis. But we have tried to automate as much of this process as possible, and are developing software tools that make sure datasets easier to assemble. By clearly defining some prospective measures, we hope that this methodology will be easy to replicate with other taxonomic groups — which will provide us with important information on whether taxonomic correction works in similar ways across different taxonomic groups, or if it’s specific to different groups of taxonomists.</w:t>
      </w:r>
    </w:p>
    <w:p w14:paraId="MPParagraphElement:3001756A-2864-4958-CA45-5B72AC58133A">
      <w:pPr>
        <w:pStyle w:val="BodyText"/>
      </w:pPr>
      <w:r>
        <w:t xml:space="preserve">(6) One major result is the sheer amount of taxonomic work that is overlooked if we focus on original species descriptions. These changes are not indexed in any single location, unlike species descriptions which are partially indexed by Zoological Record (CITE) and Plazi Treatment Bank (CITE). A growing body of biodiversity researchers are recognizing the value of building databases of checklists (Catalogue of Life, GBIF eCat) and reconciling species circumscriptions across databases using a controlled vocabulary. Our work could not exist without this ecosystem, and more work is necessary to fully understand how species description, taxonomic corrections and taxonomic recollections interact to correct our record of global biodiversity.</w:t>
      </w:r>
    </w:p>
    <w:p w14:paraId="MPSection:3D128583-9A94-46EF-9DCD-D254DD7A2687">
      <w:pPr>
        <w:pStyle w:val="SectionHeading"/>
      </w:pPr>
      <w:bookmarkStart w:id="6" w:name="MPSection:3D128583-9A94-46EF-9DCD-D254DD"/>
      <w:r>
        <w:t xml:space="preserve">6.  Acknowledgments</w:t>
      </w:r>
    </w:p>
    <w:bookmarkEnd w:id="6"/>
    <w:p w14:paraId="MPParagraphElement:2B543AB9-FDDB-4EB0-8551-C5FF56AF3DB3">
      <w:pPr>
        <w:pStyle w:val="BodyText"/>
      </w:pPr>
    </w:p>
    <w:p w14:paraId="MPSection:10D707E1-8FF3-4A4B-9961-542CC5199688">
      <w:pPr>
        <w:pStyle w:val="SectionHeading"/>
      </w:pPr>
      <w:bookmarkStart w:id="7" w:name="MPSection:10D707E1-8FF3-4A4B-9961-542CC5"/>
      <w:r>
        <w:t xml:space="preserve">7.  Supplementary materials</w:t>
      </w:r>
    </w:p>
    <w:bookmarkEnd w:id="7"/>
    <w:p>
      <w:pPr>
        <w:pStyle w:val="BodyTextList"/>
        <w:numPr>
          <w:ilvl w:val="0"/>
          <w:numId w:val="4000"/>
        </w:numPr>
      </w:pPr>
      <w:r>
        <w:t xml:space="preserve">S1 Table: List of supplements, counts of recognised species and changes</w:t>
      </w:r>
    </w:p>
    <w:p>
      <w:pPr>
        <w:pStyle w:val="BodyTextList"/>
        <w:numPr>
          <w:ilvl w:val="0"/>
          <w:numId w:val="4000"/>
        </w:numPr>
      </w:pPr>
      <w:r>
        <w:t xml:space="preserve">S3 Table: Species definitions</w:t>
      </w:r>
    </w:p>
    <w:p w14:paraId="MPParagraphElement:700FF729-E9C3-4B38-DD55-F6124A763AAE">
      <w:pPr>
        <w:pStyle w:val="BodyText"/>
      </w:pPr>
      <w:r>
        <w:t xml:space="preserve">3. S4-S6 Table: Reserved for higher taxonomy calculation</w:t>
      </w:r>
    </w:p>
    <w:p w14:paraId="MPParagraphElement:4CFFD069-7E68-4B35-B98E-2557252C12B1">
      <w:pPr>
        <w:pStyle w:val="BodyText"/>
      </w:pPr>
      <w:r>
        <w:t xml:space="preserve">4. S7 Code: Software code for this project</w:t>
      </w:r>
    </w:p>
    <w:p w14:paraId="MPSection:C1248733-ED65-466B-B8C3-637A39AD84F5">
      <w:pPr>
        <w:pStyle w:val="SubsectionHeading"/>
      </w:pPr>
      <w:bookmarkStart w:id="8" w:name="MPSection:C1248733-ED65-466B-B8C3-637A39"/>
      <w:r>
        <w:t xml:space="preserve">7.1.  </w:t>
      </w:r>
    </w:p>
    <w:bookmarkEnd w:id="8"/>
    <w:p w14:paraId="MPSection:814C9782-8DB6-4FEF-AF09-87751AB9102D">
      <w:pPr>
        <w:pStyle w:val="SectionHeading"/>
      </w:pPr>
      <w:bookmarkStart w:id="9" w:name="MPSection:814C9782-8DB6-4FEF-AF09-87751A"/>
      <w:r>
        <w:t xml:space="preserve">8.  Cover Letter</w:t>
      </w:r>
    </w:p>
    <w:bookmarkEnd w:id="9"/>
    <w:p w14:paraId="MPParagraphElement:102A523C-6702-4457-9E0A-74E3DD5B53E8">
      <w:pPr>
        <w:pStyle w:val="BodyText"/>
      </w:pPr>
    </w:p>
    <w:p w14:paraId="MPSection:6C3F79E0-A398-4238-BC9D-DA3AAE2956DB">
      <w:pPr>
        <w:pStyle w:val="SectionHeading"/>
      </w:pPr>
      <w:bookmarkStart w:id="10" w:name="MPSection:6C3F79E0-A398-4238-BC9D-DA3AAE"/>
      <w:r>
        <w:t xml:space="preserve">9.  Notes</w:t>
      </w:r>
    </w:p>
    <w:bookmarkEnd w:id="10"/>
    <w:p w14:paraId="MPSection:2474F290-6996-4F0F-A17E-F6C94D8BE6B1">
      <w:pPr>
        <w:pStyle w:val="SectionHeading"/>
      </w:pPr>
      <w:bookmarkStart w:id="11" w:name="MPSection:2474F290-6996-4F0F-A17E-F6C94D"/>
      <w:r>
        <w:t xml:space="preserve">10.  Text dump</w:t>
      </w:r>
    </w:p>
    <w:bookmarkEnd w:id="11"/>
    <w:p>
      <w:pPr>
        <w:pStyle w:val="BodyTextList"/>
        <w:numPr>
          <w:ilvl w:val="0"/>
          <w:numId w:val="4001"/>
        </w:numPr>
      </w:pPr>
      <w:r>
        <w:t xml:space="preserve">Finding two: yes, we're splitting polytypic species</w:t>
      </w:r>
    </w:p>
    <w:p>
      <w:pPr>
        <w:pStyle w:val="BodyTextList"/>
        <w:numPr>
          <w:ilvl w:val="0"/>
          <w:numId w:val="4001"/>
        </w:numPr>
      </w:pPr>
    </w:p>
    <w:p>
      <w:pPr>
        <w:pStyle w:val="BodyTextList"/>
        <w:numPr>
          <w:ilvl w:val="0"/>
          <w:numId w:val="4001"/>
        </w:numPr>
      </w:pPr>
      <w:r>
        <w:t xml:space="preserve">Explanation 2:</w:t>
      </w:r>
    </w:p>
    <w:p>
      <w:pPr>
        <w:pStyle w:val="BodyTextList"/>
        <w:numPr>
          <w:ilvl w:val="0"/>
          <w:numId w:val="4001"/>
        </w:numPr>
      </w:pPr>
      <w:r>
        <w:t xml:space="preserve">Maybe just flag lumps as "polytypic" species by definition</w:t>
      </w:r>
    </w:p>
    <w:p>
      <w:pPr>
        <w:pStyle w:val="BodyTextList"/>
        <w:numPr>
          <w:ilvl w:val="0"/>
          <w:numId w:val="4001"/>
        </w:numPr>
      </w:pPr>
      <w:r>
        <w:t xml:space="preserve">DO THIS</w:t>
      </w:r>
    </w:p>
    <w:p>
      <w:pPr>
        <w:pStyle w:val="BodyTextList"/>
        <w:numPr>
          <w:ilvl w:val="0"/>
          <w:numId w:val="4001"/>
        </w:numPr>
      </w:pPr>
      <w:r>
        <w:t xml:space="preserve">Finding three: (THE ONLY ONE WE NEED TO ASK)</w:t>
      </w:r>
    </w:p>
    <w:p>
      <w:pPr>
        <w:pStyle w:val="BodyTextList"/>
        <w:numPr>
          <w:ilvl w:val="1"/>
          <w:numId w:val="4001"/>
        </w:numPr>
      </w:pPr>
      <w:r>
        <w:t xml:space="preserve">Units in 1920s and 1930s later composited into larger units</w:t>
      </w:r>
    </w:p>
    <w:p>
      <w:pPr>
        <w:pStyle w:val="BodyTextList"/>
        <w:numPr>
          <w:ilvl w:val="1"/>
          <w:numId w:val="4001"/>
        </w:numPr>
      </w:pPr>
      <w:r>
        <w:t xml:space="preserve">ONLY THING WE NEED FOR THIS PAPER</w:t>
      </w:r>
    </w:p>
    <w:p>
      <w:pPr>
        <w:pStyle w:val="BodyTextList"/>
        <w:numPr>
          <w:ilvl w:val="1"/>
          <w:numId w:val="4001"/>
        </w:numPr>
      </w:pPr>
      <w:r>
        <w:t xml:space="preserve">Are we reverting back to those units or creating new units?</w:t>
      </w:r>
    </w:p>
    <w:p>
      <w:pPr>
        <w:pStyle w:val="BodyTextList"/>
        <w:numPr>
          <w:ilvl w:val="1"/>
          <w:numId w:val="4001"/>
        </w:numPr>
      </w:pPr>
      <w:r>
        <w:t xml:space="preserve">every partial is actually a full that hasn't completed yet</w:t>
      </w:r>
    </w:p>
    <w:p>
      <w:pPr>
        <w:pStyle w:val="BodyTextList"/>
        <w:numPr>
          <w:ilvl w:val="1"/>
          <w:numId w:val="4001"/>
        </w:numPr>
      </w:pPr>
      <w:r>
        <w:t xml:space="preserve">full IS a case, partial MIGHT BE,</w:t>
      </w:r>
    </w:p>
    <w:p>
      <w:pPr>
        <w:pStyle w:val="BodyTextList"/>
        <w:numPr>
          <w:ilvl w:val="1"/>
          <w:numId w:val="4001"/>
        </w:numPr>
      </w:pPr>
      <w:r>
        <w:t xml:space="preserve">all we're saying is that RIGHT NOW,</w:t>
      </w:r>
    </w:p>
    <w:p>
      <w:pPr>
        <w:pStyle w:val="BodyTextList"/>
        <w:numPr>
          <w:ilvl w:val="1"/>
          <w:numId w:val="4001"/>
        </w:numPr>
      </w:pPr>
      <w:r>
        <w:t xml:space="preserve">at some point, it's so deep in the history that only resolving these individuals makes sense</w:t>
      </w:r>
    </w:p>
    <w:p>
      <w:pPr>
        <w:pStyle w:val="BodyTextList"/>
        <w:numPr>
          <w:ilvl w:val="0"/>
          <w:numId w:val="4001"/>
        </w:numPr>
      </w:pPr>
      <w:r>
        <w:t xml:space="preserve">within the bounds of the checklist - might be cool to take five examples and work it back - "completely new circumscriptions, not in AOU checklist, never existed previously" - Gill wouldn't say that we're recreating Ridgway's taxonomy, and NEITHER ARE WE - Old, bad Question: "What are we doing?" - New, better Question: "How often does it happen"? 20%? 60%? - How often do we see something completely new? (within the checklist) - Interesting (unanswerable) question: are they "old, new circumscriptions" (pre-AOU) or "new, new circumscriptions" (post-AOU) -&gt; discussion - "How taxonomy process": we know there's a correction process, and we know that there's a recorrection. - If we're mostly reverting, that's a different finishing rate - Doesn't have to be the main NOVEL finding, just something cool we discussed.</w:t>
      </w:r>
    </w:p>
    <w:p>
      <w:pPr>
        <w:pStyle w:val="BodyTextList"/>
        <w:numPr>
          <w:ilvl w:val="0"/>
          <w:numId w:val="4001"/>
        </w:numPr>
      </w:pPr>
      <w:r>
        <w:t xml:space="preserve">"We want to know if we're treading water, or if we're actually learning new things”</w:t>
      </w:r>
    </w:p>
    <w:p>
      <w:pPr>
        <w:pStyle w:val="BodyTextList"/>
        <w:numPr>
          <w:ilvl w:val="1"/>
          <w:numId w:val="4001"/>
        </w:numPr>
      </w:pPr>
      <w:r>
        <w:t xml:space="preserve">Lots of polytypic species that need fixing.</w:t>
      </w:r>
    </w:p>
    <w:p>
      <w:pPr>
        <w:pStyle w:val="BodyTextList"/>
        <w:numPr>
          <w:ilvl w:val="0"/>
          <w:numId w:val="4001"/>
        </w:numPr>
      </w:pPr>
      <w:r>
        <w:t xml:space="preserve">NOT really a core question about taxonomic processes: instead, this is just a question of "how naive is the recorrection process" -&gt; points towards the end-state of taxonomy</w:t>
      </w:r>
    </w:p>
    <w:p>
      <w:pPr>
        <w:pStyle w:val="BodyTextList"/>
        <w:numPr>
          <w:ilvl w:val="0"/>
          <w:numId w:val="4001"/>
        </w:numPr>
      </w:pPr>
      <w:r>
        <w:t xml:space="preserve">IMPORTANTLY tells us what the end-state of taxonomy - End State 1: most recorrections are undos, which means we can estimate the end point. - End State 2: most recorrections are not undos, which means that recorrection is new-circumscription driven. - "If we knew that we're mostly resplitting lumps, we could estimate when we'd be done.”</w:t>
      </w:r>
    </w:p>
    <w:p>
      <w:pPr>
        <w:pStyle w:val="BodyTextList"/>
        <w:numPr>
          <w:ilvl w:val="0"/>
          <w:numId w:val="4001"/>
        </w:numPr>
      </w:pPr>
      <w:r>
        <w:t xml:space="preserve">"Long term view on how we fix our shit.”</w:t>
      </w:r>
    </w:p>
    <w:p>
      <w:pPr>
        <w:pStyle w:val="BodyTextList"/>
        <w:numPr>
          <w:ilvl w:val="0"/>
          <w:numId w:val="4001"/>
        </w:numPr>
      </w:pPr>
      <w:r>
        <w:t xml:space="preserve">Look for missed splits (if 1-2 hrs, but 8 hours) - Esp in aou_6 - Conceptual basis for understanding species: - A categorical change in viewpoint about what something IS - Species is basic metric for counting and understanding diversity - There is a biological reality of species - p(monotypic species being split) = ?</w:t>
      </w:r>
    </w:p>
    <w:p w14:paraId="MPParagraphElement:F331A9F5-1F0B-466D-D8D6-7111E05E4473">
      <w:pPr>
        <w:pStyle w:val="BodyText"/>
      </w:pPr>
      <w:r>
        <w:t xml:space="preserve">Over the last three hundred years, taxonomists have made enormous progress towards comprehensively cataloguing the species-level biodiversity of our planet. Far from being a static document, this catalogue is continuously changing as previously hypothesized species are divided into several species ("split") or are combined into a single species ("lumped") on the basis of new evidence. Several key properties of this correction process are not known: how often species are recircumscribed, how often these corrections need to be reversed, and whether certain taxonomic groups are more likely to be recircumscribed than others. In this paper, we track taxonomic corrections over a 127-year time period within a continually updated series of taxonomic checklists of North American birds, a group that has been well-studied relative to other geographical regions. We confirm the widely-accepted pattern of increased lumping in the mid-20th century, which has almost completely ceased by the 1980s, to be replaced by an accelerating rate of splitting. However, only a small proportion of species (TODO%) are either lumped (TODO%) or split (TODO%), with most remaining unchanged. Taxonomists have speculated that the current pattern of splitting is driven by a undoing of earlier lumping, potentially reflecting changing standards of evidence and application of different species concepts. We found several examples of "recorrections", but most of these (TODO%) do not simply undo a previous correction. Most of these recorrections (TODO%) used genetic evidence that would have been harder or impossible to obtain before the 1980s. Our findings show that for North American birds, few recognized species need correction, and once corrected, even fewer need recorrection, suggesting that although the correction process lags behind the description process, both processes will eventually reach completion.</w:t>
      </w:r>
    </w:p>
    <w:p>
      <w:pPr>
        <w:pStyle w:val="BodyTextList"/>
        <w:numPr>
          <w:ilvl w:val="0"/>
          <w:numId w:val="4001"/>
        </w:numPr>
      </w:pPr>
      <w:r>
        <w:t xml:space="preserve">TODO Add "Names are key to the big new biology" at https://www.ncbi.nlm.nih.gov/pubmed/20961649 </w:t>
      </w:r>
    </w:p>
    <w:p>
      <w:pPr>
        <w:pStyle w:val="BodyTextList"/>
        <w:numPr>
          <w:ilvl w:val="0"/>
          <w:numId w:val="4001"/>
        </w:numPr>
      </w:pPr>
      <w:r>
        <w:t xml:space="preserve">TODO cite Alroy ffs </w:t>
      </w:r>
    </w:p>
    <w:p w14:paraId="MPParagraphElement:E2A1467A-4348-412C-9959-217BF2342FCA">
      <w:pPr>
        <w:pStyle w:val="BodyText"/>
      </w:pPr>
      <w:r>
        <w:t xml:space="preserve">TODO - TAXONOMIC -X- What should we call it? - can't be "correction" or "improvement", as reversions make no sense. -&gt; Or maybe they do? Maybe - TODO: make it clear that the effort was to improve the delimitation, corrections can be undone - TODO: stay away from "recorrection" - "interpretations/reinterpretations". - "revision of a species concept". - put back in "end point of taxonomy" - methods: testing: ask whether more revisionary work is being put into re-examining polytypic species than we'd expect by random effect -&gt; examine how many times have we examined polytypic species created in the modern synthesis vs polytypic species that entered the checklist as polytypic species. -&gt; need to be AS CLEAR AS POSSIBLE - How many polytypic taxa are left? - "What does 'chipping away' really mean in terms of Gill's comment?" - "Done" is NOT "we're just moving moving blocks up and down" and is NOT "we were done in 1930 and then we done messed up"; new discovery and new delimitation and new evidence is being accumulated. - Given X polytypic taxa that haven't been touched yet and Y polytypic taxa split/year, then we can extrapolate how many taxa are left -&gt; not in this paper, but maybe a follow up - Can we separate out the split rate involving the splitting of polytypic taxa? Is that increasing as well?</w:t>
      </w:r>
    </w:p>
    <w:p w14:paraId="MPParagraphElement:44DE41E6-6563-49A3-9991-254C91447370">
      <w:pPr>
        <w:pStyle w:val="BodyText"/>
      </w:pPr>
      <w:r>
        <w:t xml:space="preserve">Our goal was to develop an easily replicable method for identifying and classifying taxonomic changes that affect the interpretation of biodiversity data. To do that, we relied on the contents of taxonomic checklists, previously digitized by one of the authors (DL) from every major bird checklist of the 20th century </w:t>
      </w:r>
      <w:r>
        <w:t xml:space="preserve">\[1\]</w:t>
      </w:r>
      <w:r>
        <w:t xml:space="preserve">. We focussed on one checklist in particular: the *Check-List of North American Birds*, hereafter referred to as the Checklist, first published by the American Ornithologists' Union (AOU) in 1886 </w:t>
      </w:r>
      <w:r>
        <w:t xml:space="preserve">\[2\]</w:t>
      </w:r>
      <w:r>
        <w:t xml:space="preserve"> and updated regularly since then </w:t>
      </w:r>
      <w:r>
        <w:t xml:space="preserve">\[3\]</w:t>
      </w:r>
      <w:r>
        <w:t xml:space="preserve">.</w:t>
      </w:r>
    </w:p>
    <w:p w14:paraId="MPSection:648A2A98-C095-45AC-A34B-56C467EBB850">
      <w:pPr>
        <w:pStyle w:val="SectionHeading"/>
      </w:pPr>
      <w:bookmarkStart w:id="12" w:name="MPSection:648A2A98-C095-45AC-A34B-56C467"/>
      <w:r>
        <w:t xml:space="preserve">11.  Bibliography</w:t>
      </w:r>
    </w:p>
    <w:bookmarkEnd w:id="12"/>
    <w:p>
      <w:pPr>
        <w:pStyle w:val="BodyText"/>
      </w:pPr>
      <w:r>
        <w:t xml:space="preserve">1. </w:t>
      </w:r>
      <w:r>
        <w:t xml:space="preserve">Ride WDL, Cogger HG, Dupuis C, Kraus O, Minelli A, Thompson FC, et al., editors. International Code of Zoological Nomenclature [Internet]. International Trust for Zoological Nomenclature; 1999. Available: http://www.worldcat.org/isbn/9780853010067</w:t>
      </w:r>
      <w:r>
        <w:t xml:space="preserve"> </w:t>
      </w:r>
    </w:p>
    <w:p>
      <w:pPr>
        <w:pStyle w:val="BodyText"/>
      </w:pPr>
      <w:r>
        <w:t xml:space="preserve"> </w:t>
      </w:r>
      <w:r>
        <w:t xml:space="preserve">2. </w:t>
      </w:r>
      <w:r>
        <w:t xml:space="preserve">McNeill J, Barrie FR, Buck WR, Demoulin V, Greuter W, Hawksworth DL, et al. International Code of Nomenclature [Internet]. 1 Jan 2012. Available: http://www.iapt-taxon.org/nomen/main.php</w:t>
      </w:r>
      <w:r>
        <w:t xml:space="preserve"> </w:t>
      </w:r>
    </w:p>
    <w:p>
      <w:pPr>
        <w:pStyle w:val="BodyText"/>
      </w:pPr>
      <w:r>
        <w:t xml:space="preserve"> </w:t>
      </w:r>
      <w:r>
        <w:t xml:space="preserve">3. </w:t>
      </w:r>
      <w:r>
        <w:t xml:space="preserve">IISE. Retro SOS 2000-2009: A decade of species discovery in review [Internet]. 1 Jan 2011. Available: http://www.esf.edu/species/SOS.htm</w:t>
      </w:r>
      <w:r>
        <w:t xml:space="preserve"> </w:t>
      </w:r>
    </w:p>
    <w:p>
      <w:pPr>
        <w:pStyle w:val="BodyText"/>
      </w:pPr>
      <w:r>
        <w:t xml:space="preserve"> </w:t>
      </w:r>
      <w:r>
        <w:t xml:space="preserve">4. </w:t>
      </w:r>
      <w:r>
        <w:t xml:space="preserve">Tancoigne E, Dubois A. Taxonomy: no decline, but inertia. Cladistics. 2013;29: 567–570.</w:t>
      </w:r>
      <w:r>
        <w:t xml:space="preserve"> </w:t>
      </w:r>
    </w:p>
    <w:p>
      <w:pPr>
        <w:pStyle w:val="BodyText"/>
      </w:pPr>
      <w:r>
        <w:t xml:space="preserve"> </w:t>
      </w:r>
      <w:r>
        <w:t xml:space="preserve">5. </w:t>
      </w:r>
      <w:r>
        <w:t xml:space="preserve">Joppa LN, Roberts DL, Pimm SL. The population ecology and social behaviour of taxonomists. Trends in Ecology &amp; Evolution. 2011;26: 551–553.</w:t>
      </w:r>
      <w:r>
        <w:t xml:space="preserve"> </w:t>
      </w:r>
    </w:p>
    <w:p>
      <w:pPr>
        <w:pStyle w:val="BodyText"/>
      </w:pPr>
      <w:r>
        <w:t xml:space="preserve"> </w:t>
      </w:r>
      <w:r>
        <w:t xml:space="preserve">6. </w:t>
      </w:r>
      <w:r>
        <w:t xml:space="preserve">Costello MJ, Wilson S, Houlding B. More taxonomists describing significantly fewer species per unit effort may indicate that most species have been discovered. Systematic Biology. 2013;62: 616–624. doi:10.1093/sysbio/syt024</w:t>
      </w:r>
      <w:r>
        <w:t xml:space="preserve"> </w:t>
      </w:r>
    </w:p>
    <w:p>
      <w:pPr>
        <w:pStyle w:val="BodyText"/>
      </w:pPr>
      <w:r>
        <w:t xml:space="preserve"> </w:t>
      </w:r>
      <w:r>
        <w:t xml:space="preserve">7. </w:t>
      </w:r>
      <w:r>
        <w:t xml:space="preserve">Sluys R. The unappreciated, fundamentally analytical nature of taxonomy and the implications for the inventory of biodiversity. Biodiversity and Conservation. 2013;22: 1095–1105.</w:t>
      </w:r>
      <w:r>
        <w:t xml:space="preserve"> </w:t>
      </w:r>
    </w:p>
    <w:p>
      <w:pPr>
        <w:pStyle w:val="BodyText"/>
      </w:pPr>
      <w:r>
        <w:t xml:space="preserve"> </w:t>
      </w:r>
      <w:r>
        <w:t xml:space="preserve">8. </w:t>
      </w:r>
      <w:r>
        <w:t xml:space="preserve">Remsen D. The use and limits of scientific names in biological informatics. ZooKeys. 2016;550: 207–223. doi:10.3897/zookeys.550.9546</w:t>
      </w:r>
      <w:r>
        <w:t xml:space="preserve"> </w:t>
      </w:r>
    </w:p>
    <w:p>
      <w:pPr>
        <w:pStyle w:val="BodyText"/>
      </w:pPr>
      <w:r>
        <w:t xml:space="preserve"> </w:t>
      </w:r>
      <w:r>
        <w:t xml:space="preserve">9. </w:t>
      </w:r>
      <w:r>
        <w:t xml:space="preserve">Franz N, Peet R, Weakley A. On The Use Of Taxonomic Concepts In Support Of Biodiversity Research And Taxonomy. 2008.</w:t>
      </w:r>
      <w:r>
        <w:t xml:space="preserve"> </w:t>
      </w:r>
    </w:p>
    <w:p>
      <w:pPr>
        <w:pStyle w:val="BodyText"/>
      </w:pPr>
      <w:r>
        <w:t xml:space="preserve"> </w:t>
      </w:r>
      <w:r>
        <w:t xml:space="preserve">10. </w:t>
      </w:r>
      <w:r>
        <w:t xml:space="preserve">Alroy J. How many named species are valid? Proceedings of the National Academy of Sciences of the United States of America. 2002;99: 3706–3711. doi:10.1073/pnas.062691099</w:t>
      </w:r>
      <w:r>
        <w:t xml:space="preserve"> </w:t>
      </w:r>
    </w:p>
    <w:p>
      <w:pPr>
        <w:pStyle w:val="BodyText"/>
      </w:pPr>
      <w:r>
        <w:t xml:space="preserve"> </w:t>
      </w:r>
      <w:r>
        <w:t xml:space="preserve">11. </w:t>
      </w:r>
      <w:r>
        <w:t xml:space="preserve">Isaac NJB, Mallet J, Mace GM. Taxonomic inflation: its influence on macroecology and conservation. Trends in Ecology &amp; Evolution. 2004;19: 464–469.</w:t>
      </w:r>
      <w:r>
        <w:t xml:space="preserve"> </w:t>
      </w:r>
    </w:p>
    <w:p>
      <w:pPr>
        <w:pStyle w:val="BodyText"/>
      </w:pPr>
      <w:r>
        <w:t xml:space="preserve"> </w:t>
      </w:r>
      <w:r>
        <w:t xml:space="preserve">12. </w:t>
      </w:r>
      <w:r>
        <w:t xml:space="preserve">Agapow P-M, Bininda-Emonds ORP, Crandall KA, Gittleman JL, Mace GM, Marshall JC, et al. The Impact of Species Concept on Biodiversity Studies. The Quarterly Review of Biology. 2004;79: 161–179.</w:t>
      </w:r>
      <w:r>
        <w:t xml:space="preserve"> </w:t>
      </w:r>
    </w:p>
    <w:p>
      <w:pPr>
        <w:pStyle w:val="BodyText"/>
      </w:pPr>
      <w:r>
        <w:t xml:space="preserve"> </w:t>
      </w:r>
      <w:r>
        <w:t xml:space="preserve">13. </w:t>
      </w:r>
      <w:r>
        <w:t xml:space="preserve">Groves CP. Primate Taxonomy: Inflation or Real? Annual Review of Anthropology. 2014;43: 27–36.</w:t>
      </w:r>
      <w:r>
        <w:t xml:space="preserve"> </w:t>
      </w:r>
    </w:p>
    <w:p>
      <w:pPr>
        <w:pStyle w:val="BodyText"/>
      </w:pPr>
      <w:r>
        <w:t xml:space="preserve"> </w:t>
      </w:r>
      <w:r>
        <w:t xml:space="preserve">14. </w:t>
      </w:r>
      <w:r>
        <w:t xml:space="preserve">Padial JM, Riva ID la. Taxonomic inflation and the stability of species lists: the perils of ostrich’s behavior. Systematic Biology. 2006;55: 859–867.</w:t>
      </w:r>
      <w:r>
        <w:t xml:space="preserve"> </w:t>
      </w:r>
    </w:p>
    <w:p>
      <w:pPr>
        <w:pStyle w:val="BodyText"/>
      </w:pPr>
      <w:r>
        <w:t xml:space="preserve"> </w:t>
      </w:r>
      <w:r>
        <w:t xml:space="preserve">15. </w:t>
      </w:r>
      <w:r>
        <w:t xml:space="preserve">Heller R, Frandsen P, Lorenzen ED, Siegismund HR. Are there really twice as many bovid species as we thought? Systematic Biology. 2013;62: 490–493.</w:t>
      </w:r>
      <w:r>
        <w:t xml:space="preserve"> </w:t>
      </w:r>
    </w:p>
    <w:p>
      <w:pPr>
        <w:pStyle w:val="BodyText"/>
      </w:pPr>
      <w:r>
        <w:t xml:space="preserve"> </w:t>
      </w:r>
      <w:r>
        <w:t xml:space="preserve">16. </w:t>
      </w:r>
      <w:r>
        <w:t xml:space="preserve">Sangster G. The application of species criteria in avian taxonomy and its implications for the debate over species concepts. Biological Reviews. 2014;89: 199–214.</w:t>
      </w:r>
      <w:r>
        <w:t xml:space="preserve"> </w:t>
      </w:r>
    </w:p>
    <w:p>
      <w:pPr>
        <w:pStyle w:val="BodyText"/>
      </w:pPr>
      <w:r>
        <w:t xml:space="preserve"> </w:t>
      </w:r>
      <w:r>
        <w:t xml:space="preserve">17. </w:t>
      </w:r>
      <w:r>
        <w:t xml:space="preserve">Sangster G. Increasing numbers of bird species result from taxonomic progress, not taxonomic inflation. Proceedings of the Royal Society of London B. 2009;276: 3185–3191.</w:t>
      </w:r>
      <w:r>
        <w:t xml:space="preserve"> </w:t>
      </w:r>
    </w:p>
    <w:p>
      <w:pPr>
        <w:pStyle w:val="BodyText"/>
      </w:pPr>
      <w:r>
        <w:t xml:space="preserve"> </w:t>
      </w:r>
      <w:r>
        <w:t xml:space="preserve">18. </w:t>
      </w:r>
      <w:r>
        <w:t xml:space="preserve">Gill FB. Species taxonomy of birds: Which null hypothesis? The Auk. 2014;131: 150–161.</w:t>
      </w:r>
      <w:r>
        <w:t xml:space="preserve"> </w:t>
      </w:r>
    </w:p>
    <w:p>
      <w:pPr>
        <w:pStyle w:val="BodyText"/>
      </w:pPr>
      <w:r>
        <w:t xml:space="preserve"> </w:t>
      </w:r>
      <w:r>
        <w:t xml:space="preserve">19. </w:t>
      </w:r>
      <w:r>
        <w:t xml:space="preserve">American Ornithologists’ Union. Check-List of North American Birds. [s.l.] : American Ornithologists’ Union; 1889.</w:t>
      </w:r>
      <w:r>
        <w:t xml:space="preserve"> </w:t>
      </w:r>
    </w:p>
    <w:p>
      <w:pPr>
        <w:pStyle w:val="BodyText"/>
      </w:pPr>
      <w:r>
        <w:t xml:space="preserve"> </w:t>
      </w:r>
      <w:r>
        <w:t xml:space="preserve">20. </w:t>
      </w:r>
      <w:r>
        <w:t xml:space="preserve">Blagoderov V, Brake I, Georgiev T, Penev L, Roberts D, Ryrcroft S, et al. Streamlining taxonomic publication: a working example with Scratchpads and ZooKeys. ZooKeys. 2010;50: 17–28.</w:t>
      </w:r>
      <w:r>
        <w:t xml:space="preserve"> </w:t>
      </w:r>
    </w:p>
    <w:p>
      <w:pPr>
        <w:pStyle w:val="BodyText"/>
      </w:pPr>
      <w:r>
        <w:t xml:space="preserve"> </w:t>
      </w:r>
      <w:r>
        <w:t xml:space="preserve">21. </w:t>
      </w:r>
      <w:r>
        <w:t xml:space="preserve">Chesser RT, Burns KJ, Cicero C, Dunn JL, Kratter AW, Lovette IJ, et al. Fifty-seventh Supplement to the American Ornithologists’ UnionCheck-list of North American Birds. The Auk. 2016;133: 544–560.</w:t>
      </w:r>
      <w:r>
        <w:t xml:space="preserve"> </w:t>
      </w:r>
    </w:p>
    <w:p>
      <w:pPr>
        <w:pStyle w:val="BodyText"/>
      </w:pPr>
      <w:r>
        <w:t xml:space="preserve"> </w:t>
      </w:r>
      <w:r>
        <w:t xml:space="preserve">22. </w:t>
      </w:r>
      <w:r>
        <w:t xml:space="preserve">American Ornithologists’ Union. Guidelines for Submitting a Proposal [Internet]. Available: http://checklist.aou.org/nacc/proposal_guidelines.html</w:t>
      </w:r>
      <w:r>
        <w:t xml:space="preserve"> </w:t>
      </w:r>
    </w:p>
    <w:p>
      <w:pPr>
        <w:pStyle w:val="BodyText"/>
      </w:pPr>
      <w:r>
        <w:t xml:space="preserve"> </w:t>
      </w:r>
      <w:r>
        <w:t xml:space="preserve">23. </w:t>
      </w:r>
      <w:r>
        <w:t xml:space="preserve">National Audubon Society. Audubon Bird Guide App. Available: http://www.audubon.org/apps</w:t>
      </w:r>
      <w:r>
        <w:t xml:space="preserve"> </w:t>
      </w:r>
    </w:p>
    <w:p>
      <w:pPr>
        <w:pStyle w:val="BodyText"/>
      </w:pPr>
      <w:r>
        <w:t xml:space="preserve"> </w:t>
      </w:r>
      <w:r>
        <w:t xml:space="preserve">24. </w:t>
      </w:r>
      <w:r>
        <w:t xml:space="preserve">Schulenberg TS, Iliff MJ. Updating the eBird/Clements Checklist 6th Edition [Internet]. 2014. Available: http://www.birds.cornell.edu/clementschecklist/about/methods/</w:t>
      </w:r>
      <w:r>
        <w:t xml:space="preserve"> </w:t>
      </w:r>
    </w:p>
    <w:p>
      <w:pPr>
        <w:pStyle w:val="BodyText"/>
      </w:pPr>
      <w:r>
        <w:t xml:space="preserve"> </w:t>
      </w:r>
      <w:r>
        <w:t xml:space="preserve">25. </w:t>
      </w:r>
      <w:r>
        <w:t xml:space="preserve">Swick N. 2016 AOU Check-list Proposals, Part 1. 2016;</w:t>
      </w:r>
      <w:r>
        <w:t xml:space="preserve"> </w:t>
      </w:r>
    </w:p>
    <w:p>
      <w:pPr>
        <w:pStyle w:val="BodyText"/>
      </w:pPr>
      <w:r>
        <w:t xml:space="preserve"> </w:t>
      </w:r>
      <w:r>
        <w:t xml:space="preserve">26. </w:t>
      </w:r>
      <w:r>
        <w:t xml:space="preserve">Sibley D. Name changes of birds in the 2012 AOU supplement. 2012;</w:t>
      </w:r>
      <w:r>
        <w:t xml:space="preserve"> </w:t>
      </w:r>
    </w:p>
    <w:p>
      <w:pPr>
        <w:pStyle w:val="BodyText"/>
      </w:pPr>
      <w:r>
        <w:t xml:space="preserve"> </w:t>
      </w:r>
      <w:r>
        <w:t xml:space="preserve">27. </w:t>
      </w:r>
      <w:r>
        <w:t xml:space="preserve">Bebber DP, Marriott FHC, Gaston KJ, Harris SA, Scotland RW. Predicting unknown species numbers using discovery curves. Proceedings of the Royal Society of London B. 2007;274: 1651–1658.</w:t>
      </w:r>
      <w:r>
        <w:t xml:space="preserve"> </w:t>
      </w:r>
    </w:p>
    <w:p>
      <w:pPr>
        <w:pStyle w:val="BodyText"/>
      </w:pPr>
      <w:r>
        <w:t xml:space="preserve"> </w:t>
      </w:r>
      <w:r>
        <w:t xml:space="preserve">28. </w:t>
      </w:r>
      <w:r>
        <w:t xml:space="preserve">Catesby M. The natural history of Carolina, Florida and the Bahama Islands : containing the figures of birds, beasts, fishes, serpents, insects, and plants : particularly, the forest-trees, shrubs, and other plants, not hitherto described, or very incorrectly figured by author. 1731.</w:t>
      </w:r>
      <w:r>
        <w:t xml:space="preserve"> </w:t>
      </w:r>
    </w:p>
    <w:p>
      <w:pPr>
        <w:pStyle w:val="BodyText"/>
      </w:pPr>
      <w:r>
        <w:t xml:space="preserve"> </w:t>
      </w:r>
      <w:r>
        <w:t xml:space="preserve">29. </w:t>
      </w:r>
      <w:r>
        <w:t xml:space="preserve">Mayr E. Systematics and the origin of species from the viewpoint of a zoologist. New York : Columbia University Press; 1942.</w:t>
      </w:r>
      <w:r>
        <w:t xml:space="preserve"> </w:t>
      </w:r>
    </w:p>
    <w:p>
      <w:pPr>
        <w:pStyle w:val="BodyText"/>
      </w:pPr>
      <w:r>
        <w:t xml:space="preserve"> </w:t>
      </w:r>
      <w:r>
        <w:t xml:space="preserve">30. </w:t>
      </w:r>
      <w:r>
        <w:t xml:space="preserve">Cracraft J. Species Concepts and Speciation Analysis. Multilocus species delimitation in a complex of morphologically conserved trapdoor spiders (mygalomorphae, antrodiaetidae, aliatypus). Boston, MA: Springer US; 1983. pp. 159–187.</w:t>
      </w:r>
      <w:r>
        <w:t xml:space="preserve"> </w:t>
      </w:r>
    </w:p>
    <w:p>
      <w:pPr>
        <w:pStyle w:val="BodyText"/>
      </w:pPr>
      <w:r>
        <w:t xml:space="preserve"> </w:t>
      </w:r>
      <w:r>
        <w:t xml:space="preserve">31. </w:t>
      </w:r>
      <w:r>
        <w:t xml:space="preserve">Lepage D. Avibase [Internet]. 2016.</w:t>
      </w:r>
      <w:r>
        <w:t xml:space="preserve"> </w:t>
      </w:r>
    </w:p>
    <w:p>
      <w:pPr>
        <w:pStyle w:val="BodyText"/>
      </w:pPr>
      <w:r>
        <w:t xml:space="preserve"> </w:t>
      </w:r>
      <w:r>
        <w:t xml:space="preserve">32. </w:t>
      </w:r>
      <w:r>
        <w:t xml:space="preserve">Lepage D, Vaidya G, Guralnick R. Avibase a database system for managing and organizing taxonomic concepts. ZooKeys. 2014;420: 117–135.</w:t>
      </w:r>
      <w:r>
        <w:t xml:space="preserve"> </w:t>
      </w:r>
    </w:p>
    <w:p>
      <w:pPr>
        <w:pStyle w:val="BodyText"/>
      </w:pPr>
      <w:r>
        <w:t xml:space="preserve"> </w:t>
      </w:r>
      <w:r>
        <w:t xml:space="preserve">33. </w:t>
      </w:r>
      <w:r>
        <w:t xml:space="preserve">Banks RC, Cicero C, Dunn JL, Kratter AW, Rasmussen PC, Remsen JV, et al. Forty-Fifth Supplement to the American Ornithologists’ Union Check-List of North American birds. The Auk. 2004;121: 985–995.</w:t>
      </w:r>
      <w:r>
        <w:t xml:space="preserve"> </w:t>
      </w:r>
    </w:p>
    <w:p>
      <w:pPr>
        <w:pStyle w:val="BodyText"/>
      </w:pPr>
      <w:r>
        <w:t xml:space="preserve"> </w:t>
      </w:r>
      <w:r>
        <w:t xml:space="preserve">34. </w:t>
      </w:r>
      <w:r>
        <w:t xml:space="preserve">Eisenmann E, Monroe BL, Parkes KC, Short LL, Banks RC, Howell TR, et al. Thirty-Fourth Supplement to the American Ornithologists’ Union Check-List of North American Birds. The Auk. 1982;99: 1CC–16CC.</w:t>
      </w:r>
      <w:r>
        <w:t xml:space="preserve"> </w:t>
      </w:r>
    </w:p>
    <w:p>
      <w:pPr>
        <w:pStyle w:val="BodyText"/>
      </w:pPr>
      <w:r>
        <w:t xml:space="preserve"> </w:t>
      </w:r>
      <w:r>
        <w:t xml:space="preserve">35. </w:t>
      </w:r>
      <w:r>
        <w:t xml:space="preserve">Eisenmann E, Parkes KC, Banks RC, Lowery GH, Howell TR, Monroe BL, et al. Thirty-Third Supplement to the American Ornithologists’ Union Check-List of North American Birds. The Auk. 1976;93: 875–879.</w:t>
      </w:r>
      <w:r>
        <w:t xml:space="preserve"> </w:t>
      </w:r>
    </w:p>
    <w:p>
      <w:pPr>
        <w:pStyle w:val="BodyText"/>
      </w:pPr>
      <w:r>
        <w:t xml:space="preserve"> </w:t>
      </w:r>
      <w:r>
        <w:t xml:space="preserve">36. </w:t>
      </w:r>
      <w:r>
        <w:t xml:space="preserve">Wetmore A, Friedmann H, Lincoln FC, Miller AH, Peters JL, Rossem AJ van, et al. Nineteenth Supplement to the American Ornithologists’ Union Check-List of North American birds. The Auk. 1944;61: 441–464.</w:t>
      </w:r>
      <w:r>
        <w:t xml:space="preserve"> </w:t>
      </w:r>
    </w:p>
    <w:p>
      <w:pPr>
        <w:pStyle w:val="BodyText"/>
      </w:pPr>
      <w:r>
        <w:t xml:space="preserve"> </w:t>
      </w:r>
      <w:r>
        <w:t xml:space="preserve">37. </w:t>
      </w:r>
      <w:r>
        <w:t xml:space="preserve">Team SD. *RStan: the R interface to Stan*.</w:t>
      </w:r>
      <w:r>
        <w:t xml:space="preserve"> </w:t>
      </w:r>
    </w:p>
    <w:p>
      <w:pPr>
        <w:pStyle w:val="BodyText"/>
      </w:pPr>
      <w:r>
        <w:t xml:space="preserve"> </w:t>
      </w:r>
      <w:r>
        <w:t xml:space="preserve">38. </w:t>
      </w:r>
      <w:r>
        <w:t xml:space="preserve">Stone W, Dwight J, Grinnell J, Miller WD, Oberholser HC, Palmer TS, et al. Check-List of North American Birds, 4th Edition. 4th Edition. Lancaster, PA: American Ornithologists’ Union; 1931.</w:t>
      </w:r>
      <w:r>
        <w:t xml:space="preserve"> </w:t>
      </w:r>
    </w:p>
    <w:p>
      <w:pPr>
        <w:pStyle w:val="BodyText"/>
      </w:pPr>
      <w:r>
        <w:t xml:space="preserve"> </w:t>
      </w:r>
      <w:r>
        <w:t xml:space="preserve">39. </w:t>
      </w:r>
      <w:r>
        <w:t xml:space="preserve">Eisenmann E, Amadon D, Banks RC, Blake ER, Howell TR, Johnson NK, et al. Thirty-second Supplement to the American Ornithologists’ Union Check-List of North American Birds. The Auk. 1973;90: 411–419.</w:t>
      </w:r>
      <w:r>
        <w:t xml:space="preserve"> </w:t>
      </w:r>
    </w:p>
    <w:sectPr>
      <w:footerReference w:type="even" r:id="rId30"/>
      <w:footerReference w:type="default" r:id="rId30"/>
      <w:type w:val="oddPage"/>
      <w:footnotePr>
        <w:numFmt w:val="decimal"/>
      </w:footnotePr>
      <w:endnotePr>
        <w:numFmt w:val="decimal"/>
      </w:endnotePr>
      <w:pgSz w:w="11906" w:h="16838" w:orient="portrait"/>
      <w:pgMar w:top="1134" w:right="1134" w:bottom="1134" w:left="1134" w:header="720" w:footer="720" w:gutter="0"/>
      <w:pgNumType w:fmt="decimal"/>
    </w:sectPr>
  </w:body>
</w:document>
</file>

<file path=word/endnotes.xml><?xml version="1.0" encoding="utf-8"?>
<w:endnotes xmlns:w="http://schemas.openxmlformats.org/wordprocessingml/2006/main"/>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00000003" w:usb1="00000000" w:usb2="00000000" w:usb3="00000000" w:csb0="00000001" w:csb1="00000000"/>
  </w:font>
  <w:font w:name="Charter">
    <w:altName w:val="Charter Bold"/>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xml><?xml version="1.0" encoding="utf-8"?>
<w:ft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Footer"/>
      <w:framePr w:wrap="around" w:vAnchor="text" w:hAnchor="margin" w:xAlign="outside" w:y="1"/>
      <w:rPr>
        <w:rStyle w:val="BodyText"/>
      </w:rPr>
    </w:pPr>
    <w:r>
      <w:rPr>
        <w:rStyle w:val="BodyText"/>
      </w:rPr>
      <w:fldChar w:fldCharType="begin"/>
    </w:r>
    <w:r>
      <w:rPr>
        <w:rStyle w:val="BodyText"/>
      </w:rPr>
      <w:instrText xml:space="preserve">PAGE  </w:instrText>
    </w:r>
    <w:r>
      <w:rPr>
        <w:rStyle w:val="BodyText"/>
      </w:rPr>
      <w:fldChar w:fldCharType="separate"/>
    </w:r>
    <w:r>
      <w:rPr>
        <w:rStyle w:val="BodyText"/>
      </w:rPr>
      <w:fldChar w:fldCharType="end"/>
    </w:r>
  </w:p>
  <w:p>
    <w:pPr>
      <w:pStyle w:val="Footer"/>
      <w:ind w:right="360" w:firstLine="360"/>
    </w:pPr>
  </w:p>
</w:ftr>
</file>

<file path=word/footnotes.xml><?xml version="1.0" encoding="utf-8"?>
<w:footnotes xmlns:w="http://schemas.openxmlformats.org/wordprocessingml/2006/main"/>
</file>

<file path=word/header.xml><?xml version="1.0" encoding="utf-8"?>
<w:hd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Header"/>
      <w:framePr w:wrap="around" w:vAnchor="text" w:hAnchor="margin" w:xAlign="outside" w:y="1"/>
      <w:rPr>
        <w:rStyle w:val="BodyText"/>
      </w:rPr>
    </w:pPr>
    <w:r>
      <w:rPr>
        <w:rStyle w:val="BodyText"/>
      </w:rPr>
      <w:fldChar w:fldCharType="begin"/>
    </w:r>
    <w:r>
      <w:rPr>
        <w:rStyle w:val="BodyText"/>
      </w:rPr>
      <w:instrText xml:space="preserve">PAGE  </w:instrText>
    </w:r>
    <w:r>
      <w:rPr>
        <w:rStyle w:val="BodyText"/>
      </w:rPr>
      <w:fldChar w:fldCharType="separate"/>
    </w:r>
    <w:r>
      <w:rPr>
        <w:rStyle w:val="BodyText"/>
        <w:noProof/>
      </w:rPr>
      <w:t>1</w:t>
    </w:r>
    <w:r>
      <w:rPr>
        <w:rStyle w:val="BodyText"/>
      </w:rPr>
      <w:fldChar w:fldCharType="end"/>
    </w:r>
  </w:p>
  <w:p>
    <w:pPr>
      <w:pStyle w:val="Header"/>
      <w:ind w:right="360" w:firstLine="360"/>
    </w:pPr>
  </w:p>
</w:hdr>
</file>

<file path=word/numbering.xml><?xml version="1.0" encoding="utf-8"?>
<w:numbering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Body Text Numbered List Levels-->
  <w:abstractNum w:abstractNumId="4000">
    <w:multiLevelType w:val="hybridMultilevel"/>
    <w:lvl w:ilvl="0">
      <w:start w:val="1"/>
      <w:numFmt w:val="decimal"/>
      <w:lvlText w:val="%1."/>
      <w:lvlJc w:val="left"/>
      <w:pPr>
        <w:pStyle w:val="BodyTextList"/>
        <w:ind w:left="1200" w:hanging="360"/>
      </w:pPr>
    </w:lvl>
    <w:lvl w:ilvl="1">
      <w:start w:val="1"/>
      <w:numFmt w:val="decimal"/>
      <w:lvlText w:val="%2."/>
      <w:lvlJc w:val="left"/>
      <w:pPr>
        <w:pStyle w:val="BodyTextList"/>
        <w:ind w:left="1800" w:hanging="360"/>
      </w:pPr>
    </w:lvl>
    <w:lvl w:ilvl="2">
      <w:start w:val="1"/>
      <w:numFmt w:val="decimal"/>
      <w:lvlText w:val="%3."/>
      <w:lvlJc w:val="left"/>
      <w:pPr>
        <w:pStyle w:val="BodyTextList"/>
        <w:ind w:left="2400" w:hanging="360"/>
      </w:pPr>
    </w:lvl>
    <w:lvl w:ilvl="3">
      <w:start w:val="1"/>
      <w:numFmt w:val="decimal"/>
      <w:lvlText w:val="%4."/>
      <w:lvlJc w:val="left"/>
      <w:pPr>
        <w:pStyle w:val="BodyTextList"/>
        <w:ind w:left="3000" w:hanging="360"/>
      </w:pPr>
    </w:lvl>
    <w:lvl w:ilvl="4">
      <w:start w:val="1"/>
      <w:numFmt w:val="decimal"/>
      <w:lvlText w:val="%5."/>
      <w:lvlJc w:val="left"/>
      <w:pPr>
        <w:pStyle w:val="BodyTextList"/>
        <w:ind w:left="3600" w:hanging="360"/>
      </w:pPr>
    </w:lvl>
    <w:lvl w:ilvl="5">
      <w:start w:val="1"/>
      <w:numFmt w:val="decimal"/>
      <w:lvlText w:val="%6."/>
      <w:lvlJc w:val="left"/>
      <w:pPr>
        <w:pStyle w:val="BodyTextList"/>
        <w:ind w:left="4200" w:hanging="360"/>
      </w:pPr>
    </w:lvl>
    <w:lvl w:ilvl="6">
      <w:start w:val="1"/>
      <w:numFmt w:val="decimal"/>
      <w:lvlText w:val="%7."/>
      <w:lvlJc w:val="left"/>
      <w:pPr>
        <w:pStyle w:val="BodyTextList"/>
        <w:ind w:left="4800" w:hanging="360"/>
      </w:pPr>
    </w:lvl>
    <w:lvl w:ilvl="7">
      <w:start w:val="1"/>
      <w:numFmt w:val="decimal"/>
      <w:lvlText w:val="%8."/>
      <w:lvlJc w:val="left"/>
      <w:pPr>
        <w:pStyle w:val="BodyTextList"/>
        <w:ind w:left="5400" w:hanging="360"/>
      </w:pPr>
    </w:lvl>
    <w:lvl w:ilvl="8">
      <w:start w:val="1"/>
      <w:numFmt w:val="decimal"/>
      <w:lvlText w:val="%9."/>
      <w:lvlJc w:val="left"/>
      <w:pPr>
        <w:pStyle w:val="BodyTextList"/>
        <w:ind w:left="6000" w:hanging="360"/>
      </w:pPr>
    </w:lvl>
  </w:abstractNum>
  <!--Body Text Bullet List Levels-->
  <w:abstractNum w:abstractNumId="4001">
    <w:multiLevelType w:val="hybridMultilevel"/>
    <w:lvl w:ilvl="0">
      <w:start w:val="1"/>
      <w:numFmt w:val="bullet"/>
      <w:lvlText w:val="*"/>
      <w:lvlJc w:val="left"/>
      <w:pPr>
        <w:pStyle w:val="BodyTextList"/>
        <w:ind w:left="1200" w:hanging="360"/>
      </w:pPr>
      <w:rPr>
        <w:rFonts w:ascii="Symbol" w:hAnsi="Symbol" w:hint="default"/>
      </w:rPr>
    </w:lvl>
    <w:lvl w:ilvl="1">
      <w:start w:val="1"/>
      <w:numFmt w:val="bullet"/>
      <w:lvlText w:val="o"/>
      <w:lvlJc w:val="left"/>
      <w:pPr>
        <w:pStyle w:val="BodyTextList"/>
        <w:ind w:left="1800" w:hanging="360"/>
      </w:pPr>
      <w:rPr>
        <w:rFonts w:ascii="Symbol" w:hAnsi="Symbol" w:hint="default"/>
      </w:rPr>
    </w:lvl>
    <w:lvl w:ilvl="2">
      <w:start w:val="1"/>
      <w:numFmt w:val="bullet"/>
      <w:lvlText w:val="o"/>
      <w:lvlJc w:val="left"/>
      <w:pPr>
        <w:pStyle w:val="BodyTextList"/>
        <w:ind w:left="2400" w:hanging="360"/>
      </w:pPr>
      <w:rPr>
        <w:rFonts w:ascii="Symbol" w:hAnsi="Symbol" w:hint="default"/>
      </w:rPr>
    </w:lvl>
    <w:lvl w:ilvl="3">
      <w:start w:val="1"/>
      <w:numFmt w:val="bullet"/>
      <w:lvlText w:val="o"/>
      <w:lvlJc w:val="left"/>
      <w:pPr>
        <w:pStyle w:val="BodyTextList"/>
        <w:ind w:left="3000" w:hanging="360"/>
      </w:pPr>
      <w:rPr>
        <w:rFonts w:ascii="Symbol" w:hAnsi="Symbol" w:hint="default"/>
      </w:rPr>
    </w:lvl>
    <w:lvl w:ilvl="4">
      <w:start w:val="1"/>
      <w:numFmt w:val="bullet"/>
      <w:lvlText w:val="o"/>
      <w:lvlJc w:val="left"/>
      <w:pPr>
        <w:pStyle w:val="BodyTextList"/>
        <w:ind w:left="3600" w:hanging="360"/>
      </w:pPr>
      <w:rPr>
        <w:rFonts w:ascii="Symbol" w:hAnsi="Symbol" w:hint="default"/>
      </w:rPr>
    </w:lvl>
    <w:lvl w:ilvl="5">
      <w:start w:val="1"/>
      <w:numFmt w:val="bullet"/>
      <w:lvlText w:val="o"/>
      <w:lvlJc w:val="left"/>
      <w:pPr>
        <w:pStyle w:val="BodyTextList"/>
        <w:ind w:left="4200" w:hanging="360"/>
      </w:pPr>
      <w:rPr>
        <w:rFonts w:ascii="Symbol" w:hAnsi="Symbol" w:hint="default"/>
      </w:rPr>
    </w:lvl>
    <w:lvl w:ilvl="6">
      <w:start w:val="1"/>
      <w:numFmt w:val="bullet"/>
      <w:lvlText w:val="o"/>
      <w:lvlJc w:val="left"/>
      <w:pPr>
        <w:pStyle w:val="BodyTextList"/>
        <w:ind w:left="4800" w:hanging="360"/>
      </w:pPr>
      <w:rPr>
        <w:rFonts w:ascii="Symbol" w:hAnsi="Symbol" w:hint="default"/>
      </w:rPr>
    </w:lvl>
    <w:lvl w:ilvl="7">
      <w:start w:val="1"/>
      <w:numFmt w:val="bullet"/>
      <w:lvlText w:val="o"/>
      <w:lvlJc w:val="left"/>
      <w:pPr>
        <w:pStyle w:val="BodyTextList"/>
        <w:ind w:left="5400" w:hanging="360"/>
      </w:pPr>
      <w:rPr>
        <w:rFonts w:ascii="Symbol" w:hAnsi="Symbol" w:hint="default"/>
      </w:rPr>
    </w:lvl>
    <w:lvl w:ilvl="8">
      <w:start w:val="1"/>
      <w:numFmt w:val="bullet"/>
      <w:lvlText w:val="o"/>
      <w:lvlJc w:val="left"/>
      <w:pPr>
        <w:pStyle w:val="BodyTextList"/>
        <w:ind w:left="6000" w:hanging="360"/>
      </w:pPr>
      <w:rPr>
        <w:rFonts w:ascii="Symbol" w:hAnsi="Symbol" w:hint="default"/>
      </w:rPr>
    </w:lvl>
  </w:abstractNum>
  <w:num w:numId="4000">
    <w:abstractNumId w:val="4000"/>
  </w:num>
  <w:num w:numId="4001">
    <w:abstractNumId w:val="40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0F8"/>
    <w:rsid w:val="00184C97"/>
    <w:rsid w:val="00206C99"/>
    <w:rsid w:val="00232659"/>
    <w:rsid w:val="0024153B"/>
    <w:rsid w:val="002629BC"/>
    <w:rsid w:val="003244B1"/>
    <w:rsid w:val="00391290"/>
    <w:rsid w:val="003C61AF"/>
    <w:rsid w:val="004963AC"/>
    <w:rsid w:val="004B6AB2"/>
    <w:rsid w:val="00543AFB"/>
    <w:rsid w:val="0058798E"/>
    <w:rsid w:val="0065012F"/>
    <w:rsid w:val="006F52CE"/>
    <w:rsid w:val="007302E9"/>
    <w:rsid w:val="00771B99"/>
    <w:rsid w:val="00811BAC"/>
    <w:rsid w:val="009372D1"/>
    <w:rsid w:val="009878AA"/>
    <w:rsid w:val="00AC54C0"/>
    <w:rsid w:val="00BF3CDB"/>
    <w:rsid w:val="00C15747"/>
    <w:rsid w:val="00CE4EFD"/>
    <w:rsid w:val="00D070F8"/>
    <w:rsid w:val="00E45BFC"/>
    <w:rsid w:val="00EE1209"/>
    <w:rsid w:val="00FB154D"/>
    <w:rsid w:val="00FB28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4E6B78"/>
  <w14:defaultImageDpi w14:val="300"/>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mc:Ignorable="w14">
  <w:docDefaults>
    <w:rPrDefault>
      <w:rPr>
        <w:rFonts w:ascii="Helvetica" w:cs="Helvetica" w:hAnsi="Helvetica"/>
        <w:sz w:val="24"/>
        <w:szCs w:val="24"/>
        <w:lang w:val="en-US" w:eastAsia="en-US" w:bidi="ar-SA"/>
      </w:rPr>
    </w:rPrDefault>
    <w:pPrDefault/>
  </w:docDefaults>
  <w:style w:type="paragraph" w:styleId="TOCHeading">
    <w:name w:val="TOC Heading"/>
    <w:basedOn w:val="Heading1"/>
    <w:next w:val="Normal"/>
    <w:uiPriority w:val="39"/>
    <w:unhideWhenUsed/>
    <w:rsid w:val="00936B63"/>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936B63"/>
    <w:pPr>
      <w:spacing w:before="120"/>
    </w:pPr>
    <w:rPr>
      <w:b/>
    </w:rPr>
  </w:style>
  <w:style w:type="paragraph" w:styleId="TOC2">
    <w:name w:val="toc 2"/>
    <w:basedOn w:val="Normal"/>
    <w:next w:val="Normal"/>
    <w:autoRedefine/>
    <w:uiPriority w:val="39"/>
    <w:semiHidden/>
    <w:unhideWhenUsed/>
    <w:rsid w:val="00936B63"/>
    <w:pPr>
      <w:ind w:left="240"/>
    </w:pPr>
    <w:rPr>
      <w:b/>
      <w:sz w:val="22"/>
      <w:szCs w:val="22"/>
    </w:rPr>
  </w:style>
  <w:style w:type="paragraph" w:styleId="TOC3">
    <w:name w:val="toc 3"/>
    <w:basedOn w:val="Normal"/>
    <w:next w:val="Normal"/>
    <w:autoRedefine/>
    <w:uiPriority w:val="39"/>
    <w:semiHidden/>
    <w:unhideWhenUsed/>
    <w:rsid w:val="00936B63"/>
    <w:pPr>
      <w:ind w:left="480"/>
    </w:pPr>
    <w:rPr>
      <w:sz w:val="22"/>
      <w:szCs w:val="22"/>
    </w:rPr>
  </w:style>
  <w:style w:type="paragraph" w:styleId="TOC4">
    <w:name w:val="toc 4"/>
    <w:basedOn w:val="Normal"/>
    <w:next w:val="Normal"/>
    <w:autoRedefine/>
    <w:uiPriority w:val="39"/>
    <w:semiHidden/>
    <w:unhideWhenUsed/>
    <w:rsid w:val="00936B63"/>
    <w:pPr>
      <w:ind w:left="720"/>
    </w:pPr>
    <w:rPr>
      <w:sz w:val="20"/>
      <w:szCs w:val="20"/>
    </w:rPr>
  </w:style>
  <w:style w:type="paragraph" w:styleId="TOC5">
    <w:name w:val="toc 5"/>
    <w:basedOn w:val="Normal"/>
    <w:next w:val="Normal"/>
    <w:autoRedefine/>
    <w:uiPriority w:val="39"/>
    <w:semiHidden/>
    <w:unhideWhenUsed/>
    <w:rsid w:val="00936B63"/>
    <w:pPr>
      <w:ind w:left="960"/>
    </w:pPr>
    <w:rPr>
      <w:sz w:val="20"/>
      <w:szCs w:val="20"/>
    </w:rPr>
  </w:style>
  <w:style w:type="paragraph" w:styleId="TOC6">
    <w:name w:val="toc 6"/>
    <w:basedOn w:val="Normal"/>
    <w:next w:val="Normal"/>
    <w:autoRedefine/>
    <w:uiPriority w:val="39"/>
    <w:semiHidden/>
    <w:unhideWhenUsed/>
    <w:rsid w:val="00936B63"/>
    <w:pPr>
      <w:ind w:left="1200"/>
    </w:pPr>
    <w:rPr>
      <w:sz w:val="20"/>
      <w:szCs w:val="20"/>
    </w:rPr>
  </w:style>
  <w:style w:type="paragraph" w:styleId="TOC7">
    <w:name w:val="toc 7"/>
    <w:basedOn w:val="Normal"/>
    <w:next w:val="Normal"/>
    <w:autoRedefine/>
    <w:uiPriority w:val="39"/>
    <w:semiHidden/>
    <w:unhideWhenUsed/>
    <w:rsid w:val="00936B63"/>
    <w:pPr>
      <w:ind w:left="1440"/>
    </w:pPr>
    <w:rPr>
      <w:sz w:val="20"/>
      <w:szCs w:val="20"/>
    </w:rPr>
  </w:style>
  <w:style w:type="paragraph" w:styleId="TOC8">
    <w:name w:val="toc 8"/>
    <w:basedOn w:val="Normal"/>
    <w:next w:val="Normal"/>
    <w:autoRedefine/>
    <w:uiPriority w:val="39"/>
    <w:semiHidden/>
    <w:unhideWhenUsed/>
    <w:rsid w:val="00936B63"/>
    <w:pPr>
      <w:ind w:left="1680"/>
    </w:pPr>
    <w:rPr>
      <w:sz w:val="20"/>
      <w:szCs w:val="20"/>
    </w:rPr>
  </w:style>
  <w:style w:type="paragraph" w:styleId="TOC9">
    <w:name w:val="toc 9"/>
    <w:basedOn w:val="Normal"/>
    <w:next w:val="Normal"/>
    <w:autoRedefine/>
    <w:uiPriority w:val="39"/>
    <w:semiHidden/>
    <w:unhideWhenUsed/>
    <w:rsid w:val="00936B63"/>
    <w:pPr>
      <w:ind w:left="1920"/>
    </w:pPr>
    <w:rPr>
      <w:sz w:val="20"/>
      <w:szCs w:val="20"/>
    </w:rPr>
  </w:style>
  decimaldecimal
  <w:style w:type="paragraph" w:customStyle="1" w:styleId="SectionHeading">
    <w:name w:val="Section Heading"/>
    <w:next w:val="Section Heading"/>
    <w:link w:val="MPParagraphStyle_672B4420-9EE6-4F3C-98F5-FDA0A47F29DE-characters"/>
    <w:pPr>
      <w:keepNext/>
      <w:keepLines/>
      <w:spacing w:before="480"/>
      <w:outlineLvl w:val="0"/>
    </w:pPr>
    <w:qFormat/>
    <w:pPr>
      <w:numPr>
        <w:ilvl w:val="1"/>
      </w:numPr>
      <w:spacing w:before="160" w:after="100" w:line="480" w:lineRule="auto"/>
      <w:ind w:firstLine="0"/>
    </w:pPr>
    <w:rPr>
      <w:rFonts w:ascii="Charter-Roman" w:hAnsi="Charter-Roman"/>
      <w:b w:val="false"/>
      <w:bCs w:val="false"/>
      <w:i w:val="false"/>
      <w:iCs w:val="false"/>
      <w:color w:val="000000"/>
      <w:sz w:val="32"/>
    </w:rPr>
  </w:style>
  <w:style w:type="paragraph" w:customStyle="1" w:styleId="SectionHeadingList">
    <w:name w:val="Section Heading List"/>
    <w:basedOn w:val="SectionHeading"/>
    <w:next w:val="SectionHeadingList"/>
    <w:qFormat/>
  </w:style>
  <w:style w:type="paragraph" w:customStyle="1" w:styleId="SectionHeadingCaption">
    <w:name w:val="Section Heading Caption"/>
    <w:basedOn w:val="SectionHeading"/>
    <w:next w:val="SectionHeading"/>
    <w:qFormat/>
    <w:pPr>
      <w:numPr>
        <w:ilvl w:val="1"/>
      </w:numPr>
    </w:pPr>
  </w:style>
  <w:style w:type="paragraph" w:customStyle="1" w:styleId="SubsectionHeading">
    <w:name w:val="Subsection Heading"/>
    <w:next w:val="Subsection Heading"/>
    <w:link w:val="MPParagraphStyle_6C099BA5-412F-4E43-927B-9989918B2D56-characters"/>
    <w:pPr>
      <w:keepNext/>
      <w:keepLines/>
      <w:spacing w:before="480"/>
      <w:outlineLvl w:val="1"/>
    </w:pPr>
    <w:qFormat/>
    <w:pPr>
      <w:numPr>
        <w:ilvl w:val="1"/>
      </w:numPr>
      <w:spacing w:before="160" w:after="100" w:line="420" w:lineRule="auto"/>
      <w:ind w:firstLine="0"/>
    </w:pPr>
    <w:rPr>
      <w:rFonts w:ascii="Charter-Roman" w:hAnsi="Charter-Roman"/>
      <w:b w:val="false"/>
      <w:bCs w:val="false"/>
      <w:i w:val="false"/>
      <w:iCs w:val="false"/>
      <w:color w:val="000000"/>
      <w:sz w:val="28"/>
    </w:rPr>
  </w:style>
  <w:style w:type="paragraph" w:customStyle="1" w:styleId="SubsectionHeadingList">
    <w:name w:val="Subsection Heading List"/>
    <w:basedOn w:val="SubsectionHeading"/>
    <w:next w:val="SubsectionHeadingList"/>
    <w:qFormat/>
  </w:style>
  <w:style w:type="paragraph" w:customStyle="1" w:styleId="SubsectionHeadingCaption">
    <w:name w:val="Subsection Heading Caption"/>
    <w:basedOn w:val="SubsectionHeading"/>
    <w:next w:val="SubsectionHeading"/>
    <w:qFormat/>
    <w:pPr>
      <w:numPr>
        <w:ilvl w:val="1"/>
      </w:numPr>
    </w:pPr>
  </w:style>
  <w:style w:type="paragraph" w:customStyle="1" w:styleId="BodyText">
    <w:name w:val="Body Text"/>
    <w:next w:val="Body Text"/>
    <w:link w:val="MPParagraphStyle_954CF19C-88FE-4C75-B390-1BFD2074B623-characters"/>
    <w:qFormat/>
    <w:pPr>
      <w:numPr>
        <w:ilvl w:val="1"/>
      </w:numPr>
      <w:spacing w:before="200" w:after="200" w:line="480" w:lineRule="auto"/>
      <w:ind w:firstLine="0"/>
    </w:pPr>
    <w:rPr>
      <w:rFonts w:ascii="Charter-Roman" w:hAnsi="Charter-Roman"/>
      <w:b w:val="false"/>
      <w:bCs w:val="false"/>
      <w:i w:val="false"/>
      <w:iCs w:val="false"/>
      <w:color w:val="000000"/>
      <w:sz w:val="24"/>
    </w:rPr>
  </w:style>
  <w:style w:type="paragraph" w:customStyle="1" w:styleId="BodyTextList">
    <w:name w:val="Body Text List"/>
    <w:basedOn w:val="BodyText"/>
    <w:next w:val="BodyTextList"/>
    <w:qFormat/>
  </w:style>
  <w:style w:type="paragraph" w:customStyle="1" w:styleId="BodyTextCaption">
    <w:name w:val="Body Text Caption"/>
    <w:basedOn w:val="BodyText"/>
    <w:next w:val="BodyText"/>
    <w:qFormat/>
    <w:pPr>
      <w:numPr>
        <w:ilvl w:val="1"/>
      </w:numPr>
    </w:pPr>
  </w:style>
  <w:style w:type="paragraph" w:customStyle="1" w:styleId="ManuscriptTitle">
    <w:name w:val="Manuscript Title"/>
    <w:next w:val="Manuscript Title"/>
    <w:link w:val="MPParagraphStyle_E4D32197-1AE8-4DC6-9DF0-99453D55E7AA-characters"/>
    <w:qFormat/>
    <w:pPr>
      <w:numPr>
        <w:ilvl w:val="1"/>
      </w:numPr>
      <w:spacing w:before="200" w:after="200" w:line="600" w:lineRule="auto"/>
      <w:ind w:firstLine="0"/>
    </w:pPr>
    <w:rPr>
      <w:rFonts w:ascii="Charter-Roman" w:hAnsi="Charter-Roman"/>
      <w:b w:val="false"/>
      <w:bCs w:val="false"/>
      <w:i w:val="false"/>
      <w:iCs w:val="false"/>
      <w:color w:val="000000"/>
      <w:sz w:val="40"/>
    </w:rPr>
  </w:style>
  <w:style w:type="paragraph" w:customStyle="1" w:styleId="ManuscriptTitleList">
    <w:name w:val="Manuscript Title List"/>
    <w:basedOn w:val="ManuscriptTitle"/>
    <w:next w:val="ManuscriptTitleList"/>
    <w:qFormat/>
  </w:style>
  <w:style w:type="paragraph" w:customStyle="1" w:styleId="ManuscriptTitleCaption">
    <w:name w:val="Manuscript Title Caption"/>
    <w:basedOn w:val="ManuscriptTitle"/>
    <w:next w:val="ManuscriptTitle"/>
    <w:qFormat/>
    <w:pPr>
      <w:numPr>
        <w:ilvl w:val="1"/>
      </w:numPr>
    </w:pPr>
  </w:style>
  0below2016-09-29 20:28:57 +0000none1defaultMPFigureStylenonefigure10D149EC4A-DB52-434F-B91A-EFBAF8F7131EDefault2017-03-14 21:54:25 +0000
</w:styles>
</file>

<file path=word/stylesWithEffects.xml><?xml version="1.0" encoding="utf-8"?>
<w:styles xmlns:w="http://schemas.openxmlformats.org/wordprocessingml/2006/main" xmlns:mc="http://schemas.openxmlformats.org/markup-compatibility/2006" xmlns:r="http://schemas.openxmlformats.org/officeDocument/2006/relationships" xmlns:w14="http://schemas.microsoft.com/office/word/2010/wordml" mc:Ignorable="w14">
  <w:docDefaults>
    <w:rPrDefault>
      <w:rPr>
        <w:rFonts w:ascii="Helvetica" w:cs="Helvetica" w:hAnsi="Helvetica"/>
        <w:sz w:val="24"/>
        <w:szCs w:val="24"/>
        <w:lang w:val="en-US" w:eastAsia="en-US" w:bidi="ar-SA"/>
      </w:rPr>
    </w:rPrDefault>
    <w:pPrDefault/>
  </w:docDefaults>
  <w:style w:type="paragraph" w:styleId="TOCHeading">
    <w:name w:val="TOC Heading"/>
    <w:basedOn w:val="Heading1"/>
    <w:next w:val="Normal"/>
    <w:uiPriority w:val="39"/>
    <w:unhideWhenUsed/>
    <w:rsid w:val="00936B63"/>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936B63"/>
    <w:pPr>
      <w:spacing w:before="120"/>
    </w:pPr>
    <w:rPr>
      <w:b/>
    </w:rPr>
  </w:style>
  <w:style w:type="paragraph" w:styleId="TOC2">
    <w:name w:val="toc 2"/>
    <w:basedOn w:val="Normal"/>
    <w:next w:val="Normal"/>
    <w:autoRedefine/>
    <w:uiPriority w:val="39"/>
    <w:semiHidden/>
    <w:unhideWhenUsed/>
    <w:rsid w:val="00936B63"/>
    <w:pPr>
      <w:ind w:left="240"/>
    </w:pPr>
    <w:rPr>
      <w:b/>
      <w:sz w:val="22"/>
      <w:szCs w:val="22"/>
    </w:rPr>
  </w:style>
  <w:style w:type="paragraph" w:styleId="TOC3">
    <w:name w:val="toc 3"/>
    <w:basedOn w:val="Normal"/>
    <w:next w:val="Normal"/>
    <w:autoRedefine/>
    <w:uiPriority w:val="39"/>
    <w:semiHidden/>
    <w:unhideWhenUsed/>
    <w:rsid w:val="00936B63"/>
    <w:pPr>
      <w:ind w:left="480"/>
    </w:pPr>
    <w:rPr>
      <w:sz w:val="22"/>
      <w:szCs w:val="22"/>
    </w:rPr>
  </w:style>
  <w:style w:type="paragraph" w:styleId="TOC4">
    <w:name w:val="toc 4"/>
    <w:basedOn w:val="Normal"/>
    <w:next w:val="Normal"/>
    <w:autoRedefine/>
    <w:uiPriority w:val="39"/>
    <w:semiHidden/>
    <w:unhideWhenUsed/>
    <w:rsid w:val="00936B63"/>
    <w:pPr>
      <w:ind w:left="720"/>
    </w:pPr>
    <w:rPr>
      <w:sz w:val="20"/>
      <w:szCs w:val="20"/>
    </w:rPr>
  </w:style>
  <w:style w:type="paragraph" w:styleId="TOC5">
    <w:name w:val="toc 5"/>
    <w:basedOn w:val="Normal"/>
    <w:next w:val="Normal"/>
    <w:autoRedefine/>
    <w:uiPriority w:val="39"/>
    <w:semiHidden/>
    <w:unhideWhenUsed/>
    <w:rsid w:val="00936B63"/>
    <w:pPr>
      <w:ind w:left="960"/>
    </w:pPr>
    <w:rPr>
      <w:sz w:val="20"/>
      <w:szCs w:val="20"/>
    </w:rPr>
  </w:style>
  <w:style w:type="paragraph" w:styleId="TOC6">
    <w:name w:val="toc 6"/>
    <w:basedOn w:val="Normal"/>
    <w:next w:val="Normal"/>
    <w:autoRedefine/>
    <w:uiPriority w:val="39"/>
    <w:semiHidden/>
    <w:unhideWhenUsed/>
    <w:rsid w:val="00936B63"/>
    <w:pPr>
      <w:ind w:left="1200"/>
    </w:pPr>
    <w:rPr>
      <w:sz w:val="20"/>
      <w:szCs w:val="20"/>
    </w:rPr>
  </w:style>
  <w:style w:type="paragraph" w:styleId="TOC7">
    <w:name w:val="toc 7"/>
    <w:basedOn w:val="Normal"/>
    <w:next w:val="Normal"/>
    <w:autoRedefine/>
    <w:uiPriority w:val="39"/>
    <w:semiHidden/>
    <w:unhideWhenUsed/>
    <w:rsid w:val="00936B63"/>
    <w:pPr>
      <w:ind w:left="1440"/>
    </w:pPr>
    <w:rPr>
      <w:sz w:val="20"/>
      <w:szCs w:val="20"/>
    </w:rPr>
  </w:style>
  <w:style w:type="paragraph" w:styleId="TOC8">
    <w:name w:val="toc 8"/>
    <w:basedOn w:val="Normal"/>
    <w:next w:val="Normal"/>
    <w:autoRedefine/>
    <w:uiPriority w:val="39"/>
    <w:semiHidden/>
    <w:unhideWhenUsed/>
    <w:rsid w:val="00936B63"/>
    <w:pPr>
      <w:ind w:left="1680"/>
    </w:pPr>
    <w:rPr>
      <w:sz w:val="20"/>
      <w:szCs w:val="20"/>
    </w:rPr>
  </w:style>
  <w:style w:type="paragraph" w:styleId="TOC9">
    <w:name w:val="toc 9"/>
    <w:basedOn w:val="Normal"/>
    <w:next w:val="Normal"/>
    <w:autoRedefine/>
    <w:uiPriority w:val="39"/>
    <w:semiHidden/>
    <w:unhideWhenUsed/>
    <w:rsid w:val="00936B63"/>
    <w:pPr>
      <w:ind w:left="1920"/>
    </w:pPr>
    <w:rPr>
      <w:sz w:val="20"/>
      <w:szCs w:val="20"/>
    </w:rPr>
  </w:style>
  decimaldecimal
  <w:style w:type="paragraph" w:customStyle="1" w:styleId="SectionHeading">
    <w:name w:val="Section Heading"/>
    <w:next w:val="Section Heading"/>
    <w:link w:val="MPParagraphStyle_672B4420-9EE6-4F3C-98F5-FDA0A47F29DE-characters"/>
    <w:pPr>
      <w:keepNext/>
      <w:keepLines/>
      <w:spacing w:before="480"/>
      <w:outlineLvl w:val="0"/>
    </w:pPr>
    <w:qFormat/>
    <w:pPr>
      <w:numPr>
        <w:ilvl w:val="1"/>
      </w:numPr>
      <w:spacing w:before="160" w:after="100" w:line="480" w:lineRule="auto"/>
      <w:ind w:firstLine="0"/>
    </w:pPr>
    <w:rPr>
      <w:rFonts w:ascii="Charter-Roman" w:hAnsi="Charter-Roman"/>
      <w:b w:val="false"/>
      <w:bCs w:val="false"/>
      <w:i w:val="false"/>
      <w:iCs w:val="false"/>
      <w:color w:val="000000"/>
      <w:sz w:val="32"/>
    </w:rPr>
  </w:style>
  <w:style w:type="paragraph" w:customStyle="1" w:styleId="SectionHeadingList">
    <w:name w:val="Section Heading List"/>
    <w:basedOn w:val="SectionHeading"/>
    <w:next w:val="SectionHeadingList"/>
    <w:qFormat/>
  </w:style>
  <w:style w:type="paragraph" w:customStyle="1" w:styleId="SectionHeadingCaption">
    <w:name w:val="Section Heading Caption"/>
    <w:basedOn w:val="SectionHeading"/>
    <w:next w:val="SectionHeading"/>
    <w:qFormat/>
    <w:pPr>
      <w:numPr>
        <w:ilvl w:val="1"/>
      </w:numPr>
    </w:pPr>
  </w:style>
  <w:style w:type="paragraph" w:customStyle="1" w:styleId="SubsectionHeading">
    <w:name w:val="Subsection Heading"/>
    <w:next w:val="Subsection Heading"/>
    <w:link w:val="MPParagraphStyle_6C099BA5-412F-4E43-927B-9989918B2D56-characters"/>
    <w:pPr>
      <w:keepNext/>
      <w:keepLines/>
      <w:spacing w:before="480"/>
      <w:outlineLvl w:val="1"/>
    </w:pPr>
    <w:qFormat/>
    <w:pPr>
      <w:numPr>
        <w:ilvl w:val="1"/>
      </w:numPr>
      <w:spacing w:before="160" w:after="100" w:line="420" w:lineRule="auto"/>
      <w:ind w:firstLine="0"/>
    </w:pPr>
    <w:rPr>
      <w:rFonts w:ascii="Charter-Roman" w:hAnsi="Charter-Roman"/>
      <w:b w:val="false"/>
      <w:bCs w:val="false"/>
      <w:i w:val="false"/>
      <w:iCs w:val="false"/>
      <w:color w:val="000000"/>
      <w:sz w:val="28"/>
    </w:rPr>
  </w:style>
  <w:style w:type="paragraph" w:customStyle="1" w:styleId="SubsectionHeadingList">
    <w:name w:val="Subsection Heading List"/>
    <w:basedOn w:val="SubsectionHeading"/>
    <w:next w:val="SubsectionHeadingList"/>
    <w:qFormat/>
  </w:style>
  <w:style w:type="paragraph" w:customStyle="1" w:styleId="SubsectionHeadingCaption">
    <w:name w:val="Subsection Heading Caption"/>
    <w:basedOn w:val="SubsectionHeading"/>
    <w:next w:val="SubsectionHeading"/>
    <w:qFormat/>
    <w:pPr>
      <w:numPr>
        <w:ilvl w:val="1"/>
      </w:numPr>
    </w:pPr>
  </w:style>
  <w:style w:type="paragraph" w:customStyle="1" w:styleId="BodyText">
    <w:name w:val="Body Text"/>
    <w:next w:val="Body Text"/>
    <w:link w:val="MPParagraphStyle_954CF19C-88FE-4C75-B390-1BFD2074B623-characters"/>
    <w:qFormat/>
    <w:pPr>
      <w:numPr>
        <w:ilvl w:val="1"/>
      </w:numPr>
      <w:spacing w:before="200" w:after="200" w:line="480" w:lineRule="auto"/>
      <w:ind w:firstLine="0"/>
    </w:pPr>
    <w:rPr>
      <w:rFonts w:ascii="Charter-Roman" w:hAnsi="Charter-Roman"/>
      <w:b w:val="false"/>
      <w:bCs w:val="false"/>
      <w:i w:val="false"/>
      <w:iCs w:val="false"/>
      <w:color w:val="000000"/>
      <w:sz w:val="24"/>
    </w:rPr>
  </w:style>
  <w:style w:type="paragraph" w:customStyle="1" w:styleId="BodyTextList">
    <w:name w:val="Body Text List"/>
    <w:basedOn w:val="BodyText"/>
    <w:next w:val="BodyTextList"/>
    <w:qFormat/>
  </w:style>
  <w:style w:type="paragraph" w:customStyle="1" w:styleId="BodyTextCaption">
    <w:name w:val="Body Text Caption"/>
    <w:basedOn w:val="BodyText"/>
    <w:next w:val="BodyText"/>
    <w:qFormat/>
    <w:pPr>
      <w:numPr>
        <w:ilvl w:val="1"/>
      </w:numPr>
    </w:pPr>
  </w:style>
  <w:style w:type="paragraph" w:customStyle="1" w:styleId="ManuscriptTitle">
    <w:name w:val="Manuscript Title"/>
    <w:next w:val="Manuscript Title"/>
    <w:link w:val="MPParagraphStyle_E4D32197-1AE8-4DC6-9DF0-99453D55E7AA-characters"/>
    <w:qFormat/>
    <w:pPr>
      <w:numPr>
        <w:ilvl w:val="1"/>
      </w:numPr>
      <w:spacing w:before="200" w:after="200" w:line="600" w:lineRule="auto"/>
      <w:ind w:firstLine="0"/>
    </w:pPr>
    <w:rPr>
      <w:rFonts w:ascii="Charter-Roman" w:hAnsi="Charter-Roman"/>
      <w:b w:val="false"/>
      <w:bCs w:val="false"/>
      <w:i w:val="false"/>
      <w:iCs w:val="false"/>
      <w:color w:val="000000"/>
      <w:sz w:val="40"/>
    </w:rPr>
  </w:style>
  <w:style w:type="paragraph" w:customStyle="1" w:styleId="ManuscriptTitleList">
    <w:name w:val="Manuscript Title List"/>
    <w:basedOn w:val="ManuscriptTitle"/>
    <w:next w:val="ManuscriptTitleList"/>
    <w:qFormat/>
  </w:style>
  <w:style w:type="paragraph" w:customStyle="1" w:styleId="ManuscriptTitleCaption">
    <w:name w:val="Manuscript Title Caption"/>
    <w:basedOn w:val="ManuscriptTitle"/>
    <w:next w:val="ManuscriptTitle"/>
    <w:qFormat/>
    <w:pPr>
      <w:numPr>
        <w:ilvl w:val="1"/>
      </w:numPr>
    </w:pPr>
  </w:style>
  0below2016-09-29 20:28:57 +0000none1defaultMPFigureStylenonefigure10D149EC4A-DB52-434F-B91A-EFBAF8F7131EDefault2017-03-14 21:54:25 +0000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
	<!-- NOTE: document.xml will reference the Id values here so don't just touch them on a whim! -->
	<Relationship Id="rId1" Type="http://schemas.openxmlformats.org/officeDocument/2006/relationships/numbering" Target="numbering.xml"/>
	<Relationship Id="rId2" Type="http://schemas.openxmlformats.org/officeDocument/2006/relationships/styles" Target="styles.xml"/>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7" Type="http://schemas.openxmlformats.org/officeDocument/2006/relationships/fontTable" Target="fontTable.xml"/>
	<Relationship Id="rId8" Type="http://schemas.openxmlformats.org/officeDocument/2006/relationships/theme" Target="theme/theme1.xml"/>
	<Relationship Id="rId9" Type="http://schemas.openxmlformats.org/officeDocument/2006/relationships/footnotes" Target="footnotes.xml" />
	<Relationship Id="rId10" Type="http://schemas.openxmlformats.org/officeDocument/2006/relationships/endnotes" Target="endnotes.xml" />
	<Relationship Id="rId20" Type="http://schemas.openxmlformats.org/officeDocument/2006/relationships/header" Target="header.xml"/>
	<Relationship Id="rId30" Type="http://schemas.openxmlformats.org/officeDocument/2006/relationships/footer" Target="footer.xml"/>
<Relationship Id="Figure1_1" Type="http://schemas.openxmlformats.org/officeDocument/2006/relationships/image" Target="media/Figure1_1.png"/>
<Relationship Id="Figure1_2" Type="http://schemas.openxmlformats.org/officeDocument/2006/relationships/image" Target="media/Figure1_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5</Words>
  <Characters>32</Characters>
  <Application>Microsoft Macintosh Word</Application>
  <DocSecurity>0</DocSecurity>
  <Lines>2</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Markus Piipari</cp:lastModifiedBy>
  <cp:revision>2</cp:revision>
  <dcterms:created xsi:type="dcterms:W3CDTF">2013-02-19T07:12:00Z</dcterms:created>
  <dcterms:modified xsi:type="dcterms:W3CDTF">2015-06-04T21:10:00Z</dcterms:modified>
  <cp:category/>
</cp:coreProperties>
</file>