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C7E6D9" w14:textId="77777777" w:rsidR="00536558" w:rsidRPr="00536558" w:rsidRDefault="00536558" w:rsidP="00536558">
      <w:pPr>
        <w:pStyle w:val="Title"/>
        <w:rPr>
          <w:b w:val="0"/>
        </w:rPr>
      </w:pPr>
      <w:r w:rsidRPr="00536558">
        <w:rPr>
          <w:b w:val="0"/>
        </w:rPr>
        <w:t>Writing Samples</w:t>
      </w:r>
    </w:p>
    <w:p w14:paraId="53EFBD3E" w14:textId="77777777" w:rsidR="00536558" w:rsidRDefault="00536558" w:rsidP="00536558">
      <w:pPr>
        <w:rPr>
          <w:b/>
          <w:sz w:val="24"/>
          <w:szCs w:val="24"/>
        </w:rPr>
      </w:pPr>
    </w:p>
    <w:p w14:paraId="2F3BC605" w14:textId="5D109E11" w:rsidR="00536558" w:rsidRDefault="00536558" w:rsidP="00536558">
      <w:pPr>
        <w:pStyle w:val="Heading1"/>
      </w:pPr>
      <w:r>
        <w:t>Sa</w:t>
      </w:r>
      <w:r w:rsidRPr="00FB0BB9">
        <w:t>mple</w:t>
      </w:r>
      <w:r w:rsidRPr="00FB0BB9">
        <w:rPr>
          <w:rFonts w:eastAsia="ArialMT"/>
        </w:rPr>
        <w:t xml:space="preserve"> #1</w:t>
      </w:r>
    </w:p>
    <w:p w14:paraId="2B685E8A" w14:textId="5DFFA56E" w:rsidR="00536558" w:rsidRPr="00536558" w:rsidRDefault="00536558" w:rsidP="00536558">
      <w:pPr>
        <w:rPr>
          <w:b/>
          <w:bCs/>
          <w:sz w:val="24"/>
          <w:szCs w:val="24"/>
          <w:u w:val="single"/>
        </w:rPr>
      </w:pPr>
      <w:r w:rsidRPr="00536558">
        <w:rPr>
          <w:b/>
          <w:bCs/>
          <w:sz w:val="24"/>
          <w:szCs w:val="24"/>
          <w:u w:val="single"/>
        </w:rPr>
        <w:t>Create one or more procedures from the following content:</w:t>
      </w:r>
    </w:p>
    <w:p w14:paraId="23288722" w14:textId="77777777" w:rsidR="00536558" w:rsidRPr="004777C6" w:rsidRDefault="00536558" w:rsidP="00536558">
      <w:pPr>
        <w:autoSpaceDE w:val="0"/>
        <w:autoSpaceDN w:val="0"/>
        <w:adjustRightInd w:val="0"/>
        <w:spacing w:after="0" w:line="240" w:lineRule="auto"/>
        <w:rPr>
          <w:rFonts w:eastAsia="ArialMT" w:cs="ArialMT"/>
          <w:color w:val="2E74B5" w:themeColor="accent5" w:themeShade="BF"/>
        </w:rPr>
      </w:pPr>
      <w:r w:rsidRPr="004777C6">
        <w:rPr>
          <w:rFonts w:eastAsia="ArialMT" w:cs="ArialMT"/>
          <w:color w:val="2E74B5" w:themeColor="accent5" w:themeShade="BF"/>
        </w:rPr>
        <w:t xml:space="preserve">For powering up and then configuring a server:  </w:t>
      </w:r>
      <w:r>
        <w:rPr>
          <w:rFonts w:eastAsia="ArialMT" w:cs="ArialMT"/>
          <w:color w:val="2E74B5" w:themeColor="accent5" w:themeShade="BF"/>
        </w:rPr>
        <w:t>Before performing this task, ensure power to the server is off. Start by c</w:t>
      </w:r>
      <w:r w:rsidRPr="004777C6">
        <w:rPr>
          <w:rFonts w:eastAsia="ArialMT" w:cs="ArialMT"/>
          <w:color w:val="2E74B5" w:themeColor="accent5" w:themeShade="BF"/>
        </w:rPr>
        <w:t>onnect</w:t>
      </w:r>
      <w:r>
        <w:rPr>
          <w:rFonts w:eastAsia="ArialMT" w:cs="ArialMT"/>
          <w:color w:val="2E74B5" w:themeColor="accent5" w:themeShade="BF"/>
        </w:rPr>
        <w:t>ing</w:t>
      </w:r>
      <w:r w:rsidRPr="004777C6">
        <w:rPr>
          <w:rFonts w:eastAsia="ArialMT" w:cs="ArialMT"/>
          <w:color w:val="2E74B5" w:themeColor="accent5" w:themeShade="BF"/>
        </w:rPr>
        <w:t xml:space="preserve"> </w:t>
      </w:r>
      <w:r>
        <w:rPr>
          <w:rFonts w:eastAsia="ArialMT" w:cs="ArialMT"/>
          <w:color w:val="2E74B5" w:themeColor="accent5" w:themeShade="BF"/>
        </w:rPr>
        <w:t>the power cord to the server, and then</w:t>
      </w:r>
      <w:r w:rsidRPr="004777C6">
        <w:rPr>
          <w:rFonts w:eastAsia="ArialMT" w:cs="ArialMT"/>
          <w:color w:val="2E74B5" w:themeColor="accent5" w:themeShade="BF"/>
        </w:rPr>
        <w:t xml:space="preserve"> to the power source. </w:t>
      </w:r>
      <w:r>
        <w:rPr>
          <w:rFonts w:eastAsia="ArialMT" w:cs="ArialMT"/>
          <w:color w:val="2E74B5" w:themeColor="accent5" w:themeShade="BF"/>
        </w:rPr>
        <w:t>Then, press the Power O</w:t>
      </w:r>
      <w:r w:rsidRPr="004777C6">
        <w:rPr>
          <w:rFonts w:eastAsia="ArialMT" w:cs="ArialMT"/>
          <w:color w:val="2E74B5" w:themeColor="accent5" w:themeShade="BF"/>
        </w:rPr>
        <w:t xml:space="preserve">n/Standby button. The server exits standby mode and applies full power to the system and the system power LED changes from amber to green. While the server boots, the ORCA utility and the RBSU are automatically configured to prepare the server for operating system installation. </w:t>
      </w:r>
    </w:p>
    <w:p w14:paraId="64D4EA9B" w14:textId="77777777" w:rsidR="00536558" w:rsidRPr="004777C6" w:rsidRDefault="00536558" w:rsidP="00536558">
      <w:pPr>
        <w:autoSpaceDE w:val="0"/>
        <w:autoSpaceDN w:val="0"/>
        <w:adjustRightInd w:val="0"/>
        <w:spacing w:after="0" w:line="240" w:lineRule="auto"/>
        <w:rPr>
          <w:rFonts w:eastAsia="ArialMT" w:cs="ArialMT"/>
          <w:color w:val="2E74B5" w:themeColor="accent5" w:themeShade="BF"/>
        </w:rPr>
      </w:pPr>
    </w:p>
    <w:p w14:paraId="5739328B" w14:textId="431B86F5" w:rsidR="00536558" w:rsidRDefault="00536558" w:rsidP="00536558">
      <w:pPr>
        <w:autoSpaceDE w:val="0"/>
        <w:autoSpaceDN w:val="0"/>
        <w:adjustRightInd w:val="0"/>
        <w:spacing w:after="0" w:line="240" w:lineRule="auto"/>
        <w:rPr>
          <w:rFonts w:eastAsia="ArialMT" w:cs="ArialMT"/>
          <w:color w:val="2E74B5" w:themeColor="accent5" w:themeShade="BF"/>
        </w:rPr>
      </w:pPr>
      <w:r w:rsidRPr="004777C6">
        <w:rPr>
          <w:rFonts w:eastAsia="ArialMT" w:cs="ArialMT"/>
          <w:color w:val="2E74B5" w:themeColor="accent5" w:themeShade="BF"/>
        </w:rPr>
        <w:t xml:space="preserve">To configure these utilities manually—To configure the array controller using ORCA, </w:t>
      </w:r>
      <w:r>
        <w:rPr>
          <w:rFonts w:eastAsia="ArialMT" w:cs="ArialMT"/>
          <w:color w:val="2E74B5" w:themeColor="accent5" w:themeShade="BF"/>
        </w:rPr>
        <w:t xml:space="preserve">you </w:t>
      </w:r>
      <w:r w:rsidRPr="004777C6">
        <w:rPr>
          <w:rFonts w:eastAsia="ArialMT" w:cs="ArialMT"/>
          <w:color w:val="2E74B5" w:themeColor="accent5" w:themeShade="BF"/>
        </w:rPr>
        <w:t xml:space="preserve">press the F8 key when prompted during the array controller initialization. To change the server settings using RBSU, </w:t>
      </w:r>
      <w:r>
        <w:rPr>
          <w:rFonts w:eastAsia="ArialMT" w:cs="ArialMT"/>
          <w:color w:val="2E74B5" w:themeColor="accent5" w:themeShade="BF"/>
        </w:rPr>
        <w:t xml:space="preserve">you </w:t>
      </w:r>
      <w:r w:rsidRPr="004777C6">
        <w:rPr>
          <w:rFonts w:eastAsia="ArialMT" w:cs="ArialMT"/>
          <w:color w:val="2E74B5" w:themeColor="accent5" w:themeShade="BF"/>
        </w:rPr>
        <w:t xml:space="preserve">press the F9 key when prompted during the boot process. The system is set up by default for the English language. For more information on the automatic configuration, see the </w:t>
      </w:r>
      <w:r w:rsidRPr="004777C6">
        <w:rPr>
          <w:rFonts w:eastAsia="ArialMT" w:cs="ArialMT"/>
          <w:i/>
          <w:color w:val="2E74B5" w:themeColor="accent5" w:themeShade="BF"/>
        </w:rPr>
        <w:t>ROM-Based Setup Utility Guide</w:t>
      </w:r>
      <w:r w:rsidRPr="004777C6">
        <w:rPr>
          <w:rFonts w:eastAsia="ArialMT" w:cs="ArialMT"/>
          <w:color w:val="2E74B5" w:themeColor="accent5" w:themeShade="BF"/>
        </w:rPr>
        <w:t xml:space="preserve"> located on the Documentation CD.</w:t>
      </w:r>
    </w:p>
    <w:p w14:paraId="121545AA" w14:textId="551E4A5F" w:rsidR="00536558" w:rsidRDefault="00536558" w:rsidP="00536558">
      <w:pPr>
        <w:autoSpaceDE w:val="0"/>
        <w:autoSpaceDN w:val="0"/>
        <w:adjustRightInd w:val="0"/>
        <w:spacing w:after="0" w:line="240" w:lineRule="auto"/>
        <w:rPr>
          <w:rFonts w:eastAsia="ArialMT" w:cs="ArialMT"/>
          <w:color w:val="2E74B5" w:themeColor="accent5" w:themeShade="BF"/>
        </w:rPr>
      </w:pPr>
    </w:p>
    <w:p w14:paraId="06180086" w14:textId="3BBC2912" w:rsidR="00536558" w:rsidRDefault="00536558" w:rsidP="00536558">
      <w:pPr>
        <w:autoSpaceDE w:val="0"/>
        <w:autoSpaceDN w:val="0"/>
        <w:adjustRightInd w:val="0"/>
        <w:spacing w:after="0" w:line="240" w:lineRule="auto"/>
        <w:rPr>
          <w:rFonts w:eastAsia="ArialMT" w:cs="ArialMT"/>
          <w:b/>
          <w:bCs/>
          <w:u w:val="single"/>
        </w:rPr>
      </w:pPr>
      <w:r w:rsidRPr="005F5363">
        <w:rPr>
          <w:rFonts w:eastAsia="ArialMT" w:cs="ArialMT"/>
          <w:b/>
          <w:bCs/>
          <w:u w:val="single"/>
        </w:rPr>
        <w:t>Solution</w:t>
      </w:r>
    </w:p>
    <w:p w14:paraId="3C8075B9" w14:textId="77777777" w:rsidR="005F5363" w:rsidRPr="005F5363" w:rsidRDefault="005F5363" w:rsidP="00536558">
      <w:pPr>
        <w:autoSpaceDE w:val="0"/>
        <w:autoSpaceDN w:val="0"/>
        <w:adjustRightInd w:val="0"/>
        <w:spacing w:after="0" w:line="240" w:lineRule="auto"/>
        <w:rPr>
          <w:rFonts w:eastAsia="ArialMT" w:cs="ArialMT"/>
          <w:b/>
          <w:bCs/>
          <w:u w:val="single"/>
        </w:rPr>
      </w:pPr>
    </w:p>
    <w:p w14:paraId="1156B27E" w14:textId="77777777" w:rsidR="00536558" w:rsidRPr="00175F13" w:rsidRDefault="00536558" w:rsidP="00536558">
      <w:pPr>
        <w:pStyle w:val="Heading2"/>
      </w:pPr>
      <w:r w:rsidRPr="00175F13">
        <w:t>Powering up</w:t>
      </w:r>
      <w:r>
        <w:t xml:space="preserve"> and configuring</w:t>
      </w:r>
      <w:r w:rsidRPr="00175F13">
        <w:t xml:space="preserve"> the Server</w:t>
      </w:r>
    </w:p>
    <w:p w14:paraId="460A3416" w14:textId="77777777" w:rsidR="00536558" w:rsidRDefault="00536558" w:rsidP="00536558">
      <w:pPr>
        <w:pStyle w:val="Heading3"/>
      </w:pPr>
      <w:r w:rsidRPr="00175F13">
        <w:t>Prerequisites</w:t>
      </w:r>
    </w:p>
    <w:p w14:paraId="107CFF32" w14:textId="77777777" w:rsidR="00536558" w:rsidRPr="00175F13" w:rsidRDefault="00536558" w:rsidP="00536558">
      <w:pPr>
        <w:pStyle w:val="ListParagraph"/>
        <w:numPr>
          <w:ilvl w:val="0"/>
          <w:numId w:val="1"/>
        </w:numPr>
      </w:pPr>
      <w:r>
        <w:t>Ensure the power to the server is turned off.</w:t>
      </w:r>
    </w:p>
    <w:p w14:paraId="2656D46B" w14:textId="77777777" w:rsidR="00536558" w:rsidRDefault="00536558" w:rsidP="00536558">
      <w:r>
        <w:t>Perform the following steps to power on the server:</w:t>
      </w:r>
    </w:p>
    <w:p w14:paraId="6C1FC9A3" w14:textId="77777777" w:rsidR="00536558" w:rsidRDefault="00536558" w:rsidP="00536558">
      <w:pPr>
        <w:pStyle w:val="ListParagraph"/>
        <w:numPr>
          <w:ilvl w:val="0"/>
          <w:numId w:val="2"/>
        </w:numPr>
      </w:pPr>
      <w:r>
        <w:t>Connect the power cord to the server.</w:t>
      </w:r>
    </w:p>
    <w:p w14:paraId="1A8757F8" w14:textId="77777777" w:rsidR="00536558" w:rsidRDefault="00536558" w:rsidP="00536558">
      <w:pPr>
        <w:pStyle w:val="ListParagraph"/>
        <w:numPr>
          <w:ilvl w:val="0"/>
          <w:numId w:val="2"/>
        </w:numPr>
      </w:pPr>
      <w:r>
        <w:t xml:space="preserve">Connect to the Power source. </w:t>
      </w:r>
    </w:p>
    <w:p w14:paraId="55469258" w14:textId="77777777" w:rsidR="00536558" w:rsidRDefault="00536558" w:rsidP="00536558">
      <w:pPr>
        <w:pStyle w:val="ListParagraph"/>
        <w:numPr>
          <w:ilvl w:val="0"/>
          <w:numId w:val="2"/>
        </w:numPr>
      </w:pPr>
      <w:r>
        <w:t>Press the Power On/Standby button. The server exits the standby mode and the system power LED changes from amber to green.</w:t>
      </w:r>
    </w:p>
    <w:p w14:paraId="0F691E3A" w14:textId="77777777" w:rsidR="00536558" w:rsidRDefault="00536558" w:rsidP="00536558">
      <w:pPr>
        <w:pStyle w:val="Heading3"/>
      </w:pPr>
      <w:r>
        <w:t xml:space="preserve">Configuring the utilities manually </w:t>
      </w:r>
    </w:p>
    <w:p w14:paraId="4EB94BE5" w14:textId="77777777" w:rsidR="00536558" w:rsidRPr="004E5649" w:rsidRDefault="00536558" w:rsidP="00536558">
      <w:r>
        <w:t>Perform the following steps to configure the utilities manually:</w:t>
      </w:r>
    </w:p>
    <w:p w14:paraId="35A16C34" w14:textId="49F1D476" w:rsidR="00536558" w:rsidRDefault="00536558" w:rsidP="00536558">
      <w:pPr>
        <w:pStyle w:val="ListParagraph"/>
        <w:numPr>
          <w:ilvl w:val="0"/>
          <w:numId w:val="3"/>
        </w:numPr>
      </w:pPr>
      <w:r>
        <w:t xml:space="preserve">Press </w:t>
      </w:r>
      <w:r w:rsidR="005F5363">
        <w:t xml:space="preserve">the </w:t>
      </w:r>
      <w:r>
        <w:t>F8 key when prompted during the array controller initialization.</w:t>
      </w:r>
    </w:p>
    <w:p w14:paraId="320BFF87" w14:textId="70ED8BB3" w:rsidR="00536558" w:rsidRPr="00536558" w:rsidRDefault="00536558" w:rsidP="00536558">
      <w:pPr>
        <w:pStyle w:val="ListParagraph"/>
        <w:numPr>
          <w:ilvl w:val="0"/>
          <w:numId w:val="3"/>
        </w:numPr>
      </w:pPr>
      <w:r>
        <w:t xml:space="preserve">Press </w:t>
      </w:r>
      <w:r w:rsidR="005F5363">
        <w:t xml:space="preserve">the </w:t>
      </w:r>
      <w:r>
        <w:t>F9 key to change the server setting when prompted during the boot process. The system language is set to English by default. For more information on the automatic configuration, see the ROM Based Setup Utility Guide.</w:t>
      </w:r>
    </w:p>
    <w:p w14:paraId="4854F076" w14:textId="77777777" w:rsidR="00536558" w:rsidRDefault="00536558" w:rsidP="00536558">
      <w:pPr>
        <w:autoSpaceDE w:val="0"/>
        <w:autoSpaceDN w:val="0"/>
        <w:adjustRightInd w:val="0"/>
        <w:spacing w:after="0" w:line="240" w:lineRule="auto"/>
        <w:rPr>
          <w:rFonts w:eastAsia="ArialMT" w:cs="ArialMT"/>
          <w:color w:val="2E74B5" w:themeColor="accent5" w:themeShade="BF"/>
        </w:rPr>
      </w:pPr>
    </w:p>
    <w:p w14:paraId="72D197BB" w14:textId="1D159FCF" w:rsidR="00536558" w:rsidRDefault="00536558" w:rsidP="00536558">
      <w:pPr>
        <w:pStyle w:val="Heading1"/>
      </w:pPr>
      <w:r>
        <w:t>S</w:t>
      </w:r>
      <w:r w:rsidRPr="00FB0BB9">
        <w:t xml:space="preserve">ample </w:t>
      </w:r>
      <w:r w:rsidRPr="00FB0BB9">
        <w:rPr>
          <w:rFonts w:eastAsia="ArialMT"/>
        </w:rPr>
        <w:t>#2</w:t>
      </w:r>
      <w:r>
        <w:t xml:space="preserve"> </w:t>
      </w:r>
    </w:p>
    <w:p w14:paraId="495CBF7D" w14:textId="7B2B917E" w:rsidR="00536558" w:rsidRPr="005F5363" w:rsidRDefault="00536558" w:rsidP="00536558">
      <w:pPr>
        <w:rPr>
          <w:b/>
          <w:bCs/>
          <w:sz w:val="24"/>
          <w:szCs w:val="24"/>
          <w:u w:val="single"/>
        </w:rPr>
      </w:pPr>
      <w:r w:rsidRPr="005F5363">
        <w:rPr>
          <w:b/>
          <w:bCs/>
          <w:sz w:val="24"/>
          <w:szCs w:val="24"/>
          <w:u w:val="single"/>
        </w:rPr>
        <w:t xml:space="preserve">Rewrite the following content to create </w:t>
      </w:r>
      <w:r w:rsidRPr="005F5363">
        <w:rPr>
          <w:rFonts w:eastAsia="ArialMT"/>
          <w:b/>
          <w:bCs/>
          <w:sz w:val="24"/>
          <w:szCs w:val="24"/>
          <w:u w:val="single"/>
        </w:rPr>
        <w:t xml:space="preserve">three </w:t>
      </w:r>
      <w:r w:rsidRPr="005F5363">
        <w:rPr>
          <w:b/>
          <w:bCs/>
          <w:sz w:val="24"/>
          <w:szCs w:val="24"/>
          <w:u w:val="single"/>
        </w:rPr>
        <w:t>topics: overview, reference, and procedure:</w:t>
      </w:r>
    </w:p>
    <w:p w14:paraId="0EE51732" w14:textId="77777777" w:rsidR="00536558" w:rsidRPr="00B22784" w:rsidRDefault="00536558" w:rsidP="00536558">
      <w:pPr>
        <w:autoSpaceDE w:val="0"/>
        <w:autoSpaceDN w:val="0"/>
        <w:adjustRightInd w:val="0"/>
        <w:spacing w:after="0" w:line="240" w:lineRule="auto"/>
        <w:rPr>
          <w:rFonts w:eastAsia="ArialMT" w:cs="ArialMT"/>
          <w:b/>
          <w:color w:val="2E74B5" w:themeColor="accent5" w:themeShade="BF"/>
          <w:sz w:val="24"/>
          <w:szCs w:val="24"/>
        </w:rPr>
      </w:pPr>
      <w:r w:rsidRPr="00B22784">
        <w:rPr>
          <w:rFonts w:eastAsia="ArialMT" w:cs="ArialMT"/>
          <w:b/>
          <w:color w:val="2E74B5" w:themeColor="accent5" w:themeShade="BF"/>
          <w:sz w:val="24"/>
          <w:szCs w:val="24"/>
        </w:rPr>
        <w:t>Quantum</w:t>
      </w:r>
      <w:r>
        <w:rPr>
          <w:rFonts w:eastAsia="ArialMT" w:cs="ArialMT"/>
          <w:b/>
          <w:color w:val="2E74B5" w:themeColor="accent5" w:themeShade="BF"/>
          <w:sz w:val="24"/>
          <w:szCs w:val="24"/>
        </w:rPr>
        <w:t xml:space="preserve"> display</w:t>
      </w:r>
    </w:p>
    <w:p w14:paraId="05B786A6" w14:textId="77777777" w:rsidR="00536558" w:rsidRPr="00F55144" w:rsidRDefault="00536558" w:rsidP="00536558">
      <w:pPr>
        <w:autoSpaceDE w:val="0"/>
        <w:autoSpaceDN w:val="0"/>
        <w:adjustRightInd w:val="0"/>
        <w:spacing w:after="0" w:line="240" w:lineRule="auto"/>
        <w:rPr>
          <w:rFonts w:eastAsia="ArialMT" w:cs="ArialMT"/>
          <w:color w:val="2E74B5" w:themeColor="accent5" w:themeShade="BF"/>
        </w:rPr>
      </w:pPr>
      <w:r w:rsidRPr="00F55144">
        <w:rPr>
          <w:rFonts w:eastAsia="ArialMT" w:cs="ArialMT"/>
          <w:color w:val="2E74B5" w:themeColor="accent5" w:themeShade="BF"/>
        </w:rPr>
        <w:lastRenderedPageBreak/>
        <w:t>The Quantum</w:t>
      </w:r>
      <w:r w:rsidRPr="00F55144">
        <w:rPr>
          <w:rFonts w:eastAsia="ArialMT" w:cs="ArialMT"/>
          <w:b/>
          <w:color w:val="2E74B5" w:themeColor="accent5" w:themeShade="BF"/>
        </w:rPr>
        <w:t xml:space="preserve"> </w:t>
      </w:r>
      <w:r w:rsidRPr="00F55144">
        <w:rPr>
          <w:rFonts w:eastAsia="ArialMT" w:cs="ArialMT"/>
          <w:color w:val="2E74B5" w:themeColor="accent5" w:themeShade="BF"/>
        </w:rPr>
        <w:t>display enables the rack technician to initially configure the enclosure. It also provides information about the health and operation of the enclosure. The color of the Quantum</w:t>
      </w:r>
      <w:r w:rsidRPr="00F55144">
        <w:rPr>
          <w:rFonts w:eastAsia="ArialMT" w:cs="ArialMT"/>
          <w:b/>
          <w:color w:val="2E74B5" w:themeColor="accent5" w:themeShade="BF"/>
        </w:rPr>
        <w:t xml:space="preserve"> </w:t>
      </w:r>
      <w:r w:rsidRPr="00F55144">
        <w:rPr>
          <w:rFonts w:eastAsia="ArialMT" w:cs="ArialMT"/>
          <w:color w:val="2E74B5" w:themeColor="accent5" w:themeShade="BF"/>
        </w:rPr>
        <w:t>display varies with the condition of the enclosure health:</w:t>
      </w:r>
      <w:r>
        <w:rPr>
          <w:rFonts w:eastAsia="ArialMT" w:cs="ArialMT"/>
          <w:color w:val="2E74B5" w:themeColor="accent5" w:themeShade="BF"/>
        </w:rPr>
        <w:br/>
      </w:r>
    </w:p>
    <w:p w14:paraId="6CB54B98" w14:textId="77777777" w:rsidR="00536558" w:rsidRPr="00F619DA" w:rsidRDefault="00536558" w:rsidP="00536558">
      <w:pPr>
        <w:autoSpaceDE w:val="0"/>
        <w:autoSpaceDN w:val="0"/>
        <w:adjustRightInd w:val="0"/>
        <w:spacing w:after="0" w:line="240" w:lineRule="auto"/>
        <w:rPr>
          <w:rFonts w:eastAsia="ArialMT" w:cs="ArialMT"/>
          <w:color w:val="2E74B5" w:themeColor="accent5" w:themeShade="BF"/>
        </w:rPr>
      </w:pPr>
      <w:r w:rsidRPr="00F619DA">
        <w:rPr>
          <w:rFonts w:eastAsia="ArialMT" w:cs="ArialMT"/>
          <w:b/>
          <w:color w:val="2E74B5" w:themeColor="accent5" w:themeShade="BF"/>
        </w:rPr>
        <w:t>Blue</w:t>
      </w:r>
      <w:r w:rsidRPr="00F619DA">
        <w:rPr>
          <w:rFonts w:eastAsia="ArialMT" w:cs="ArialMT"/>
          <w:color w:val="2E74B5" w:themeColor="accent5" w:themeShade="BF"/>
        </w:rPr>
        <w:t xml:space="preserve"> – The Quantum</w:t>
      </w:r>
      <w:r w:rsidRPr="00F619DA">
        <w:rPr>
          <w:rFonts w:eastAsia="ArialMT" w:cs="ArialMT"/>
          <w:b/>
          <w:color w:val="2E74B5" w:themeColor="accent5" w:themeShade="BF"/>
        </w:rPr>
        <w:t xml:space="preserve"> </w:t>
      </w:r>
      <w:r w:rsidRPr="00F619DA">
        <w:rPr>
          <w:rFonts w:eastAsia="ArialMT" w:cs="ArialMT"/>
          <w:color w:val="2E74B5" w:themeColor="accent5" w:themeShade="BF"/>
        </w:rPr>
        <w:t>display illuminates blue when the enclosure UID is active.</w:t>
      </w:r>
    </w:p>
    <w:p w14:paraId="0221F664" w14:textId="77777777" w:rsidR="00536558" w:rsidRPr="00F619DA" w:rsidRDefault="00536558" w:rsidP="00536558">
      <w:pPr>
        <w:autoSpaceDE w:val="0"/>
        <w:autoSpaceDN w:val="0"/>
        <w:adjustRightInd w:val="0"/>
        <w:spacing w:after="0" w:line="240" w:lineRule="auto"/>
        <w:rPr>
          <w:rFonts w:eastAsia="ArialMT" w:cs="ArialMT"/>
          <w:color w:val="2E74B5" w:themeColor="accent5" w:themeShade="BF"/>
        </w:rPr>
      </w:pPr>
      <w:r w:rsidRPr="00F619DA">
        <w:rPr>
          <w:rFonts w:eastAsia="ArialMT" w:cs="ArialMT"/>
          <w:b/>
          <w:color w:val="2E74B5" w:themeColor="accent5" w:themeShade="BF"/>
        </w:rPr>
        <w:t>Green</w:t>
      </w:r>
      <w:r w:rsidRPr="00F619DA">
        <w:rPr>
          <w:rFonts w:eastAsia="ArialMT" w:cs="ArialMT"/>
          <w:color w:val="2E74B5" w:themeColor="accent5" w:themeShade="BF"/>
        </w:rPr>
        <w:t xml:space="preserve"> - The Quantum</w:t>
      </w:r>
      <w:r w:rsidRPr="00F619DA">
        <w:rPr>
          <w:rFonts w:eastAsia="ArialMT" w:cs="ArialMT"/>
          <w:b/>
          <w:color w:val="2E74B5" w:themeColor="accent5" w:themeShade="BF"/>
        </w:rPr>
        <w:t xml:space="preserve"> </w:t>
      </w:r>
      <w:r w:rsidRPr="00F619DA">
        <w:rPr>
          <w:rFonts w:eastAsia="ArialMT" w:cs="ArialMT"/>
          <w:color w:val="2E74B5" w:themeColor="accent5" w:themeShade="BF"/>
        </w:rPr>
        <w:t>display illuminates green when no error or alert conditions exist, and the enclosure is operating normally.</w:t>
      </w:r>
    </w:p>
    <w:p w14:paraId="6BF60AA8" w14:textId="77777777" w:rsidR="00536558" w:rsidRPr="00F619DA" w:rsidRDefault="00536558" w:rsidP="00536558">
      <w:pPr>
        <w:autoSpaceDE w:val="0"/>
        <w:autoSpaceDN w:val="0"/>
        <w:adjustRightInd w:val="0"/>
        <w:spacing w:after="0" w:line="240" w:lineRule="auto"/>
        <w:rPr>
          <w:rFonts w:eastAsia="ArialMT" w:cs="ArialMT"/>
          <w:color w:val="2E74B5" w:themeColor="accent5" w:themeShade="BF"/>
        </w:rPr>
      </w:pPr>
      <w:r w:rsidRPr="00F619DA">
        <w:rPr>
          <w:rFonts w:eastAsia="ArialMT" w:cs="ArialMT"/>
          <w:b/>
          <w:color w:val="2E74B5" w:themeColor="accent5" w:themeShade="BF"/>
        </w:rPr>
        <w:t>Amber</w:t>
      </w:r>
      <w:r w:rsidRPr="00F619DA">
        <w:rPr>
          <w:rFonts w:eastAsia="ArialMT" w:cs="ArialMT"/>
          <w:color w:val="2E74B5" w:themeColor="accent5" w:themeShade="BF"/>
        </w:rPr>
        <w:t xml:space="preserve"> - The Quantum</w:t>
      </w:r>
      <w:r w:rsidRPr="00F619DA">
        <w:rPr>
          <w:rFonts w:eastAsia="ArialMT" w:cs="ArialMT"/>
          <w:b/>
          <w:color w:val="2E74B5" w:themeColor="accent5" w:themeShade="BF"/>
        </w:rPr>
        <w:t xml:space="preserve"> </w:t>
      </w:r>
      <w:r w:rsidRPr="00F619DA">
        <w:rPr>
          <w:rFonts w:eastAsia="ArialMT" w:cs="ArialMT"/>
          <w:color w:val="2E74B5" w:themeColor="accent5" w:themeShade="BF"/>
        </w:rPr>
        <w:t>display illuminates amber when the Onboard Administrator detects an error or alert condition.</w:t>
      </w:r>
    </w:p>
    <w:p w14:paraId="5903AEF1" w14:textId="77777777" w:rsidR="00536558" w:rsidRPr="00F619DA" w:rsidRDefault="00536558" w:rsidP="00536558">
      <w:pPr>
        <w:autoSpaceDE w:val="0"/>
        <w:autoSpaceDN w:val="0"/>
        <w:adjustRightInd w:val="0"/>
        <w:spacing w:after="0" w:line="240" w:lineRule="auto"/>
        <w:rPr>
          <w:rFonts w:eastAsia="ArialMT" w:cs="ArialMT"/>
          <w:color w:val="2E74B5" w:themeColor="accent5" w:themeShade="BF"/>
        </w:rPr>
      </w:pPr>
      <w:r w:rsidRPr="00F619DA">
        <w:rPr>
          <w:rFonts w:eastAsia="ArialMT" w:cs="ArialMT"/>
          <w:b/>
          <w:color w:val="2E74B5" w:themeColor="accent5" w:themeShade="BF"/>
        </w:rPr>
        <w:t>Dark (no power)</w:t>
      </w:r>
      <w:r w:rsidRPr="00F619DA">
        <w:rPr>
          <w:rFonts w:eastAsia="ArialMT" w:cs="ArialMT"/>
          <w:color w:val="2E74B5" w:themeColor="accent5" w:themeShade="BF"/>
        </w:rPr>
        <w:t xml:space="preserve"> – The Quantum</w:t>
      </w:r>
      <w:r w:rsidRPr="00F619DA">
        <w:rPr>
          <w:rFonts w:eastAsia="ArialMT" w:cs="ArialMT"/>
          <w:b/>
          <w:color w:val="2E74B5" w:themeColor="accent5" w:themeShade="BF"/>
        </w:rPr>
        <w:t xml:space="preserve"> </w:t>
      </w:r>
      <w:r w:rsidRPr="00F619DA">
        <w:rPr>
          <w:rFonts w:eastAsia="ArialMT" w:cs="ArialMT"/>
          <w:color w:val="2E74B5" w:themeColor="accent5" w:themeShade="BF"/>
        </w:rPr>
        <w:t>display has a two-minute inactivity period. If no action is taken and no alert condition exists, the screen light turns off after two minutes. Pressing any button reactivates the screen.</w:t>
      </w:r>
    </w:p>
    <w:p w14:paraId="7D5B3148" w14:textId="2F56D242" w:rsidR="00536558" w:rsidRDefault="00536558" w:rsidP="00536558">
      <w:pPr>
        <w:autoSpaceDE w:val="0"/>
        <w:autoSpaceDN w:val="0"/>
        <w:adjustRightInd w:val="0"/>
        <w:spacing w:after="0" w:line="240" w:lineRule="auto"/>
        <w:rPr>
          <w:rFonts w:eastAsia="ArialMT" w:cs="ArialMT"/>
        </w:rPr>
      </w:pPr>
      <w:r w:rsidRPr="00F55144">
        <w:rPr>
          <w:rFonts w:eastAsia="ArialMT" w:cs="ArialMT"/>
          <w:color w:val="2E74B5" w:themeColor="accent5" w:themeShade="BF"/>
        </w:rPr>
        <w:br/>
        <w:t xml:space="preserve">The Enclosure Health icon is located at the bottom-left corner of every screen, indicating the condition of the enclosure health. Navigate the cursor to the Enclosure Health icon and press </w:t>
      </w:r>
      <w:r w:rsidRPr="00F55144">
        <w:rPr>
          <w:rFonts w:eastAsia="ArialMT" w:cs="ArialMT"/>
          <w:b/>
          <w:color w:val="2E74B5" w:themeColor="accent5" w:themeShade="BF"/>
        </w:rPr>
        <w:t>OK</w:t>
      </w:r>
      <w:r w:rsidRPr="00F55144">
        <w:rPr>
          <w:rFonts w:eastAsia="ArialMT" w:cs="ArialMT"/>
          <w:color w:val="2E74B5" w:themeColor="accent5" w:themeShade="BF"/>
        </w:rPr>
        <w:t xml:space="preserve"> to access the Health Summary screen from any Quantum</w:t>
      </w:r>
      <w:r w:rsidRPr="00F55144">
        <w:rPr>
          <w:rFonts w:eastAsia="ArialMT" w:cs="ArialMT"/>
          <w:b/>
          <w:color w:val="2E74B5" w:themeColor="accent5" w:themeShade="BF"/>
        </w:rPr>
        <w:t xml:space="preserve"> </w:t>
      </w:r>
      <w:r w:rsidRPr="00F55144">
        <w:rPr>
          <w:rFonts w:eastAsia="ArialMT" w:cs="ArialMT"/>
          <w:color w:val="2E74B5" w:themeColor="accent5" w:themeShade="BF"/>
        </w:rPr>
        <w:t>display screen</w:t>
      </w:r>
      <w:r>
        <w:rPr>
          <w:rFonts w:eastAsia="ArialMT" w:cs="ArialMT"/>
        </w:rPr>
        <w:t>.</w:t>
      </w:r>
    </w:p>
    <w:p w14:paraId="3749F6E4" w14:textId="2B915089" w:rsidR="00536558" w:rsidRDefault="00536558" w:rsidP="00536558">
      <w:pPr>
        <w:autoSpaceDE w:val="0"/>
        <w:autoSpaceDN w:val="0"/>
        <w:adjustRightInd w:val="0"/>
        <w:spacing w:after="0" w:line="240" w:lineRule="auto"/>
        <w:rPr>
          <w:rFonts w:eastAsia="ArialMT" w:cs="ArialMT"/>
        </w:rPr>
      </w:pPr>
    </w:p>
    <w:p w14:paraId="00CB6B18" w14:textId="24C52077" w:rsidR="00536558" w:rsidRPr="005F5363" w:rsidRDefault="00536558" w:rsidP="00536558">
      <w:pPr>
        <w:autoSpaceDE w:val="0"/>
        <w:autoSpaceDN w:val="0"/>
        <w:adjustRightInd w:val="0"/>
        <w:spacing w:after="0" w:line="240" w:lineRule="auto"/>
        <w:rPr>
          <w:rFonts w:eastAsia="ArialMT" w:cs="ArialMT"/>
          <w:b/>
          <w:bCs/>
          <w:u w:val="single"/>
        </w:rPr>
      </w:pPr>
      <w:r w:rsidRPr="005F5363">
        <w:rPr>
          <w:rFonts w:eastAsia="ArialMT" w:cs="ArialMT"/>
          <w:b/>
          <w:bCs/>
          <w:u w:val="single"/>
        </w:rPr>
        <w:t>Solution</w:t>
      </w:r>
    </w:p>
    <w:p w14:paraId="2E7EA047" w14:textId="397B4C4C" w:rsidR="00536558" w:rsidRDefault="00536558" w:rsidP="00536558">
      <w:pPr>
        <w:autoSpaceDE w:val="0"/>
        <w:autoSpaceDN w:val="0"/>
        <w:adjustRightInd w:val="0"/>
        <w:spacing w:after="0" w:line="240" w:lineRule="auto"/>
        <w:rPr>
          <w:rFonts w:eastAsia="ArialMT" w:cs="ArialMT"/>
        </w:rPr>
      </w:pPr>
    </w:p>
    <w:p w14:paraId="69469E0D" w14:textId="77777777" w:rsidR="00536558" w:rsidRDefault="00536558" w:rsidP="00536558">
      <w:pPr>
        <w:pStyle w:val="Heading2"/>
      </w:pPr>
      <w:r>
        <w:t>Overview</w:t>
      </w:r>
    </w:p>
    <w:p w14:paraId="552A3F73" w14:textId="4760D4A6" w:rsidR="00536558" w:rsidRDefault="00536558" w:rsidP="00536558">
      <w:r>
        <w:t>The Quantum Display enables the rack technician to initially configure the enclosure. It provides information about the health and operation of the enclosure.</w:t>
      </w:r>
    </w:p>
    <w:p w14:paraId="50D0F9BD" w14:textId="77777777" w:rsidR="00536558" w:rsidRDefault="00536558" w:rsidP="00536558">
      <w:pPr>
        <w:pStyle w:val="Heading2"/>
      </w:pPr>
      <w:r>
        <w:t>Reference</w:t>
      </w:r>
    </w:p>
    <w:p w14:paraId="7C09B521" w14:textId="750C794B" w:rsidR="00536558" w:rsidRDefault="00536558" w:rsidP="00536558">
      <w:r>
        <w:t xml:space="preserve">The color of the Quantum Display varies with </w:t>
      </w:r>
      <w:r w:rsidR="005F5363">
        <w:t xml:space="preserve">the </w:t>
      </w:r>
      <w:r>
        <w:t>condition of enclosure health as mentioned below:</w:t>
      </w:r>
    </w:p>
    <w:p w14:paraId="1B769B4B" w14:textId="77777777" w:rsidR="00536558" w:rsidRDefault="00536558" w:rsidP="00536558">
      <w:r w:rsidRPr="004B6391">
        <w:rPr>
          <w:b/>
        </w:rPr>
        <w:t>Blue</w:t>
      </w:r>
      <w:r>
        <w:t>: The Quantum Display Illuminates blue when the enclosure UID is active.</w:t>
      </w:r>
    </w:p>
    <w:p w14:paraId="303039BB" w14:textId="16EF3E10" w:rsidR="00536558" w:rsidRDefault="00536558" w:rsidP="00536558">
      <w:r w:rsidRPr="004B6391">
        <w:rPr>
          <w:b/>
        </w:rPr>
        <w:t>Green</w:t>
      </w:r>
      <w:r>
        <w:t xml:space="preserve">: The Quantum Display Illuminates green when no error or alert condition </w:t>
      </w:r>
      <w:r w:rsidR="005F5363">
        <w:t>exists,</w:t>
      </w:r>
      <w:r>
        <w:t xml:space="preserve"> and the enclosure is operating normally.</w:t>
      </w:r>
    </w:p>
    <w:p w14:paraId="4523783A" w14:textId="77777777" w:rsidR="00536558" w:rsidRDefault="00536558" w:rsidP="00536558">
      <w:r w:rsidRPr="004B6391">
        <w:rPr>
          <w:b/>
        </w:rPr>
        <w:t>Amber</w:t>
      </w:r>
      <w:r>
        <w:t>: The Quantum Display Illuminates amber when the Onboard Administrator detects an error or alert condition.</w:t>
      </w:r>
    </w:p>
    <w:p w14:paraId="7CC812DF" w14:textId="77777777" w:rsidR="00536558" w:rsidRDefault="00536558" w:rsidP="00536558">
      <w:r w:rsidRPr="004B6391">
        <w:rPr>
          <w:b/>
        </w:rPr>
        <w:t>Dark</w:t>
      </w:r>
      <w:r>
        <w:t>: The Quantum Display has a two minute inactivity period. The screen light turns off after two minutes if no action is taken or no alert condition exists</w:t>
      </w:r>
    </w:p>
    <w:p w14:paraId="2288F1FF" w14:textId="77777777" w:rsidR="00536558" w:rsidRDefault="00536558" w:rsidP="00536558">
      <w:pPr>
        <w:pStyle w:val="Heading2"/>
      </w:pPr>
      <w:r>
        <w:t>Procedure</w:t>
      </w:r>
    </w:p>
    <w:p w14:paraId="7AB87636" w14:textId="77777777" w:rsidR="00536558" w:rsidRDefault="00536558" w:rsidP="00536558">
      <w:pPr>
        <w:pStyle w:val="ListParagraph"/>
        <w:numPr>
          <w:ilvl w:val="0"/>
          <w:numId w:val="4"/>
        </w:numPr>
      </w:pPr>
      <w:r>
        <w:t xml:space="preserve">Navigate the cursor to the </w:t>
      </w:r>
      <w:r w:rsidRPr="004B6391">
        <w:rPr>
          <w:b/>
        </w:rPr>
        <w:t>Enclosure Health</w:t>
      </w:r>
      <w:r>
        <w:t xml:space="preserve"> icon located at the bottom left corner of every screen. The Enclosure Health icon indicates the condition of enclosure health</w:t>
      </w:r>
    </w:p>
    <w:p w14:paraId="119BE6C3" w14:textId="74630FAC" w:rsidR="00536558" w:rsidRDefault="00536558" w:rsidP="00536558">
      <w:pPr>
        <w:pStyle w:val="ListParagraph"/>
        <w:numPr>
          <w:ilvl w:val="0"/>
          <w:numId w:val="4"/>
        </w:numPr>
      </w:pPr>
      <w:r>
        <w:t xml:space="preserve">Press </w:t>
      </w:r>
      <w:r w:rsidRPr="005F5363">
        <w:rPr>
          <w:b/>
          <w:bCs/>
        </w:rPr>
        <w:t>OK</w:t>
      </w:r>
      <w:r>
        <w:t xml:space="preserve"> to access the </w:t>
      </w:r>
      <w:r w:rsidRPr="004B6391">
        <w:rPr>
          <w:b/>
        </w:rPr>
        <w:t>Health Summary</w:t>
      </w:r>
      <w:r>
        <w:t xml:space="preserve"> Screen f</w:t>
      </w:r>
      <w:r w:rsidR="005F5363">
        <w:t>ro</w:t>
      </w:r>
      <w:r>
        <w:t>m any Quantum Display screen.</w:t>
      </w:r>
      <w:r>
        <w:br/>
      </w:r>
      <w:r w:rsidRPr="004B6391">
        <w:rPr>
          <w:b/>
        </w:rPr>
        <w:t>Note</w:t>
      </w:r>
      <w:r>
        <w:t>: The screen turns off after two minutes of inactivity. Press any button to reactivate the screen.</w:t>
      </w:r>
    </w:p>
    <w:p w14:paraId="4A2ADBFF" w14:textId="77777777" w:rsidR="00536558" w:rsidRDefault="00536558" w:rsidP="00536558">
      <w:pPr>
        <w:autoSpaceDE w:val="0"/>
        <w:autoSpaceDN w:val="0"/>
        <w:adjustRightInd w:val="0"/>
        <w:spacing w:after="0" w:line="240" w:lineRule="auto"/>
        <w:rPr>
          <w:rFonts w:eastAsia="ArialMT" w:cs="ArialMT"/>
        </w:rPr>
      </w:pPr>
    </w:p>
    <w:p w14:paraId="4EF7E6F6" w14:textId="77777777" w:rsidR="00536558" w:rsidRDefault="00536558" w:rsidP="00536558">
      <w:pPr>
        <w:pStyle w:val="Heading1"/>
      </w:pPr>
      <w:r>
        <w:t>S</w:t>
      </w:r>
      <w:r w:rsidRPr="00FB0BB9">
        <w:t xml:space="preserve">ample </w:t>
      </w:r>
      <w:r w:rsidRPr="00FB0BB9">
        <w:rPr>
          <w:rFonts w:eastAsia="ArialMT"/>
        </w:rPr>
        <w:t>#</w:t>
      </w:r>
      <w:r>
        <w:rPr>
          <w:rFonts w:eastAsia="ArialMT"/>
        </w:rPr>
        <w:t>3</w:t>
      </w:r>
    </w:p>
    <w:p w14:paraId="4AD786DA" w14:textId="71BA79F9" w:rsidR="00536558" w:rsidRPr="00FB0BB9" w:rsidRDefault="00536558" w:rsidP="00536558">
      <w:pPr>
        <w:rPr>
          <w:sz w:val="24"/>
          <w:szCs w:val="24"/>
          <w:u w:val="single"/>
        </w:rPr>
      </w:pPr>
      <w:r w:rsidRPr="004E5649">
        <w:rPr>
          <w:sz w:val="24"/>
          <w:szCs w:val="24"/>
          <w:u w:val="single"/>
        </w:rPr>
        <w:t>Write some instructions about how to withdraw £20 from an Automated Teller Machine (ATM)</w:t>
      </w:r>
    </w:p>
    <w:p w14:paraId="387E47A2" w14:textId="374B3CA8" w:rsidR="00536558" w:rsidRPr="005F5363" w:rsidRDefault="00536558" w:rsidP="00536558">
      <w:pPr>
        <w:autoSpaceDE w:val="0"/>
        <w:autoSpaceDN w:val="0"/>
        <w:adjustRightInd w:val="0"/>
        <w:spacing w:after="0" w:line="240" w:lineRule="auto"/>
        <w:rPr>
          <w:rFonts w:eastAsia="ArialMT" w:cs="ArialMT"/>
          <w:b/>
          <w:u w:val="single"/>
        </w:rPr>
      </w:pPr>
      <w:r w:rsidRPr="005F5363">
        <w:rPr>
          <w:rFonts w:eastAsia="ArialMT" w:cs="ArialMT"/>
          <w:b/>
          <w:u w:val="single"/>
        </w:rPr>
        <w:lastRenderedPageBreak/>
        <w:t>Solution</w:t>
      </w:r>
    </w:p>
    <w:p w14:paraId="5F8EEB17" w14:textId="77777777" w:rsidR="00536558" w:rsidRDefault="00536558" w:rsidP="00536558">
      <w:r>
        <w:t>Perform the following steps to withdraw money from an Automated Teller Machine (ATM):</w:t>
      </w:r>
    </w:p>
    <w:p w14:paraId="08DDB803" w14:textId="77777777" w:rsidR="00536558" w:rsidRDefault="00536558" w:rsidP="00536558">
      <w:r>
        <w:t>Step 1: Insert your Debit or Credit card into the designated card slot. Make sure your card is facing the right way when you insert it.</w:t>
      </w:r>
    </w:p>
    <w:p w14:paraId="3CE8F8B9" w14:textId="77777777" w:rsidR="00536558" w:rsidRDefault="00536558" w:rsidP="00536558">
      <w:r>
        <w:t>Step 2: Select a language.</w:t>
      </w:r>
    </w:p>
    <w:p w14:paraId="509A9C6F" w14:textId="77777777" w:rsidR="00536558" w:rsidRDefault="00536558" w:rsidP="00536558">
      <w:r>
        <w:t xml:space="preserve">Step 3: Enter the </w:t>
      </w:r>
      <w:r w:rsidRPr="009F7E2D">
        <w:rPr>
          <w:b/>
          <w:bCs/>
        </w:rPr>
        <w:t>Personal Identification Number</w:t>
      </w:r>
      <w:r>
        <w:t xml:space="preserve"> (</w:t>
      </w:r>
      <w:r w:rsidRPr="009F7E2D">
        <w:rPr>
          <w:b/>
          <w:bCs/>
        </w:rPr>
        <w:t>PIN</w:t>
      </w:r>
      <w:r>
        <w:t>), a number usually containing four digits that you set up or your bank assigned to you when you opened your account.</w:t>
      </w:r>
    </w:p>
    <w:p w14:paraId="56703640" w14:textId="77777777" w:rsidR="00536558" w:rsidRDefault="00536558" w:rsidP="00536558">
      <w:r>
        <w:t xml:space="preserve">Step 4: Select </w:t>
      </w:r>
      <w:r w:rsidRPr="009F7E2D">
        <w:rPr>
          <w:b/>
          <w:bCs/>
        </w:rPr>
        <w:t>Withdraw</w:t>
      </w:r>
      <w:r>
        <w:t xml:space="preserve"> when the ATM prompts you to choose the type of transaction you would like to make.</w:t>
      </w:r>
    </w:p>
    <w:p w14:paraId="29DE0C9E" w14:textId="77777777" w:rsidR="00536558" w:rsidRDefault="00536558" w:rsidP="00536558">
      <w:r>
        <w:t>Step 5: Select the account you want to withdraw money from. For Example, if you have both the Current and Savings accounts but you want to withdraw cash from your current account, select Current. You will receive this prompt from an ATM only if you have multiple accounts.</w:t>
      </w:r>
    </w:p>
    <w:p w14:paraId="4696DB4C" w14:textId="77777777" w:rsidR="00536558" w:rsidRDefault="00536558" w:rsidP="00536558">
      <w:r>
        <w:t>Step 6: Enter the amount of £20 that you want to withdraw.</w:t>
      </w:r>
    </w:p>
    <w:p w14:paraId="2467BA8B" w14:textId="77777777" w:rsidR="00536558" w:rsidRDefault="00536558" w:rsidP="00536558">
      <w:r w:rsidRPr="009F7E2D">
        <w:rPr>
          <w:b/>
          <w:bCs/>
        </w:rPr>
        <w:t>Note</w:t>
      </w:r>
      <w:r>
        <w:t>: Ensure you are aware of daily withdrawal limits before you withdraw cash at an ATM. In case, you enter the amount exceeding the daily withdrawal limit, an error message will prompt on the ATM screen.</w:t>
      </w:r>
    </w:p>
    <w:p w14:paraId="3A6C285C" w14:textId="39F59836" w:rsidR="00536558" w:rsidRDefault="00536558" w:rsidP="00536558">
      <w:pPr>
        <w:autoSpaceDE w:val="0"/>
        <w:autoSpaceDN w:val="0"/>
        <w:adjustRightInd w:val="0"/>
        <w:spacing w:after="0" w:line="240" w:lineRule="auto"/>
        <w:rPr>
          <w:rFonts w:eastAsia="ArialMT" w:cs="ArialMT"/>
          <w:b/>
        </w:rPr>
      </w:pPr>
      <w:r>
        <w:t>Step 7: Take your cash, receipt, and card when they come out of the ATM</w:t>
      </w:r>
      <w:r>
        <w:t>.</w:t>
      </w:r>
    </w:p>
    <w:p w14:paraId="41D22BD0" w14:textId="77777777" w:rsidR="00871577" w:rsidRDefault="00871577"/>
    <w:sectPr w:rsidR="008715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007893" w14:textId="77777777" w:rsidR="00466179" w:rsidRDefault="00466179" w:rsidP="00536558">
      <w:pPr>
        <w:spacing w:after="0" w:line="240" w:lineRule="auto"/>
      </w:pPr>
      <w:r>
        <w:separator/>
      </w:r>
    </w:p>
  </w:endnote>
  <w:endnote w:type="continuationSeparator" w:id="0">
    <w:p w14:paraId="326BADB4" w14:textId="77777777" w:rsidR="00466179" w:rsidRDefault="00466179" w:rsidP="005365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3F437E" w14:textId="77777777" w:rsidR="00466179" w:rsidRDefault="00466179" w:rsidP="00536558">
      <w:pPr>
        <w:spacing w:after="0" w:line="240" w:lineRule="auto"/>
      </w:pPr>
      <w:r>
        <w:separator/>
      </w:r>
    </w:p>
  </w:footnote>
  <w:footnote w:type="continuationSeparator" w:id="0">
    <w:p w14:paraId="74FFFDA9" w14:textId="77777777" w:rsidR="00466179" w:rsidRDefault="00466179" w:rsidP="005365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5D25F1"/>
    <w:multiLevelType w:val="hybridMultilevel"/>
    <w:tmpl w:val="A50EB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F97CFF"/>
    <w:multiLevelType w:val="hybridMultilevel"/>
    <w:tmpl w:val="175A4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4A7FB0"/>
    <w:multiLevelType w:val="hybridMultilevel"/>
    <w:tmpl w:val="8CCAC4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2A525C"/>
    <w:multiLevelType w:val="hybridMultilevel"/>
    <w:tmpl w:val="A036BE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M2MLGwNLQ0NzU3NDNR0lEKTi0uzszPAykwrAUAZA+RyywAAAA="/>
  </w:docVars>
  <w:rsids>
    <w:rsidRoot w:val="00536558"/>
    <w:rsid w:val="00466179"/>
    <w:rsid w:val="00536558"/>
    <w:rsid w:val="005F5363"/>
    <w:rsid w:val="0087157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F6FC75"/>
  <w15:chartTrackingRefBased/>
  <w15:docId w15:val="{6A5C622D-A2ED-45DE-BA53-90C85E7D9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6558"/>
    <w:rPr>
      <w:lang w:bidi="ar-SA"/>
    </w:rPr>
  </w:style>
  <w:style w:type="paragraph" w:styleId="Heading1">
    <w:name w:val="heading 1"/>
    <w:basedOn w:val="Normal"/>
    <w:next w:val="Normal"/>
    <w:link w:val="Heading1Char"/>
    <w:uiPriority w:val="9"/>
    <w:qFormat/>
    <w:rsid w:val="005365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65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36558"/>
    <w:pPr>
      <w:keepNext/>
      <w:keepLines/>
      <w:spacing w:before="40" w:after="0"/>
      <w:outlineLvl w:val="2"/>
    </w:pPr>
    <w:rPr>
      <w:rFonts w:asciiTheme="majorHAnsi" w:eastAsiaTheme="majorEastAsia" w:hAnsiTheme="majorHAnsi" w:cstheme="majorBidi"/>
      <w:color w:val="2F5496"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6558"/>
    <w:rPr>
      <w:rFonts w:asciiTheme="majorHAnsi" w:eastAsiaTheme="majorEastAsia" w:hAnsiTheme="majorHAnsi" w:cstheme="majorBidi"/>
      <w:color w:val="2F5496" w:themeColor="accent1" w:themeShade="BF"/>
      <w:sz w:val="32"/>
      <w:szCs w:val="32"/>
      <w:lang w:bidi="ar-SA"/>
    </w:rPr>
  </w:style>
  <w:style w:type="character" w:customStyle="1" w:styleId="Heading2Char">
    <w:name w:val="Heading 2 Char"/>
    <w:basedOn w:val="DefaultParagraphFont"/>
    <w:link w:val="Heading2"/>
    <w:uiPriority w:val="9"/>
    <w:rsid w:val="00536558"/>
    <w:rPr>
      <w:rFonts w:asciiTheme="majorHAnsi" w:eastAsiaTheme="majorEastAsia" w:hAnsiTheme="majorHAnsi" w:cstheme="majorBidi"/>
      <w:color w:val="2F5496" w:themeColor="accent1" w:themeShade="BF"/>
      <w:sz w:val="26"/>
      <w:szCs w:val="26"/>
      <w:lang w:bidi="ar-SA"/>
    </w:rPr>
  </w:style>
  <w:style w:type="paragraph" w:styleId="ListParagraph">
    <w:name w:val="List Paragraph"/>
    <w:basedOn w:val="Normal"/>
    <w:uiPriority w:val="34"/>
    <w:qFormat/>
    <w:rsid w:val="00536558"/>
    <w:pPr>
      <w:ind w:left="720"/>
      <w:contextualSpacing/>
    </w:pPr>
  </w:style>
  <w:style w:type="character" w:customStyle="1" w:styleId="Heading3Char">
    <w:name w:val="Heading 3 Char"/>
    <w:basedOn w:val="DefaultParagraphFont"/>
    <w:link w:val="Heading3"/>
    <w:uiPriority w:val="9"/>
    <w:rsid w:val="00536558"/>
    <w:rPr>
      <w:rFonts w:asciiTheme="majorHAnsi" w:eastAsiaTheme="majorEastAsia" w:hAnsiTheme="majorHAnsi" w:cstheme="majorBidi"/>
      <w:color w:val="2F5496" w:themeColor="accent1" w:themeShade="BF"/>
      <w:sz w:val="24"/>
      <w:szCs w:val="24"/>
      <w:lang w:bidi="ar-SA"/>
    </w:rPr>
  </w:style>
  <w:style w:type="paragraph" w:styleId="Title">
    <w:name w:val="Title"/>
    <w:basedOn w:val="Normal"/>
    <w:next w:val="Normal"/>
    <w:link w:val="TitleChar"/>
    <w:uiPriority w:val="10"/>
    <w:qFormat/>
    <w:rsid w:val="00536558"/>
    <w:pPr>
      <w:spacing w:after="0" w:line="240" w:lineRule="auto"/>
      <w:contextualSpacing/>
      <w:jc w:val="center"/>
    </w:pPr>
    <w:rPr>
      <w:rFonts w:asciiTheme="majorHAnsi" w:eastAsiaTheme="majorEastAsia" w:hAnsiTheme="majorHAnsi" w:cstheme="majorBidi"/>
      <w:b/>
      <w:spacing w:val="-10"/>
      <w:kern w:val="28"/>
      <w:sz w:val="56"/>
      <w:szCs w:val="56"/>
      <w:u w:val="single"/>
    </w:rPr>
  </w:style>
  <w:style w:type="character" w:customStyle="1" w:styleId="TitleChar">
    <w:name w:val="Title Char"/>
    <w:basedOn w:val="DefaultParagraphFont"/>
    <w:link w:val="Title"/>
    <w:uiPriority w:val="10"/>
    <w:rsid w:val="00536558"/>
    <w:rPr>
      <w:rFonts w:asciiTheme="majorHAnsi" w:eastAsiaTheme="majorEastAsia" w:hAnsiTheme="majorHAnsi" w:cstheme="majorBidi"/>
      <w:b/>
      <w:spacing w:val="-10"/>
      <w:kern w:val="28"/>
      <w:sz w:val="56"/>
      <w:szCs w:val="56"/>
      <w:u w:val="single"/>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794</Words>
  <Characters>4528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Gaurav (172835)</dc:creator>
  <cp:keywords/>
  <dc:description/>
  <cp:lastModifiedBy>Kumar Gaurav (172835)</cp:lastModifiedBy>
  <cp:revision>2</cp:revision>
  <dcterms:created xsi:type="dcterms:W3CDTF">2021-09-16T22:28:00Z</dcterms:created>
  <dcterms:modified xsi:type="dcterms:W3CDTF">2021-09-16T22:44:00Z</dcterms:modified>
</cp:coreProperties>
</file>