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CD250A">
      <w:pPr>
        <w:spacing w:before="600" w:after="120"/>
        <w:jc w:val="center"/>
      </w:pPr>
      <w:r>
        <w:rPr>
          <w:b/>
          <w:bCs/>
          <w:color w:val="1F3864"/>
          <w:sz w:val="40"/>
          <w:szCs w:val="40"/>
        </w:rPr>
        <w:t>FINANCIAL CREDIT RISK ANALYSIS</w:t>
      </w:r>
    </w:p>
    <w:p w14:paraId="741AD1A7">
      <w:pPr>
        <w:spacing w:after="60"/>
        <w:jc w:val="center"/>
      </w:pPr>
      <w:r>
        <w:rPr>
          <w:b/>
          <w:bCs/>
          <w:color w:val="2E75B6"/>
          <w:sz w:val="24"/>
          <w:szCs w:val="24"/>
        </w:rPr>
        <w:t>Power BI Dashboard — Project Documentation</w:t>
      </w:r>
    </w:p>
    <w:p w14:paraId="7D646110">
      <w:pPr>
        <w:pStyle w:val="2"/>
        <w:pBdr>
          <w:bottom w:val="single" w:color="2E75B6" w:sz="8" w:space="4"/>
        </w:pBdr>
        <w:spacing w:before="360" w:after="160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1. Project Title</w:t>
      </w:r>
    </w:p>
    <w:p w14:paraId="75765B70">
      <w:pPr>
        <w:spacing w:after="140" w:line="300" w:lineRule="auto"/>
      </w:pPr>
      <w:r>
        <w:rPr>
          <w:color w:val="222222"/>
          <w:sz w:val="21"/>
          <w:szCs w:val="21"/>
        </w:rPr>
        <w:t>Financial Credit Risk Analysis — Customer Credit Scoring Dashboard (Policybazaar Dataset)</w:t>
      </w:r>
    </w:p>
    <w:p w14:paraId="559612E4">
      <w:pPr>
        <w:pStyle w:val="2"/>
        <w:pBdr>
          <w:bottom w:val="single" w:color="2E75B6" w:sz="8" w:space="4"/>
        </w:pBdr>
        <w:spacing w:before="360" w:after="160"/>
        <w:rPr>
          <w:b/>
          <w:bCs/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2. Dataset Name and Description</w:t>
      </w:r>
    </w:p>
    <w:p w14:paraId="60CEF564">
      <w:pPr>
        <w:spacing w:after="140" w:line="300" w:lineRule="auto"/>
      </w:pPr>
      <w:r>
        <w:rPr>
          <w:color w:val="222222"/>
          <w:sz w:val="21"/>
          <w:szCs w:val="21"/>
        </w:rPr>
        <w:t>Dataset name: Policybazaar Credit Scoring Dataset.</w:t>
      </w:r>
    </w:p>
    <w:p w14:paraId="577FAE80">
      <w:pPr>
        <w:spacing w:after="140" w:line="300" w:lineRule="auto"/>
      </w:pPr>
      <w:r>
        <w:rPr>
          <w:color w:val="222222"/>
          <w:sz w:val="21"/>
          <w:szCs w:val="21"/>
        </w:rPr>
        <w:t>The dataset contains monthly financial and demographic records for approximately 12,500 unique customers (roughly 100,000 rows across multiple months), sourced to model consumer credit risk. Each record captures a customer's income, banking behaviour, loan exposure, repayment history and an assigned Credit_Score category, making it well suited to a risk-monitoring dashboard.</w:t>
      </w:r>
    </w:p>
    <w:p w14:paraId="0865E2F6">
      <w:pPr>
        <w:spacing w:before="160" w:after="80"/>
      </w:pPr>
      <w:r>
        <w:rPr>
          <w:b/>
          <w:bCs/>
          <w:color w:val="1F3864"/>
          <w:sz w:val="22"/>
          <w:szCs w:val="22"/>
        </w:rPr>
        <w:t>Key fields used in the dashboard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860"/>
      </w:tblGrid>
      <w:tr w14:paraId="343E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AAD3F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2CCDD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Description</w:t>
            </w:r>
          </w:p>
        </w:tc>
      </w:tr>
      <w:tr w14:paraId="0F631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C1C6F3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Customer_ID / Month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D5A88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Unique customer identifier and the reporting month for each record</w:t>
            </w:r>
          </w:p>
        </w:tc>
      </w:tr>
      <w:tr w14:paraId="52C9F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715AC7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Occupation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300639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Customer's profession (e.g. Accountant, Architect, Engineer, Scientist)</w:t>
            </w:r>
          </w:p>
        </w:tc>
      </w:tr>
      <w:tr w14:paraId="25555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0E34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Annual_Income / Monthly_Inhand_Salary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288972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Customer's declared income figures</w:t>
            </w:r>
          </w:p>
        </w:tc>
      </w:tr>
      <w:tr w14:paraId="5A6AE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CB739C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Credit_Mix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7573D3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Categorisation of the customer's mix of credit products (Good / Standard / Bad)</w:t>
            </w:r>
          </w:p>
        </w:tc>
      </w:tr>
      <w:tr w14:paraId="771BD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0364F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Type_of_Loan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C503A9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One or more loan products held by the customer (Auto, Payday, Mortgage, Student, Home Equity, Credit-Builder, etc.)</w:t>
            </w:r>
          </w:p>
        </w:tc>
      </w:tr>
      <w:tr w14:paraId="2BED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1A690E2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Outstanding_Debt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412803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Total outstanding debt balance</w:t>
            </w:r>
          </w:p>
        </w:tc>
      </w:tr>
      <w:tr w14:paraId="20723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04880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Credit_Utilization_Ratio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2110F5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Percentage of available credit currently in use</w:t>
            </w:r>
          </w:p>
        </w:tc>
      </w:tr>
      <w:tr w14:paraId="25BBA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073D45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Payment_Behaviour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1FDA4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Spending and payment-value segment (e.g. Low_spent_Small_value, High_spent_Large_value)</w:t>
            </w:r>
          </w:p>
        </w:tc>
      </w:tr>
      <w:tr w14:paraId="255B3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BA5A0E1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Total_EMI_per_month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9364A7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Total monthly EMI obligation across loans</w:t>
            </w:r>
          </w:p>
        </w:tc>
      </w:tr>
      <w:tr w14:paraId="51FB3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5A0EAC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Monthly_Balance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07C5A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Average monthly account balance</w:t>
            </w:r>
          </w:p>
        </w:tc>
      </w:tr>
      <w:tr w14:paraId="54510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5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F8066F"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Credit_Score</w:t>
            </w:r>
          </w:p>
        </w:tc>
        <w:tc>
          <w:tcPr>
            <w:tcW w:w="486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5E3B3B">
            <w:pPr>
              <w:rPr>
                <w:b/>
                <w:bCs/>
                <w:color w:val="auto"/>
              </w:rPr>
            </w:pPr>
            <w:r>
              <w:rPr>
                <w:b/>
                <w:bCs/>
                <w:color w:val="auto"/>
                <w:sz w:val="20"/>
                <w:szCs w:val="20"/>
              </w:rPr>
              <w:t>Target field — Good, Standard, or Poor credit rating</w:t>
            </w:r>
          </w:p>
        </w:tc>
      </w:tr>
    </w:tbl>
    <w:p w14:paraId="2D7BE29E">
      <w:pPr>
        <w:spacing w:after="200"/>
      </w:pPr>
    </w:p>
    <w:p w14:paraId="70A6380A">
      <w:pPr>
        <w:pStyle w:val="2"/>
        <w:pBdr>
          <w:bottom w:val="single" w:color="2E75B6" w:sz="8" w:space="4"/>
        </w:pBdr>
        <w:spacing w:before="360" w:after="160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3. Dashboard Objective</w:t>
      </w:r>
    </w:p>
    <w:p w14:paraId="7D052156">
      <w:pPr>
        <w:spacing w:after="140" w:line="300" w:lineRule="auto"/>
      </w:pPr>
      <w:r>
        <w:rPr>
          <w:color w:val="222222"/>
          <w:sz w:val="21"/>
          <w:szCs w:val="21"/>
        </w:rPr>
        <w:t>The dashboard was built to help a lending or insurance business understand who its riskiest customers are and why, so that credit and collections decisions can be made faster and with more confidence. Specifically it aims to:</w:t>
      </w:r>
    </w:p>
    <w:p w14:paraId="19569DCF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Give a single-glance view of the customer base split by credit score (Good / Standard / Poor).</w:t>
      </w:r>
    </w:p>
    <w:p w14:paraId="35278A98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Identify which occupations, income bands, and loan types are associated with higher risk.</w:t>
      </w:r>
    </w:p>
    <w:p w14:paraId="776D15E4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Track how average balances and outstanding debt move over the months.</w:t>
      </w:r>
    </w:p>
    <w:p w14:paraId="57FBA8E5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Allow analysts to filter and drill down into payment behaviour, credit mix, and debt patterns for any customer segment.</w:t>
      </w:r>
    </w:p>
    <w:p w14:paraId="5033CBEE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Translate the patterns found into concrete, actionable business recommendations.</w:t>
      </w:r>
    </w:p>
    <w:p w14:paraId="60727624">
      <w:r>
        <w:br w:type="page"/>
      </w:r>
    </w:p>
    <w:p w14:paraId="4692E494">
      <w:pPr>
        <w:pStyle w:val="2"/>
        <w:pBdr>
          <w:bottom w:val="single" w:color="2E75B6" w:sz="8" w:space="4"/>
        </w:pBdr>
        <w:spacing w:before="360" w:after="160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4. Dashboard Screenshots</w:t>
      </w:r>
    </w:p>
    <w:p w14:paraId="594E05A9">
      <w:pPr>
        <w:pStyle w:val="3"/>
        <w:spacing w:before="260" w:after="120"/>
      </w:pPr>
      <w:r>
        <w:rPr>
          <w:b/>
          <w:bCs/>
          <w:color w:val="2E75B6"/>
          <w:sz w:val="24"/>
          <w:szCs w:val="24"/>
        </w:rPr>
        <w:t xml:space="preserve">4.1 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SCREENSHOT 1</w:t>
      </w:r>
      <w:r>
        <w:rPr>
          <w:b/>
          <w:bCs/>
          <w:color w:val="2E75B6"/>
          <w:sz w:val="24"/>
          <w:szCs w:val="24"/>
        </w:rPr>
        <w:t xml:space="preserve"> — Financial Credit Risk Analysis (Overview)</w:t>
      </w:r>
    </w:p>
    <w:p w14:paraId="1EA7C609">
      <w:pPr>
        <w:spacing w:before="120" w:after="80"/>
        <w:jc w:val="center"/>
      </w:pPr>
      <w:r>
        <w:drawing>
          <wp:inline distT="0" distB="0" distL="0" distR="0">
            <wp:extent cx="5943600" cy="3351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3DF1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>Figure 1: Overview page — KPI cards, credit utilization, loan portfolio, top occupations, and credit score split.</w:t>
      </w:r>
    </w:p>
    <w:p w14:paraId="64E14490">
      <w:pPr>
        <w:spacing w:before="160" w:after="80"/>
      </w:pPr>
      <w:r>
        <w:rPr>
          <w:b/>
          <w:bCs/>
          <w:color w:val="1F3864"/>
          <w:sz w:val="22"/>
          <w:szCs w:val="22"/>
        </w:rPr>
        <w:t>Visuals on this page</w:t>
      </w:r>
    </w:p>
    <w:p w14:paraId="2971A9AE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KPI cards (top right): Total Customers (12.5K), Poor Customers (5K), Good Customers (4K), Average Annual Income ($50.51K), Average Credit Utilization (32.29%), Average Outstanding Debt ($1.43K), and Average EMI per Month ($107.70). These give an at-a-glance summary of the whole portfolio before any filtering.</w:t>
      </w:r>
    </w:p>
    <w:p w14:paraId="0EA2D457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Average Credit Utilization by Credit Score (bar chart): compares utilization across the three score bands — Good, Standard, Poor. Utilization is fairly close across all three (32–33%), showing that utilization alone does not strongly separate the segments.</w:t>
      </w:r>
    </w:p>
    <w:p w14:paraId="0012BE09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Loan Portfolio by Loan Type (tree/icon chart): shows the relative share of each loan product held by customers, including a large "No Data"/"Not Specified" segment, alongside product types such as Payday Loan, Student Loan, Mortgage, Auto Loan and Home Equity Loan.</w:t>
      </w:r>
    </w:p>
    <w:p w14:paraId="7057525E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Top 5 Occupations by Average Annual Income (bar chart): ranks Architect, Manager, Musician, Scientist and Writer as the highest average-income occupations in the dataset.</w:t>
      </w:r>
    </w:p>
    <w:p w14:paraId="624699AC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Total Customers by Credit_Score (donut chart): breaks the full customer base into Good (4K, 17.75%), Standard (11K, 56%) and Poor (5K, 26.25%), showing that only around 1 in 6 customers currently hold a Good score.</w:t>
      </w:r>
    </w:p>
    <w:p w14:paraId="15D1EE48">
      <w:pPr>
        <w:pStyle w:val="16"/>
        <w:numPr>
          <w:numId w:val="0"/>
        </w:numPr>
        <w:spacing w:after="80" w:line="290" w:lineRule="auto"/>
        <w:ind w:left="200" w:leftChars="0"/>
      </w:pPr>
    </w:p>
    <w:p w14:paraId="28397D76">
      <w:pPr>
        <w:pStyle w:val="3"/>
        <w:spacing w:before="260" w:after="120"/>
      </w:pPr>
      <w:r>
        <w:rPr>
          <w:b/>
          <w:bCs/>
          <w:color w:val="2E75B6"/>
          <w:sz w:val="24"/>
          <w:szCs w:val="24"/>
        </w:rPr>
        <w:t xml:space="preserve">4.2 </w:t>
      </w:r>
      <w:r>
        <w:rPr>
          <w:rFonts w:hint="default"/>
          <w:b/>
          <w:bCs/>
          <w:color w:val="2E75B6"/>
          <w:sz w:val="24"/>
          <w:szCs w:val="24"/>
          <w:lang w:val="en-US"/>
        </w:rPr>
        <w:t>SCREENSHOT 2</w:t>
      </w:r>
      <w:r>
        <w:rPr>
          <w:b/>
          <w:bCs/>
          <w:color w:val="2E75B6"/>
          <w:sz w:val="24"/>
          <w:szCs w:val="24"/>
        </w:rPr>
        <w:t xml:space="preserve"> — Payment Behaviour &amp; Debt Drill-Down</w:t>
      </w:r>
    </w:p>
    <w:p w14:paraId="6326EFBB">
      <w:pPr>
        <w:spacing w:before="120" w:after="80"/>
        <w:jc w:val="center"/>
      </w:pPr>
      <w:r>
        <w:drawing>
          <wp:inline distT="0" distB="0" distL="0" distR="0">
            <wp:extent cx="5943600" cy="32791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2696F">
      <w:pPr>
        <w:spacing w:after="300"/>
        <w:jc w:val="center"/>
      </w:pPr>
      <w:r>
        <w:rPr>
          <w:i/>
          <w:iCs/>
          <w:color w:val="595959"/>
          <w:sz w:val="19"/>
          <w:szCs w:val="19"/>
        </w:rPr>
        <w:t>Figure 2: Drill-down page — payment behaviour, average debt by occupation, monthly trend, income vs debt, and key insights.</w:t>
      </w:r>
    </w:p>
    <w:p w14:paraId="50C5DB3F">
      <w:pPr>
        <w:spacing w:before="160" w:after="80"/>
      </w:pPr>
      <w:r>
        <w:rPr>
          <w:b/>
          <w:bCs/>
          <w:color w:val="1F3864"/>
          <w:sz w:val="22"/>
          <w:szCs w:val="22"/>
        </w:rPr>
        <w:t>Visuals on this page</w:t>
      </w:r>
    </w:p>
    <w:p w14:paraId="2EFEF8C7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Payment Behaviour Analysis (100% stacked bar): breaks each spend/value segment (e.g. Low_spent_Small_value, High_spent_Large_value) into the share of Good, Poor and Standard customers, revealing which spending patterns skew toward poor credit.</w:t>
      </w:r>
    </w:p>
    <w:p w14:paraId="03EA7AAD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Average Debt table by Occupation: lists average outstanding debt separately for Bad, Good and Standard credit-mix customers per occupation, with conditional (red-to-green) formatting so occupations and mixes with the highest debt stand out immediately.</w:t>
      </w:r>
    </w:p>
    <w:p w14:paraId="7356DFDA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Monthly Financial Trend (combo line chart): tracks the average monthly balance across months against a flat reference line for average outstanding debt, showing balances dip mid-year and recover toward month 8.</w:t>
      </w:r>
    </w:p>
    <w:p w14:paraId="6FB92C33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Income vs Outstanding Debt (scatter plot): plots each customer's annual income against outstanding debt, coloured by credit score, to visualise where Poor, Standard and Good customers cluster relative to income and debt levels.</w:t>
      </w:r>
    </w:p>
    <w:p w14:paraId="08F4B296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Insights panel: a curated text box summarising the headline findings drawn from the visuals on this page (see Section 5 below).</w:t>
      </w:r>
    </w:p>
    <w:p w14:paraId="171CD6D5">
      <w:pPr>
        <w:spacing w:before="160" w:after="80"/>
      </w:pPr>
      <w:r>
        <w:rPr>
          <w:b/>
          <w:bCs/>
          <w:color w:val="1F3864"/>
          <w:sz w:val="22"/>
          <w:szCs w:val="22"/>
        </w:rPr>
        <w:t>Filters, buttons and interactions</w:t>
      </w:r>
    </w:p>
    <w:p w14:paraId="7249D044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Slicers (left rail on Page 1): Month, Credit_Mix, Occupation, Payment_Behaviour, Outstanding_Debt, Credit_Score, Type_of_Loan, Payment_of_Min_Amount and Age. Selecting any value cross-filters every visual on the page, so an analyst can isolate, for example, only "Poor" credit-mix customers in a given occupation.</w:t>
      </w:r>
    </w:p>
    <w:p w14:paraId="007EE672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Cross-highlighting: clicking a bar or donut slice (e.g. the Poor segment of the credit-score donut) highlights the matching customers across the other visuals on the same page.</w:t>
      </w:r>
    </w:p>
    <w:p w14:paraId="52959AFB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Page navigation button ("Page 2", bottom-left of Page 1): takes the user from the KPI overview page through to the payment-behaviour and debt drill-down page, so the two pages work as a linked overview-to-detail flow rather than standalone reports.</w:t>
      </w:r>
    </w:p>
    <w:p w14:paraId="7E983C13">
      <w:pPr>
        <w:pStyle w:val="16"/>
        <w:numPr>
          <w:ilvl w:val="0"/>
          <w:numId w:val="1"/>
        </w:numPr>
        <w:spacing w:after="80" w:line="290" w:lineRule="auto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color w:val="222222"/>
          <w:sz w:val="21"/>
          <w:szCs w:val="21"/>
        </w:rPr>
        <w:t xml:space="preserve">Tooltips: hovering over any bar, donut segment, table cell or scatter point surfaces the exact underlying </w:t>
      </w:r>
      <w:r>
        <w:rPr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value (count, percentage, or dollar figure) behind that element.</w:t>
      </w:r>
    </w:p>
    <w:p w14:paraId="0ADC8F8A">
      <w:pPr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5. Key Insights and Explanations</w:t>
      </w:r>
    </w:p>
    <w:p w14:paraId="27C04D9F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Only 17.8% of customers have a Good credit score, while 53.2% are Standard and 29.0% are Poor — meaning the majority of the portfolio sits in the two riskier bands, which should concern underwriting and collections teams.</w:t>
      </w:r>
    </w:p>
    <w:p w14:paraId="40CD8D2B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Poor-credit customers carry roughly $2,081 in average outstanding debt, more than double the ~$801 held by Good-credit customers — outstanding debt is one of the clearest separators between the segments.</w:t>
      </w:r>
    </w:p>
    <w:p w14:paraId="096A713A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Credit Mix is the strongest predictor of risk in the data: 60.1% of customers with a "Bad" credit mix end up with a Poor credit score, far higher than any other single factor examined.</w:t>
      </w:r>
    </w:p>
    <w:p w14:paraId="7BB3A456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Customers who combine high income with low debt rarely score Poor — only 11.2% do — confirming that income alone does not protect a customer from risk unless debt is also kept low.</w:t>
      </w:r>
    </w:p>
    <w:p w14:paraId="114BD614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Payday Loans and Credit-Builder Loans are the most common loan types in the portfolio, each held by 40,000+ customers, both of which are products typically associated with higher-risk borrowers.</w:t>
      </w:r>
    </w:p>
    <w:p w14:paraId="3786C978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Average credit utilization is nearly identical across Good, Standard and Poor customers (32–33%), so utilization alone is a weak differentiator compared to credit mix and outstanding debt.</w:t>
      </w:r>
    </w:p>
    <w:p w14:paraId="448F170B">
      <w:pPr>
        <w:pStyle w:val="16"/>
        <w:numPr>
          <w:ilvl w:val="0"/>
          <w:numId w:val="1"/>
        </w:numPr>
        <w:spacing w:after="80" w:line="290" w:lineRule="auto"/>
      </w:pPr>
      <w:r>
        <w:rPr>
          <w:color w:val="222222"/>
          <w:sz w:val="21"/>
          <w:szCs w:val="21"/>
        </w:rPr>
        <w:t>Average monthly balances dip around the middle of the year before recovering, while average outstanding debt stays flat — a signal worth monitoring for seasonal cash-flow stress.</w:t>
      </w:r>
    </w:p>
    <w:p w14:paraId="7682AB02">
      <w:pPr>
        <w:pStyle w:val="2"/>
        <w:pBdr>
          <w:bottom w:val="single" w:color="2E75B6" w:sz="8" w:space="4"/>
        </w:pBdr>
        <w:spacing w:before="360" w:after="160"/>
        <w:rPr>
          <w:color w:val="F79646" w:themeColor="accent6"/>
          <w14:textFill>
            <w14:solidFill>
              <w14:schemeClr w14:val="accent6"/>
            </w14:solidFill>
          </w14:textFill>
        </w:rPr>
      </w:pPr>
      <w:r>
        <w:rPr>
          <w:b/>
          <w:bCs/>
          <w:color w:val="F79646" w:themeColor="accent6"/>
          <w:sz w:val="30"/>
          <w:szCs w:val="30"/>
          <w14:textFill>
            <w14:solidFill>
              <w14:schemeClr w14:val="accent6"/>
            </w14:solidFill>
          </w14:textFill>
        </w:rPr>
        <w:t>6. Business Impact Summary</w:t>
      </w:r>
    </w:p>
    <w:p w14:paraId="77617686">
      <w:pPr>
        <w:spacing w:after="140" w:line="30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Taken together, the dashboard turns a large, granular transaction-level dataset into a small number of decisions a credit or risk team can act on immediately:</w:t>
      </w:r>
    </w:p>
    <w:p w14:paraId="2B0B8C1E">
      <w:pPr>
        <w:pStyle w:val="16"/>
        <w:numPr>
          <w:ilvl w:val="0"/>
          <w:numId w:val="1"/>
        </w:numPr>
        <w:spacing w:after="80" w:line="29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Prioritise credit-mix cleanup: because a Bad credit mix is the single biggest driver of a Poor score, campaigns encouraging customers to diversify or restructure their credit mix (rather than simply increasing income) are likely to have the largest impact on reducing future defaults.</w:t>
      </w:r>
    </w:p>
    <w:p w14:paraId="1FBFB5BC">
      <w:pPr>
        <w:pStyle w:val="16"/>
        <w:numPr>
          <w:ilvl w:val="0"/>
          <w:numId w:val="1"/>
        </w:numPr>
        <w:spacing w:after="80" w:line="29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Target high-debt occupations and loan types: the occupation-level debt table and the Payday/Credit-Builder loan concentration point to specific customer groups worth prioritising for proactive outreach, restructuring offers, or tighter underwriting criteria.</w:t>
      </w:r>
    </w:p>
    <w:p w14:paraId="245EA378">
      <w:pPr>
        <w:pStyle w:val="16"/>
        <w:numPr>
          <w:ilvl w:val="0"/>
          <w:numId w:val="1"/>
        </w:numPr>
        <w:spacing w:after="80" w:line="29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Refine underwriting beyond income: since high income alone does not guarantee a Good score, income-based approval rules should be paired with debt and credit-mix thresholds to avoid under-pricing risk.</w:t>
      </w:r>
    </w:p>
    <w:p w14:paraId="68699EA1">
      <w:pPr>
        <w:pStyle w:val="16"/>
        <w:numPr>
          <w:ilvl w:val="0"/>
          <w:numId w:val="1"/>
        </w:numPr>
        <w:spacing w:after="80" w:line="29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Monitor seasonal balance dips: the mid-year dip in average monthly balance suggests a window where customers may be more likely to miss payments, useful for timing collections or hardship communications.</w:t>
      </w:r>
    </w:p>
    <w:p w14:paraId="79BB2F16">
      <w:pPr>
        <w:pStyle w:val="16"/>
        <w:numPr>
          <w:ilvl w:val="0"/>
          <w:numId w:val="1"/>
        </w:numPr>
        <w:spacing w:after="80" w:line="290" w:lineRule="auto"/>
        <w:rPr>
          <w:sz w:val="21"/>
          <w:szCs w:val="21"/>
        </w:rPr>
      </w:pPr>
      <w:r>
        <w:rPr>
          <w:color w:val="222222"/>
          <w:sz w:val="21"/>
          <w:szCs w:val="21"/>
        </w:rPr>
        <w:t>Reallocate portfolio strategy: with over 80% of customers in Standard or Poor bands, the business can use this view to set realistic risk-adjusted targets and track whether interventions are shifting customers toward Good over time.</w:t>
      </w:r>
    </w:p>
    <w:p w14:paraId="2D247BC7">
      <w:pPr>
        <w:spacing w:after="140" w:line="300" w:lineRule="auto"/>
        <w:rPr>
          <w:sz w:val="21"/>
          <w:szCs w:val="21"/>
        </w:rPr>
      </w:pPr>
    </w:p>
    <w:p w14:paraId="29163BA4">
      <w:pPr>
        <w:spacing w:after="140" w:line="300" w:lineRule="auto"/>
        <w:rPr>
          <w:rFonts w:hint="default"/>
          <w:b/>
          <w:bCs/>
          <w:i/>
          <w:iCs/>
          <w:color w:val="595959"/>
          <w:sz w:val="21"/>
          <w:szCs w:val="21"/>
          <w:lang w:val="en-US"/>
        </w:rPr>
      </w:pPr>
      <w:r>
        <w:rPr>
          <w:b/>
          <w:bCs/>
          <w:i/>
          <w:iCs/>
          <w:color w:val="595959"/>
          <w:sz w:val="21"/>
          <w:szCs w:val="21"/>
        </w:rPr>
        <w:t>Overall, the dashboard supports faster, evidence-based decisions on loan approvals, pricing, and collections prioritisation, replacing manual, ad-hoc review of raw customer data with a single interactive view refreshed each month.</w:t>
      </w:r>
      <w:r>
        <w:rPr>
          <w:rFonts w:hint="default"/>
          <w:b/>
          <w:bCs/>
          <w:i/>
          <w:iCs/>
          <w:color w:val="595959"/>
          <w:sz w:val="21"/>
          <w:szCs w:val="21"/>
          <w:lang w:val="en-US"/>
        </w:rPr>
        <w:t xml:space="preserve"> </w:t>
      </w:r>
    </w:p>
    <w:p w14:paraId="0E3A4A43">
      <w:pPr>
        <w:spacing w:after="140" w:line="300" w:lineRule="auto"/>
        <w:rPr>
          <w:rFonts w:hint="default"/>
          <w:i/>
          <w:iCs/>
          <w:color w:val="595959"/>
          <w:sz w:val="21"/>
          <w:szCs w:val="21"/>
          <w:lang w:val="en-US"/>
        </w:rPr>
      </w:pPr>
      <w:r>
        <w:rPr>
          <w:rFonts w:hint="default"/>
          <w:i/>
          <w:iCs/>
          <w:color w:val="595959"/>
          <w:sz w:val="21"/>
          <w:szCs w:val="21"/>
          <w:lang w:val="en-US"/>
        </w:rPr>
        <w:t xml:space="preserve">  PPROJECT                                                    </w:t>
      </w:r>
    </w:p>
    <w:p w14:paraId="39DC2FEA">
      <w:pPr>
        <w:spacing w:after="140" w:line="300" w:lineRule="auto"/>
        <w:ind w:firstLine="105" w:firstLineChars="50"/>
        <w:rPr>
          <w:rFonts w:hint="default"/>
          <w:i/>
          <w:iCs/>
          <w:color w:val="595959"/>
          <w:sz w:val="21"/>
          <w:szCs w:val="21"/>
          <w:lang w:val="en-US"/>
        </w:rPr>
      </w:pPr>
      <w:r>
        <w:rPr>
          <w:rFonts w:hint="default"/>
          <w:i/>
          <w:iCs/>
          <w:color w:val="595959"/>
          <w:sz w:val="21"/>
          <w:szCs w:val="21"/>
          <w:lang w:val="en-US"/>
        </w:rPr>
        <w:t xml:space="preserve"> BY KUMAR GAURAV</w:t>
      </w:r>
    </w:p>
    <w:p w14:paraId="1CE4A5FE">
      <w:pPr>
        <w:spacing w:after="140" w:line="300" w:lineRule="auto"/>
        <w:ind w:firstLine="105" w:firstLineChars="50"/>
        <w:rPr>
          <w:rFonts w:hint="default"/>
          <w:i/>
          <w:iCs/>
          <w:color w:val="595959"/>
          <w:sz w:val="21"/>
          <w:szCs w:val="21"/>
          <w:lang w:val="en-US"/>
        </w:rPr>
      </w:pPr>
      <w:r>
        <w:rPr>
          <w:rFonts w:hint="default"/>
          <w:i/>
          <w:iCs/>
          <w:color w:val="595959"/>
          <w:sz w:val="21"/>
          <w:szCs w:val="21"/>
          <w:lang w:val="en-US"/>
        </w:rPr>
        <w:t>Mail</w:t>
      </w:r>
      <w:bookmarkStart w:id="0" w:name="_GoBack"/>
      <w:bookmarkEnd w:id="0"/>
      <w:r>
        <w:rPr>
          <w:rFonts w:hint="default"/>
          <w:i/>
          <w:iCs/>
          <w:color w:val="595959"/>
          <w:sz w:val="21"/>
          <w:szCs w:val="21"/>
          <w:lang w:val="en-US"/>
        </w:rPr>
        <w:t>: gaurav21237262@gmail.com</w:t>
      </w:r>
    </w:p>
    <w:p w14:paraId="6EF4D0BF">
      <w:pPr>
        <w:spacing w:after="140" w:line="300" w:lineRule="auto"/>
        <w:ind w:firstLine="105" w:firstLineChars="50"/>
        <w:rPr>
          <w:rFonts w:hint="default"/>
          <w:i/>
          <w:iCs/>
          <w:color w:val="595959"/>
          <w:sz w:val="21"/>
          <w:szCs w:val="21"/>
          <w:lang w:val="en-US"/>
        </w:rPr>
      </w:pPr>
      <w:r>
        <w:rPr>
          <w:rFonts w:hint="default"/>
          <w:i/>
          <w:iCs/>
          <w:color w:val="595959"/>
          <w:sz w:val="21"/>
          <w:szCs w:val="21"/>
          <w:lang w:val="en-US"/>
        </w:rPr>
        <w:t>Contact no: 6205529390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60" w:hanging="260"/>
      </w:pPr>
    </w:lvl>
    <w:lvl w:ilvl="1" w:tentative="0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8EA35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318</Words>
  <Characters>2035</Characters>
  <TotalTime>11</TotalTime>
  <ScaleCrop>false</ScaleCrop>
  <LinksUpToDate>false</LinksUpToDate>
  <CharactersWithSpaces>2312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2026-07-22T22:08:00Z</dcterms:created>
  <dc:creator>Un-named</dc:creator>
  <cp:lastModifiedBy>Kumar Gaurav</cp:lastModifiedBy>
  <dcterms:modified xsi:type="dcterms:W3CDTF">2026-07-22T22:23:59Z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eyJoZGlkIjoiNjJkNDFjNzY0OTA1YzNiZjQ4OGVmMzhlMWFiYTk1YWIiLCJ1c2VySWQiOiI1Njc2MTcwNTI2NDMifQ==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FCA096F5353B405D94257B049534BE04_13</vt:lpwstr>
  </property>
</Properties>
</file>