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TASMAN MUTUAL BANK</w:t>
      </w:r>
    </w:p>
    <w:p>
      <w:pPr>
        <w:spacing w:after="40"/>
      </w:pPr>
      <w:r>
        <w:rPr>
          <w:b/>
          <w:bCs/>
          <w:color w:val="000000"/>
          <w:sz w:val="30"/>
          <w:szCs w:val="30"/>
        </w:rPr>
        <w:t xml:space="preserve">Critical Infrastructure Risk Management Program (CIRMP)</w:t>
      </w:r>
    </w:p>
    <w:p>
      <w:pPr>
        <w:pBdr>
          <w:bottom w:val="single" w:color="2E4057" w:sz="12" w:space="6"/>
        </w:pBdr>
        <w:spacing w:after="200"/>
      </w:pPr>
      <w:r>
        <w:rPr>
          <w:color w:val="595959"/>
          <w:sz w:val="26"/>
          <w:szCs w:val="26"/>
        </w:rPr>
        <w:t xml:space="preserve">Document 1 — Scope &amp; Engagement Brief</w:t>
      </w:r>
    </w:p>
    <w:p>
      <w:pPr>
        <w:spacing w:after="60"/>
      </w:pPr>
      <w:r>
        <w:rPr>
          <w:b/>
          <w:bCs/>
          <w:color w:val="1F3864"/>
        </w:rPr>
        <w:t xml:space="preserve">Engagement type:  </w:t>
      </w:r>
      <w:r>
        <w:t xml:space="preserve">Self-directed, scenario-based practitioner engagement (simulated entity)</w:t>
      </w:r>
    </w:p>
    <w:p>
      <w:pPr>
        <w:spacing w:after="60"/>
      </w:pPr>
      <w:r>
        <w:rPr>
          <w:b/>
          <w:bCs/>
          <w:color w:val="1F3864"/>
        </w:rPr>
        <w:t xml:space="preserve">Regulatory frame:  </w:t>
      </w:r>
      <w:r>
        <w:t xml:space="preserve">SoCI Act CIRMP Rules, harmonised with APRA CPS 230</w:t>
      </w:r>
    </w:p>
    <w:p>
      <w:pPr>
        <w:spacing w:after="60"/>
      </w:pPr>
      <w:r>
        <w:rPr>
          <w:b/>
          <w:bCs/>
          <w:color w:val="1F3864"/>
        </w:rPr>
        <w:t xml:space="preserve">Prepared by:  </w:t>
      </w:r>
      <w:r>
        <w:t xml:space="preserve">Gaurav Govind</w:t>
      </w:r>
    </w:p>
    <w:p>
      <w:pPr>
        <w:spacing w:after="60"/>
      </w:pPr>
      <w:r>
        <w:rPr>
          <w:b/>
          <w:bCs/>
          <w:color w:val="1F3864"/>
        </w:rPr>
        <w:t xml:space="preserve">Version / date:  </w:t>
      </w:r>
      <w:r>
        <w:t xml:space="preserve">v1.0 — 23 June 2026</w:t>
      </w:r>
    </w:p>
    <w:p>
      <w:pPr>
        <w:spacing w:after="120"/>
      </w:pPr>
    </w:p>
    <w:p>
      <w:pPr>
        <w:pStyle w:val="Heading1"/>
      </w:pPr>
      <w:r>
        <w:t xml:space="preserve">1. Entity profile (fictional)</w:t>
      </w:r>
    </w:p>
    <w:p>
      <w:pPr>
        <w:spacing w:after="120" w:line="276"/>
      </w:pPr>
      <w:r>
        <w:t xml:space="preserve">Tasman Mutual Bank (TMB) is a customer-owned, APRA-regulated authorised deposit-taking institution (ADI).</w:t>
      </w:r>
    </w:p>
    <w:p>
      <w:pPr>
        <w:pStyle w:val="ListParagraph"/>
        <w:numPr>
          <w:ilvl w:val="0"/>
          <w:numId w:val="2"/>
        </w:numPr>
        <w:spacing w:after="60" w:line="264"/>
      </w:pPr>
      <w:r>
        <w:t xml:space="preserve">Total assets: ~AUD $18 billion</w:t>
      </w:r>
    </w:p>
    <w:p>
      <w:pPr>
        <w:pStyle w:val="ListParagraph"/>
        <w:numPr>
          <w:ilvl w:val="0"/>
          <w:numId w:val="2"/>
        </w:numPr>
        <w:spacing w:after="60" w:line="264"/>
      </w:pPr>
      <w:r>
        <w:t xml:space="preserve">Members: ~390,000</w:t>
      </w:r>
    </w:p>
    <w:p>
      <w:pPr>
        <w:pStyle w:val="ListParagraph"/>
        <w:numPr>
          <w:ilvl w:val="0"/>
          <w:numId w:val="2"/>
        </w:numPr>
        <w:spacing w:after="60" w:line="264"/>
      </w:pPr>
      <w:r>
        <w:t xml:space="preserve">Staff: ~1,100</w:t>
      </w:r>
    </w:p>
    <w:p>
      <w:pPr>
        <w:pStyle w:val="ListParagraph"/>
        <w:numPr>
          <w:ilvl w:val="0"/>
          <w:numId w:val="2"/>
        </w:numPr>
        <w:spacing w:after="60" w:line="264"/>
      </w:pPr>
      <w:r>
        <w:t xml:space="preserve">Footprint: Headquartered in Sydney; retail operations across NSW, VIC and QLD; digital-first with a branch network</w:t>
      </w:r>
    </w:p>
    <w:p>
      <w:pPr>
        <w:pStyle w:val="ListParagraph"/>
        <w:numPr>
          <w:ilvl w:val="0"/>
          <w:numId w:val="2"/>
        </w:numPr>
        <w:spacing w:after="60" w:line="264"/>
      </w:pPr>
      <w:r>
        <w:t xml:space="preserve">Products: Transaction and savings accounts, home and personal lending, term deposits, debit/credit card issuing, internet and mobile banking</w:t>
      </w:r>
    </w:p>
    <w:p>
      <w:pPr>
        <w:pStyle w:val="ListParagraph"/>
        <w:numPr>
          <w:ilvl w:val="0"/>
          <w:numId w:val="2"/>
        </w:numPr>
        <w:spacing w:after="60" w:line="264"/>
      </w:pPr>
      <w:r>
        <w:t xml:space="preserve">Payments: Participates in and operates payments processing connecting to national payment systems (NPP/PayTo, BECS direct entry, card schemes)</w:t>
      </w:r>
    </w:p>
    <w:p>
      <w:pPr>
        <w:spacing w:after="120" w:line="276"/>
      </w:pPr>
      <w:r>
        <w:t xml:space="preserve">This sizing places TMB in the mid-tier band — large enough to be systemically relevant to its members and to operate critical payments capability, small enough that realistic resourcing constraints apply.</w:t>
      </w:r>
    </w:p>
    <w:p>
      <w:pPr>
        <w:pStyle w:val="Heading1"/>
      </w:pPr>
      <w:r>
        <w:t xml:space="preserve">2. The critical infrastructure asset</w:t>
      </w:r>
    </w:p>
    <w:p>
      <w:pPr>
        <w:spacing w:after="120" w:line="276"/>
      </w:pPr>
      <w:r>
        <w:t xml:space="preserve">The asset in scope is TMB’s core banking and payments platform — specifically the payments-processing capability that connects members’ funds to the national payment systems. For this engagement, this is treated as a payment-systems asset within the SoCI “financial services and markets” sector, bringing TMB within scope as a responsible entity under the CIRMP Rules.</w:t>
      </w:r>
    </w:p>
    <w:p>
      <w:pPr>
        <w:pStyle w:val="Heading1"/>
      </w:pPr>
      <w:r>
        <w:t xml:space="preserve">3. Critical operations (CPS 230 lens)</w:t>
      </w:r>
    </w:p>
    <w:p>
      <w:pPr>
        <w:spacing w:after="120" w:line="276"/>
      </w:pPr>
      <w:r>
        <w:t xml:space="preserve">Mapping the same asset to CPS 230’s “critical operations” concept — the functions whose disruption would materially harm members or the financial system:</w:t>
      </w:r>
    </w:p>
    <w:p>
      <w:pPr>
        <w:pStyle w:val="ListParagraph"/>
        <w:numPr>
          <w:ilvl w:val="0"/>
          <w:numId w:val="2"/>
        </w:numPr>
        <w:spacing w:after="60" w:line="264"/>
      </w:pPr>
      <w:r>
        <w:t xml:space="preserve">Deposit-taking and account access</w:t>
      </w:r>
    </w:p>
    <w:p>
      <w:pPr>
        <w:pStyle w:val="ListParagraph"/>
        <w:numPr>
          <w:ilvl w:val="0"/>
          <w:numId w:val="2"/>
        </w:numPr>
        <w:spacing w:after="60" w:line="264"/>
      </w:pPr>
      <w:r>
        <w:t xml:space="preserve">Payments and settlement (NPP, direct entry, cards)</w:t>
      </w:r>
    </w:p>
    <w:p>
      <w:pPr>
        <w:pStyle w:val="ListParagraph"/>
        <w:numPr>
          <w:ilvl w:val="0"/>
          <w:numId w:val="2"/>
        </w:numPr>
        <w:spacing w:after="60" w:line="264"/>
      </w:pPr>
      <w:r>
        <w:t xml:space="preserve">Internet and mobile banking</w:t>
      </w:r>
    </w:p>
    <w:p>
      <w:pPr>
        <w:pStyle w:val="ListParagraph"/>
        <w:numPr>
          <w:ilvl w:val="0"/>
          <w:numId w:val="2"/>
        </w:numPr>
        <w:spacing w:after="60" w:line="264"/>
      </w:pPr>
      <w:r>
        <w:t xml:space="preserve">Card authorisation and processing</w:t>
      </w:r>
    </w:p>
    <w:p>
      <w:pPr>
        <w:pStyle w:val="ListParagraph"/>
        <w:numPr>
          <w:ilvl w:val="0"/>
          <w:numId w:val="2"/>
        </w:numPr>
        <w:spacing w:after="60" w:line="264"/>
      </w:pPr>
      <w:r>
        <w:t xml:space="preserve">Fraud detection and transaction monitoring</w:t>
      </w:r>
    </w:p>
    <w:p>
      <w:pPr>
        <w:pStyle w:val="Heading1"/>
      </w:pPr>
      <w:r>
        <w:t xml:space="preserve">4. Regulatory perimeter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Regulator</w:t>
            </w:r>
          </w:p>
        </w:tc>
        <w:tc>
          <w:tcPr>
            <w:tcW w:type="dxa" w:w="64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Obligation in scope</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RBA</w:t>
            </w:r>
          </w:p>
        </w:tc>
        <w:tc>
          <w:tcPr>
            <w:tcW w:type="dxa" w:w="64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CIRMP annual report for the payment-systems asset</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APRA</w:t>
            </w:r>
          </w:p>
        </w:tc>
        <w:tc>
          <w:tcPr>
            <w:tcW w:type="dxa" w:w="64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CPS 230 Operational Risk Management; CPS 234 Information Security</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CISC / Home Affairs</w:t>
            </w:r>
          </w:p>
        </w:tc>
        <w:tc>
          <w:tcPr>
            <w:tcW w:type="dxa" w:w="64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SoCI positive security obligations (asset register, mandatory cyber incident reporting)</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ASIC, OAIC, AUSTRAC</w:t>
            </w:r>
          </w:p>
        </w:tc>
        <w:tc>
          <w:tcPr>
            <w:tcW w:type="dxa" w:w="64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Contextual (licensing/conduct, privacy/NDB scheme, AML/CTF)</w:t>
            </w:r>
          </w:p>
        </w:tc>
      </w:tr>
    </w:tbl>
    <w:p>
      <w:pPr>
        <w:spacing w:after="120" w:before="120"/>
      </w:pPr>
      <w:r>
        <w:rPr>
          <w:b/>
          <w:bCs/>
        </w:rPr>
        <w:t xml:space="preserve">Note on the regulator split: </w:t>
      </w:r>
      <w:r>
        <w:t xml:space="preserve">under the CIRMP Rules, responsible entities for payment-systems assets critical to the financial services and markets sector submit their annual report to the Reserve Bank of Australia, while most other sectors report to the Department of Home Affairs. The board-approved annual report is due within 90 days of the end of the financial year (30 June).</w:t>
      </w:r>
    </w:p>
    <w:p>
      <w:pPr>
        <w:pStyle w:val="Heading1"/>
      </w:pPr>
      <w:r>
        <w:t xml:space="preserve">5. Frameworks and standards</w:t>
      </w:r>
    </w:p>
    <w:p>
      <w:pPr>
        <w:pStyle w:val="ListParagraph"/>
        <w:numPr>
          <w:ilvl w:val="0"/>
          <w:numId w:val="2"/>
        </w:numPr>
        <w:spacing w:after="60" w:line="264"/>
      </w:pPr>
      <w:r>
        <w:t xml:space="preserve">CIRMP Rules — the four hazard vectors: cyber &amp; information security, personnel, supply chain, and physical &amp; natural.</w:t>
      </w:r>
    </w:p>
    <w:p>
      <w:pPr>
        <w:pStyle w:val="ListParagraph"/>
        <w:numPr>
          <w:ilvl w:val="0"/>
          <w:numId w:val="2"/>
        </w:numPr>
        <w:spacing w:after="60" w:line="264"/>
      </w:pPr>
      <w:r>
        <w:t xml:space="preserve">Cyber framework obligation — TMB will demonstrate maturity against the ASD Essential Eight Maturity Model, a designated CIRMP cyber framework, targeting Maturity Level 1 (ML-1) as the current baseline and Maturity Level 2 (ML-2) as the forward target reflecting the draft CIRMP amendments.</w:t>
      </w:r>
    </w:p>
    <w:p>
      <w:pPr>
        <w:pStyle w:val="ListParagraph"/>
        <w:numPr>
          <w:ilvl w:val="0"/>
          <w:numId w:val="2"/>
        </w:numPr>
        <w:spacing w:after="60" w:line="264"/>
      </w:pPr>
      <w:r>
        <w:t xml:space="preserve">APRA CPS 230 / CPG 230 — operational risk, business continuity, and material service provider management (the supply-chain cross-map).</w:t>
      </w:r>
    </w:p>
    <w:p>
      <w:pPr>
        <w:pStyle w:val="ListParagraph"/>
        <w:numPr>
          <w:ilvl w:val="0"/>
          <w:numId w:val="2"/>
        </w:numPr>
        <w:spacing w:after="60" w:line="264"/>
      </w:pPr>
      <w:r>
        <w:t xml:space="preserve">Supporting standards — ISO/IEC 27001:2022 and APRA CPS 234 (information security), ISO 31000 (risk management).</w:t>
      </w:r>
    </w:p>
    <w:p>
      <w:pPr>
        <w:pStyle w:val="Heading1"/>
      </w:pPr>
      <w:r>
        <w:t xml:space="preserve">6. Scope boundaries</w:t>
      </w:r>
    </w:p>
    <w:p>
      <w:pPr>
        <w:pStyle w:val="Heading2"/>
      </w:pPr>
      <w:r>
        <w:t xml:space="preserve">In scope</w:t>
      </w:r>
    </w:p>
    <w:p>
      <w:pPr>
        <w:spacing w:after="120" w:line="276"/>
      </w:pPr>
      <w:r>
        <w:t xml:space="preserve">The all-hazards CIRMP for the payments/core-banking asset across all four hazard vectors; a material/critical service provider register cross-mapped to CPS 230; an Essential Eight maturity assessment; and a board-attested annual report.</w:t>
      </w:r>
    </w:p>
    <w:p>
      <w:pPr>
        <w:pStyle w:val="Heading2"/>
      </w:pPr>
      <w:r>
        <w:t xml:space="preserve">Out of scope</w:t>
      </w:r>
    </w:p>
    <w:p>
      <w:pPr>
        <w:spacing w:after="120" w:line="276"/>
      </w:pPr>
      <w:r>
        <w:t xml:space="preserve">Credit, market and liquidity risk (prudential capital risks, not operational); a full ISMS rebuild (referenced, not reproduced); and actual penetration testing or live control testing.</w:t>
      </w:r>
    </w:p>
    <w:p>
      <w:pPr>
        <w:pStyle w:val="Heading1"/>
      </w:pPr>
      <w:r>
        <w:t xml:space="preserve">7. Forward-looking design (the differentiator)</w:t>
      </w:r>
    </w:p>
    <w:p>
      <w:pPr>
        <w:spacing w:after="120" w:line="276"/>
      </w:pPr>
      <w:r>
        <w:t xml:space="preserve">The program is deliberately built toward where the regime is heading, not just today’s floor:</w:t>
      </w:r>
    </w:p>
    <w:p>
      <w:pPr>
        <w:pStyle w:val="ListParagraph"/>
        <w:numPr>
          <w:ilvl w:val="0"/>
          <w:numId w:val="2"/>
        </w:numPr>
        <w:spacing w:after="60" w:line="264"/>
      </w:pPr>
      <w:r>
        <w:t xml:space="preserve">The 2026 SoCI Independent Review recommends accepting the CIRMP amendments and harmonising SoCI with APRA, ASIC, ISO, NIST and CPS 234 — so building TMB’s program as a single harmonised CIRMP/CPS 230 control set follows the recommended direction.</w:t>
      </w:r>
    </w:p>
    <w:p>
      <w:pPr>
        <w:pStyle w:val="ListParagraph"/>
        <w:numPr>
          <w:ilvl w:val="0"/>
          <w:numId w:val="2"/>
        </w:numPr>
        <w:spacing w:after="60" w:line="264"/>
      </w:pPr>
      <w:r>
        <w:t xml:space="preserve">The draft CIRMP amendments raise the bar: a mandatory uplift to cyber Maturity Level 2, explicit supply-chain vulnerability mapping, personnel security plans with AusCheck-style background checking, specified risk-advice requirements, and explicit Foreign Ownership, Control or Influence (FOCI) risk management. TMB’s program addresses these as forward targets.</w:t>
      </w:r>
    </w:p>
    <w:p>
      <w:pPr>
        <w:pStyle w:val="Heading1"/>
      </w:pPr>
      <w:r>
        <w:t xml:space="preserve">8. Stated assumptions (honesty register)</w:t>
      </w:r>
    </w:p>
    <w:p>
      <w:pPr>
        <w:spacing w:after="120" w:line="276"/>
      </w:pPr>
      <w:r>
        <w:t xml:space="preserve">So every line is defensible under questioning:</w:t>
      </w:r>
    </w:p>
    <w:p>
      <w:pPr>
        <w:pStyle w:val="ListParagraph"/>
        <w:numPr>
          <w:ilvl w:val="0"/>
          <w:numId w:val="2"/>
        </w:numPr>
        <w:spacing w:after="60" w:line="264"/>
      </w:pPr>
      <w:r>
        <w:t xml:space="preserve">TMB and all data are fictional; this is a scenario-based exercise, not paid client work.</w:t>
      </w:r>
    </w:p>
    <w:p>
      <w:pPr>
        <w:pStyle w:val="ListParagraph"/>
        <w:numPr>
          <w:ilvl w:val="0"/>
          <w:numId w:val="2"/>
        </w:numPr>
        <w:spacing w:after="60" w:line="264"/>
      </w:pPr>
      <w:r>
        <w:t xml:space="preserve">TMB is treated as a responsible entity for a payment-systems asset to demonstrate the CIRMP obligation; in reality, capture depends on whether a specific payment system is declared critical.</w:t>
      </w:r>
    </w:p>
    <w:p>
      <w:pPr>
        <w:pStyle w:val="ListParagraph"/>
        <w:numPr>
          <w:ilvl w:val="0"/>
          <w:numId w:val="2"/>
        </w:numPr>
        <w:spacing w:after="60" w:line="264"/>
      </w:pPr>
      <w:r>
        <w:t xml:space="preserve">Maturity ratings, findings and remediation timelines are illustrative of a realistic mid-tier ADI, not measurements of a real entity.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Scenario-based portfolio artefact — fictional entity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Tasman Mutual Bank — CIRMP  |  Scope &amp; Engagement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4" w:space="4"/>
      </w:pBdr>
      <w:spacing w:after="120" w:before="26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40"/>
      <w:outlineLvl w:val="1"/>
    </w:pPr>
    <w:rPr>
      <w:rFonts w:ascii="Arial" w:cs="Arial" w:eastAsia="Arial" w:hAnsi="Arial"/>
      <w:b/>
      <w:bCs/>
      <w:color w:val="2E40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Tasman Mutual Bank — CIRMP Scope &amp; Engagement Brief</dc:title>
  <dc:creator>Gaurav Govind</dc:creator>
  <cp:lastModifiedBy>Un-named</cp:lastModifiedBy>
  <cp:revision>1</cp:revision>
  <dcterms:created xsi:type="dcterms:W3CDTF">2026-06-23T05:46:04.988Z</dcterms:created>
  <dcterms:modified xsi:type="dcterms:W3CDTF">2026-06-23T05:46:04.988Z</dcterms:modified>
</cp:coreProperties>
</file>

<file path=docProps/custom.xml><?xml version="1.0" encoding="utf-8"?>
<Properties xmlns="http://schemas.openxmlformats.org/officeDocument/2006/custom-properties" xmlns:vt="http://schemas.openxmlformats.org/officeDocument/2006/docPropsVTypes"/>
</file>