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TASMAN MUTUAL BANK</w:t>
      </w:r>
    </w:p>
    <w:p>
      <w:pPr>
        <w:spacing w:after="60"/>
      </w:pPr>
      <w:r>
        <w:rPr>
          <w:b/>
          <w:bCs/>
          <w:color w:val="000000"/>
          <w:sz w:val="32"/>
          <w:szCs w:val="32"/>
        </w:rPr>
        <w:t xml:space="preserve">Critical Infrastructure Risk Management Program</w:t>
      </w:r>
    </w:p>
    <w:p>
      <w:pPr>
        <w:pBdr>
          <w:bottom w:val="single" w:color="2E4057" w:sz="12" w:space="6"/>
        </w:pBdr>
        <w:spacing w:after="160"/>
      </w:pPr>
      <w:r>
        <w:rPr>
          <w:color w:val="595959"/>
          <w:sz w:val="24"/>
          <w:szCs w:val="24"/>
        </w:rPr>
        <w:t xml:space="preserve">Document 6 — CIRMP Program Document  |  SoCI Act, harmonised with APRA CPS 230</w:t>
      </w:r>
    </w:p>
    <w:p>
      <w:pPr>
        <w:pStyle w:val="Heading2"/>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62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Detail</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Program owner</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Chief Risk Officer</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Approved by</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Board of Directors (accountable authority)</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Relevant regulator</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Reserve Bank of Australia (payment-systems asset)</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Review cycle</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Annual, or on material change</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Classification</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Internal – sensitive</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Status</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Scenario-based portfolio artefact (fictional entity)</w:t>
            </w:r>
          </w:p>
        </w:tc>
      </w:tr>
    </w:tbl>
    <w:p>
      <w:pPr>
        <w:spacing w:after="160"/>
      </w:pPr>
    </w:p>
    <w:p>
      <w:pPr>
        <w:pStyle w:val="Heading1"/>
      </w:pPr>
      <w:r>
        <w:t xml:space="preserve">1. Purpose and scope</w:t>
      </w:r>
    </w:p>
    <w:p>
      <w:pPr>
        <w:spacing w:after="120" w:line="276"/>
      </w:pPr>
      <w:r>
        <w:rPr>
          <w:b/>
          <w:bCs/>
          <w:color w:val="1F3864"/>
        </w:rPr>
        <w:t xml:space="preserve">1.1 Purpose. </w:t>
      </w:r>
      <w:r>
        <w:t xml:space="preserve">This Critical Infrastructure Risk Management Program (CIRMP) sets out how Tasman Mutual Bank (TMB) identifies, assesses and manages material risks to its critical infrastructure asset across all four hazard vectors required by the SoCI Act CIRMP Rules. It is deliberately harmonised with APRA CPS 230 so that a single program satisfies both regimes.</w:t>
      </w:r>
    </w:p>
    <w:p>
      <w:pPr>
        <w:spacing w:after="120" w:line="276"/>
      </w:pPr>
      <w:r>
        <w:rPr>
          <w:b/>
          <w:bCs/>
          <w:color w:val="1F3864"/>
        </w:rPr>
        <w:t xml:space="preserve">1.2 Critical asset and operations. </w:t>
      </w:r>
      <w:r>
        <w:t xml:space="preserve">The asset in scope is TMB’s core banking and payments platform, treated as a payment-systems asset within the financial services and markets sector. Its critical operations are deposit-taking and account access, payments and settlement, internet and mobile banking, card authorisation and processing, and fraud detection and transaction monitoring.</w:t>
      </w:r>
    </w:p>
    <w:p>
      <w:pPr>
        <w:spacing w:after="120" w:line="276"/>
      </w:pPr>
      <w:r>
        <w:rPr>
          <w:b/>
          <w:bCs/>
          <w:color w:val="1F3864"/>
        </w:rPr>
        <w:t xml:space="preserve">1.3 Regulatory basis. </w:t>
      </w:r>
      <w:r>
        <w:t xml:space="preserve">The program gives effect to the CIRMP Rules (hazard vectors at s8–s11) and aligns to APRA CPS 230 (operational risk and service provider management) and CPS 234 (information security). The board-approved annual report is submitted to the Reserve Bank of Australia within 90 days of the end of the financial year.</w:t>
      </w:r>
    </w:p>
    <w:p>
      <w:pPr>
        <w:pStyle w:val="Heading1"/>
      </w:pPr>
      <w:r>
        <w:t xml:space="preserve">2. Governance and accountability</w:t>
      </w:r>
    </w:p>
    <w:p>
      <w:pPr>
        <w:spacing w:after="120" w:line="276"/>
      </w:pPr>
      <w:r>
        <w:rPr>
          <w:b/>
          <w:bCs/>
          <w:color w:val="1F3864"/>
        </w:rPr>
        <w:t xml:space="preserve">2.1 Board oversight. </w:t>
      </w:r>
      <w:r>
        <w:t xml:space="preserve">The Board is the accountable authority. It approves this program and the annual report, and oversees material risks through the Board Risk Committee. Management operates the program and reports on its effectiveness each quarter.</w:t>
      </w:r>
    </w:p>
    <w:p>
      <w:pPr>
        <w:spacing w:after="120" w:line="276"/>
      </w:pPr>
      <w:r>
        <w:rPr>
          <w:b/>
          <w:bCs/>
          <w:color w:val="1F3864"/>
        </w:rPr>
        <w:t xml:space="preserve">2.2 Roles and responsibilities. </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Role</w:t>
            </w:r>
          </w:p>
        </w:tc>
        <w:tc>
          <w:tcPr>
            <w:tcW w:type="dxa" w:w="62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Responsibility</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Board / Board Risk Committee</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Approve the CIRMP and annual report; oversee the material risk profile.</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Chief Executive Officer</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Accountable for the operation of the program.</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Chief Risk Officer (2nd line)</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Owns the framework and methodology; consolidates reporting.</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CISO</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Cyber &amp; information security hazard (s8) and the Essential Eight uplift.</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Head of Third-Party Risk</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Supply chain hazard (s10); MSP register and CPS 230 cross-map.</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Chief HR Officer</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Personnel hazard (s9); personnel security plan and screening.</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Head of Operational Resilience / Facilities</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Physical &amp; natural hazard (s11); site resilience and access.</w:t>
            </w:r>
          </w:p>
        </w:tc>
      </w:tr>
      <w:tr>
        <w:trPr>
          <w:tblHeader w:val="false"/>
        </w:trP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Internal Audit (3rd line)</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Independent assurance over program design and operating effectiveness.</w:t>
            </w:r>
          </w:p>
        </w:tc>
      </w:tr>
    </w:tbl>
    <w:p>
      <w:pPr>
        <w:spacing w:after="120" w:line="276"/>
      </w:pPr>
      <w:r>
        <w:rPr>
          <w:b/>
          <w:bCs/>
          <w:color w:val="1F3864"/>
        </w:rPr>
        <w:t xml:space="preserve">2.3 Three lines of defence. </w:t>
      </w:r>
      <w:r>
        <w:t xml:space="preserve">Risk owners in the business form the first line; the risk and compliance functions the second; and Internal Audit the third, providing independent assurance ahead of board attestation.</w:t>
      </w:r>
    </w:p>
    <w:p>
      <w:pPr>
        <w:pStyle w:val="Heading1"/>
      </w:pPr>
      <w:r>
        <w:t xml:space="preserve">3. Risk management methodology</w:t>
      </w:r>
    </w:p>
    <w:p>
      <w:pPr>
        <w:spacing w:after="120" w:line="276"/>
      </w:pPr>
      <w:r>
        <w:t xml:space="preserve">The program applies an all-hazards approach aligned to ISO 31000. Material risks are identified across the four hazard vectors, assessed on a 5×5 likelihood-and-impact matrix before and after controls, treated against a 30/90/180-day horizon, and monitored continuously. The full methodology and scoring scales are held in the All-Hazards Risk Register (Document 2).</w:t>
      </w:r>
    </w:p>
    <w:p>
      <w:pPr>
        <w:spacing w:after="120" w:line="276"/>
      </w:pPr>
      <w:r>
        <w:rPr>
          <w:b/>
          <w:bCs/>
          <w:color w:val="1F3864"/>
        </w:rPr>
        <w:t xml:space="preserve">Risk appetite. </w:t>
      </w:r>
      <w:r>
        <w:t xml:space="preserve">TMB has a low appetite for risks that threaten the availability or integrity of its critical operations or the confidentiality of member data. Impact tolerances are set for each critical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Critical operation</w:t>
            </w:r>
          </w:p>
        </w:tc>
        <w:tc>
          <w:tcPr>
            <w:tcW w:type="dxa" w:w="34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Maximum tolerable disruption</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Payments and settlement</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2 hours</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Deposit-taking and account access</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2 hours</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Card authorisation and processing</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1 hour</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Internet and mobile banking</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4 hours</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Fraud detection and transaction monitoring</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4 hours</w:t>
            </w:r>
          </w:p>
        </w:tc>
      </w:tr>
    </w:tbl>
    <w:p>
      <w:pPr>
        <w:pStyle w:val="Heading1"/>
      </w:pPr>
      <w:r>
        <w:t xml:space="preserve">4. Material risk profile</w:t>
      </w:r>
    </w:p>
    <w:p>
      <w:pPr>
        <w:spacing w:after="120" w:line="276"/>
      </w:pPr>
      <w:r>
        <w:t xml:space="preserve">The current assessment identifies sixteen material risks across the four hazard vectors. The most significant residual exposures are concentrated in the cyber and supply-chain vectors: ransomware and cloud concentration (residual High), supported by privileged-access, fourth-party and FOCI risks. Personnel and physical exposures rate lower on residual but include the absence of a personnel security plan and unverified geographic separation between sites. Risk-by-risk detail is held in Document 2; the priority backlog is the set of residual High and Critical risks tracked to closure by the Board Risk Committee.</w:t>
      </w:r>
    </w:p>
    <w:p>
      <w:pPr>
        <w:pStyle w:val="Heading1"/>
      </w:pPr>
      <w:r>
        <w:t xml:space="preserve">5. Hazard vector management</w:t>
      </w:r>
    </w:p>
    <w:p>
      <w:pPr>
        <w:spacing w:after="120" w:line="276"/>
      </w:pPr>
      <w:r>
        <w:rPr>
          <w:b/>
          <w:bCs/>
          <w:color w:val="1F3864"/>
        </w:rPr>
        <w:t xml:space="preserve">5.1 Cyber &amp; information security (s8). </w:t>
      </w:r>
      <w:r>
        <w:t xml:space="preserve">Managed through the Essential Eight Maturity Model. The current overall maturity is ML-0 (held down by application control and user application hardening), against a CIRMP floor of ML-1 and a forward target of ML-2. The uplift roadmap is set out in Document 3.</w:t>
      </w:r>
    </w:p>
    <w:p>
      <w:pPr>
        <w:spacing w:after="120" w:line="276"/>
      </w:pPr>
      <w:r>
        <w:rPr>
          <w:b/>
          <w:bCs/>
          <w:color w:val="1F3864"/>
        </w:rPr>
        <w:t xml:space="preserve">5.2 Personnel (s9). </w:t>
      </w:r>
      <w:r>
        <w:t xml:space="preserve">Managed through screening, trusted-insider access controls, key-person continuity and social-engineering resistance, moving toward a personnel security plan with AusCheck-style background checking. Detail in Document 5, Module A.</w:t>
      </w:r>
    </w:p>
    <w:p>
      <w:pPr>
        <w:spacing w:after="120" w:line="276"/>
      </w:pPr>
      <w:r>
        <w:rPr>
          <w:b/>
          <w:bCs/>
          <w:color w:val="1F3864"/>
        </w:rPr>
        <w:t xml:space="preserve">5.3 Supply chain (s10). </w:t>
      </w:r>
      <w:r>
        <w:t xml:space="preserve">Managed through a material service provider register that doubles as the CPS 230 register and the SoCI supply-chain dependency map, with provider tiering, fourth-party mapping, concentration analysis, and a FOCI / overseas-processing assessment. Detail in Document 4.</w:t>
      </w:r>
    </w:p>
    <w:p>
      <w:pPr>
        <w:spacing w:after="120" w:line="276"/>
      </w:pPr>
      <w:r>
        <w:rPr>
          <w:b/>
          <w:bCs/>
          <w:color w:val="1F3864"/>
        </w:rPr>
        <w:t xml:space="preserve">5.4 Physical &amp; natural (s11). </w:t>
      </w:r>
      <w:r>
        <w:t xml:space="preserve">Managed through facility access control, site resilience (power and environmental), natural-hazard scenario testing and verification of geographic separation between sites. Detail in Document 5, Module B.</w:t>
      </w:r>
    </w:p>
    <w:p>
      <w:pPr>
        <w:pStyle w:val="Heading1"/>
      </w:pPr>
      <w:r>
        <w:t xml:space="preserve">6. Cyber and information security framework adoption</w:t>
      </w:r>
    </w:p>
    <w:p>
      <w:pPr>
        <w:spacing w:after="120" w:line="276"/>
      </w:pPr>
      <w:r>
        <w:t xml:space="preserve">As required by the CIRMP Rules, TMB adopts and maintains the ASD Essential Eight Maturity Model as its cyber security framework. The program commits to achieving ML-1 across all eight mitigation strategies to meet the current obligation, and to a planned uplift to ML-2 in line with the draft amendments. Maturity is assessed as a package — the overall level is the lowest achieved across the eight — and is reviewed at least annually.</w:t>
      </w:r>
    </w:p>
    <w:p>
      <w:pPr>
        <w:pStyle w:val="Heading1"/>
      </w:pPr>
      <w:r>
        <w:t xml:space="preserve">7. Incident management and mandatory reporting</w:t>
      </w:r>
    </w:p>
    <w:p>
      <w:pPr>
        <w:spacing w:after="120" w:line="276"/>
      </w:pPr>
      <w:r>
        <w:t xml:space="preserve">TMB maintains incident response and business continuity plans for its critical operations. Under the SoCI Act mandatory cyber incident reporting obligations, TMB reports:</w:t>
      </w:r>
    </w:p>
    <w:p>
      <w:pPr>
        <w:pStyle w:val="ListParagraph"/>
        <w:numPr>
          <w:ilvl w:val="0"/>
          <w:numId w:val="2"/>
        </w:numPr>
        <w:spacing w:after="60" w:line="264"/>
      </w:pPr>
      <w:r>
        <w:t xml:space="preserve">a critical cyber security incident (significant impact on the availability of the asset) to the Australian Signals Directorate within 12 hours of becoming aware; and</w:t>
      </w:r>
    </w:p>
    <w:p>
      <w:pPr>
        <w:pStyle w:val="ListParagraph"/>
        <w:numPr>
          <w:ilvl w:val="0"/>
          <w:numId w:val="2"/>
        </w:numPr>
        <w:spacing w:after="60" w:line="264"/>
      </w:pPr>
      <w:r>
        <w:t xml:space="preserve">any other reportable cyber security incident (relevant impact) within 72 hours.</w:t>
      </w:r>
    </w:p>
    <w:p>
      <w:pPr>
        <w:spacing w:after="120" w:line="276"/>
      </w:pPr>
      <w:r>
        <w:t xml:space="preserve">Privacy incidents are managed in parallel under the Notifiable Data Breaches scheme. Lessons learned feed back into the risk register and control environment.</w:t>
      </w:r>
    </w:p>
    <w:p>
      <w:pPr>
        <w:pStyle w:val="Heading1"/>
      </w:pPr>
      <w:r>
        <w:t xml:space="preserve">8. Testing, review and continuous improvement</w:t>
      </w:r>
    </w:p>
    <w:p>
      <w:pPr>
        <w:spacing w:after="120" w:line="276"/>
      </w:pPr>
      <w:r>
        <w:t xml:space="preserve">The program is reviewed at least annually and on any material change to the asset, the threat environment or the regulatory regime. TMB tests its resilience through scenario exercises (including extreme-but-plausible scenarios per CPS 230), disaster-recovery failover tests and supplier-continuity tests, and tracks remediation through the 30/90/180-day roadmap.</w:t>
      </w:r>
    </w:p>
    <w:p>
      <w:pPr>
        <w:pStyle w:val="Heading1"/>
      </w:pPr>
      <w:r>
        <w:t xml:space="preserve">9. Annual reporting and board attestation</w:t>
      </w:r>
    </w:p>
    <w:p>
      <w:pPr>
        <w:spacing w:after="120" w:line="276"/>
      </w:pPr>
      <w:r>
        <w:t xml:space="preserve">Each financial year, the Board approves an annual CIRMP report confirming whether the program was up to date and effective, and identifying any material variations or hazards that had a significant impact. The approved report is submitted to the Reserve Bank of Australia within 90 days of 30 June. The report is set out in Document 7.</w:t>
      </w:r>
    </w:p>
    <w:p>
      <w:pPr>
        <w:pStyle w:val="Heading1"/>
      </w:pPr>
      <w:r>
        <w:t xml:space="preserve">10. Document references</w:t>
      </w:r>
    </w:p>
    <w:p>
      <w:pPr>
        <w:pStyle w:val="ListParagraph"/>
        <w:numPr>
          <w:ilvl w:val="0"/>
          <w:numId w:val="2"/>
        </w:numPr>
        <w:spacing w:after="60" w:line="264"/>
      </w:pPr>
      <w:r>
        <w:t xml:space="preserve">Document 1 — Scope &amp; Engagement Brief</w:t>
      </w:r>
    </w:p>
    <w:p>
      <w:pPr>
        <w:pStyle w:val="ListParagraph"/>
        <w:numPr>
          <w:ilvl w:val="0"/>
          <w:numId w:val="2"/>
        </w:numPr>
        <w:spacing w:after="60" w:line="264"/>
      </w:pPr>
      <w:r>
        <w:t xml:space="preserve">Document 2 — All-Hazards Risk Register</w:t>
      </w:r>
    </w:p>
    <w:p>
      <w:pPr>
        <w:pStyle w:val="ListParagraph"/>
        <w:numPr>
          <w:ilvl w:val="0"/>
          <w:numId w:val="2"/>
        </w:numPr>
        <w:spacing w:after="60" w:line="264"/>
      </w:pPr>
      <w:r>
        <w:t xml:space="preserve">Document 3 — Essential Eight Maturity Assessment (cyber module, s8)</w:t>
      </w:r>
    </w:p>
    <w:p>
      <w:pPr>
        <w:pStyle w:val="ListParagraph"/>
        <w:numPr>
          <w:ilvl w:val="0"/>
          <w:numId w:val="2"/>
        </w:numPr>
        <w:spacing w:after="60" w:line="264"/>
      </w:pPr>
      <w:r>
        <w:t xml:space="preserve">Document 4 — Supply-Chain Hazard Module &amp; MSP Register (s10)</w:t>
      </w:r>
    </w:p>
    <w:p>
      <w:pPr>
        <w:pStyle w:val="ListParagraph"/>
        <w:numPr>
          <w:ilvl w:val="0"/>
          <w:numId w:val="2"/>
        </w:numPr>
        <w:spacing w:after="60" w:line="264"/>
      </w:pPr>
      <w:r>
        <w:t xml:space="preserve">Document 5 — Personnel &amp; Physical/Natural Hazard Modules (s9, s11)</w:t>
      </w:r>
    </w:p>
    <w:p>
      <w:pPr>
        <w:pStyle w:val="ListParagraph"/>
        <w:numPr>
          <w:ilvl w:val="0"/>
          <w:numId w:val="2"/>
        </w:numPr>
        <w:spacing w:after="60" w:line="264"/>
      </w:pPr>
      <w:r>
        <w:t xml:space="preserve">Document 7 — Board-Attested Annual CIRMP Report &amp; Executive Dashboard (to follow)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Scenario-based portfolio artefact — fictional entity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Tasman Mutual Bank — CIRMP Program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2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Tasman Mutual Bank — CIRMP Program Document</dc:title>
  <dc:creator>Gaurav Govind</dc:creator>
  <cp:lastModifiedBy>Un-named</cp:lastModifiedBy>
  <cp:revision>1</cp:revision>
  <dcterms:created xsi:type="dcterms:W3CDTF">2026-06-23T22:19:37.589Z</dcterms:created>
  <dcterms:modified xsi:type="dcterms:W3CDTF">2026-06-23T22:19:37.603Z</dcterms:modified>
</cp:coreProperties>
</file>

<file path=docProps/custom.xml><?xml version="1.0" encoding="utf-8"?>
<Properties xmlns="http://schemas.openxmlformats.org/officeDocument/2006/custom-properties" xmlns:vt="http://schemas.openxmlformats.org/officeDocument/2006/docPropsVTypes"/>
</file>