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4"/>
          <w:szCs w:val="44"/>
        </w:rPr>
        <w:t xml:space="preserve">TASMAN MUTUAL BANK</w:t>
      </w:r>
    </w:p>
    <w:p>
      <w:pPr>
        <w:spacing w:after="60"/>
      </w:pPr>
      <w:r>
        <w:rPr>
          <w:b/>
          <w:bCs/>
          <w:color w:val="000000"/>
          <w:sz w:val="30"/>
          <w:szCs w:val="30"/>
        </w:rPr>
        <w:t xml:space="preserve">Annual Critical Infrastructure Risk Management Program Report</w:t>
      </w:r>
    </w:p>
    <w:p>
      <w:pPr>
        <w:pBdr>
          <w:bottom w:val="single" w:color="2E4057" w:sz="12" w:space="6"/>
        </w:pBdr>
        <w:spacing w:after="140"/>
      </w:pPr>
      <w:r>
        <w:rPr>
          <w:color w:val="595959"/>
          <w:sz w:val="23"/>
          <w:szCs w:val="23"/>
        </w:rPr>
        <w:t xml:space="preserve">Document 7  |  Financial year ended 30 June 2026  |  Submitted to the Reserve Bank of Australia</w:t>
      </w:r>
    </w:p>
    <w:p>
      <w:pPr>
        <w:pStyle w:val="Heading1"/>
      </w:pPr>
      <w:r>
        <w:t xml:space="preserve">1. Board attestation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BFBF" w:sz="1"/>
              <w:left w:val="single" w:color="BFBFBF" w:sz="1"/>
              <w:bottom w:val="single" w:color="BFBFBF" w:sz="1"/>
              <w:right w:val="single" w:color="BFBFBF" w:sz="1"/>
            </w:tcBorders>
            <w:shd w:fill="F2F5FB" w:val="clear"/>
            <w:tcMar>
              <w:top w:type="dxa" w:w="160"/>
              <w:left w:type="dxa" w:w="200"/>
              <w:bottom w:type="dxa" w:w="160"/>
              <w:right w:type="dxa" w:w="200"/>
            </w:tcMar>
          </w:tcPr>
          <w:p>
            <w:pPr>
              <w:spacing w:after="120" w:line="276"/>
            </w:pPr>
            <w:r>
              <w:rPr>
                <w:sz w:val="20"/>
                <w:szCs w:val="20"/>
              </w:rPr>
              <w:t xml:space="preserve">The Board of Tasman Mutual Bank, as the accountable authority for the critical infrastructure asset, has reviewed and approved this annual report for the financial year ended 30 June 2026. Based on the assurance provided to it, the Board attests that:</w:t>
            </w:r>
          </w:p>
          <w:p>
            <w:pPr>
              <w:pStyle w:val="ListParagraph"/>
              <w:numPr>
                <w:ilvl w:val="0"/>
                <w:numId w:val="2"/>
              </w:numPr>
              <w:spacing w:after="80"/>
            </w:pPr>
            <w:r>
              <w:rPr>
                <w:sz w:val="20"/>
                <w:szCs w:val="20"/>
              </w:rPr>
              <w:t xml:space="preserve">the Critical Infrastructure Risk Management Program was up to date as at the end of the reporting period; and</w:t>
            </w:r>
          </w:p>
          <w:p>
            <w:pPr>
              <w:pStyle w:val="ListParagraph"/>
              <w:numPr>
                <w:ilvl w:val="0"/>
                <w:numId w:val="2"/>
              </w:numPr>
              <w:spacing w:after="120"/>
            </w:pPr>
            <w:r>
              <w:rPr>
                <w:sz w:val="20"/>
                <w:szCs w:val="20"/>
              </w:rPr>
              <w:t xml:space="preserve">the program operated to identify and manage material risks to the asset during the period, subject to the material variations and remediation set out in section 6 — most significantly, the planned uplift of Essential Eight maturity to the required level.</w:t>
            </w:r>
          </w:p>
          <w:p>
            <w:r>
              <w:rPr>
                <w:i/>
                <w:iCs/>
                <w:color w:val="595959"/>
                <w:sz w:val="18"/>
                <w:szCs w:val="18"/>
              </w:rPr>
              <w:t xml:space="preserve">This report is submitted to the Reserve Bank of Australia within 90 days of the end of the financial year.</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1626"/>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Approved by</w:t>
            </w:r>
          </w:p>
        </w:tc>
        <w:tc>
          <w:tcPr>
            <w:tcW w:type="dxa" w:w="24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Name</w:t>
            </w:r>
          </w:p>
        </w:tc>
        <w:tc>
          <w:tcPr>
            <w:tcW w:type="dxa" w:w="24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Signature</w:t>
            </w:r>
          </w:p>
        </w:tc>
        <w:tc>
          <w:tcPr>
            <w:tcW w:type="dxa" w:w="1626"/>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Date</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color w:val="000000"/>
                <w:sz w:val="17"/>
                <w:szCs w:val="17"/>
              </w:rPr>
              <w:t xml:space="preserve">Board Chair</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color w:val="000000"/>
                <w:sz w:val="17"/>
                <w:szCs w:val="17"/>
              </w:rPr>
              <w:t xml:space="preserve"> </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color w:val="000000"/>
                <w:sz w:val="17"/>
                <w:szCs w:val="17"/>
              </w:rPr>
              <w:t xml:space="preserve"> </w:t>
            </w:r>
          </w:p>
        </w:tc>
        <w:tc>
          <w:tcPr>
            <w:tcW w:type="dxa" w:w="16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color w:val="000000"/>
                <w:sz w:val="17"/>
                <w:szCs w:val="17"/>
              </w:rPr>
              <w:t xml:space="preserve"> </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color w:val="000000"/>
                <w:sz w:val="17"/>
                <w:szCs w:val="17"/>
              </w:rPr>
              <w:t xml:space="preserve">Chief Executive Officer</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color w:val="000000"/>
                <w:sz w:val="17"/>
                <w:szCs w:val="17"/>
              </w:rPr>
              <w:t xml:space="preserve"> </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color w:val="000000"/>
                <w:sz w:val="17"/>
                <w:szCs w:val="17"/>
              </w:rPr>
              <w:t xml:space="preserve"> </w:t>
            </w:r>
          </w:p>
        </w:tc>
        <w:tc>
          <w:tcPr>
            <w:tcW w:type="dxa" w:w="16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color w:val="000000"/>
                <w:sz w:val="17"/>
                <w:szCs w:val="17"/>
              </w:rPr>
              <w:t xml:space="preserve"> </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color w:val="000000"/>
                <w:sz w:val="17"/>
                <w:szCs w:val="17"/>
              </w:rPr>
              <w:t xml:space="preserve">Chief Risk Officer</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color w:val="000000"/>
                <w:sz w:val="17"/>
                <w:szCs w:val="17"/>
              </w:rPr>
              <w:t xml:space="preserve"> </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color w:val="000000"/>
                <w:sz w:val="17"/>
                <w:szCs w:val="17"/>
              </w:rPr>
              <w:t xml:space="preserve"> </w:t>
            </w:r>
          </w:p>
        </w:tc>
        <w:tc>
          <w:tcPr>
            <w:tcW w:type="dxa" w:w="16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color w:val="000000"/>
                <w:sz w:val="17"/>
                <w:szCs w:val="17"/>
              </w:rPr>
              <w:t xml:space="preserve"> </w:t>
            </w:r>
          </w:p>
        </w:tc>
      </w:tr>
    </w:tbl>
    <w:p>
      <w:pPr>
        <w:pStyle w:val="Heading1"/>
      </w:pPr>
      <w:r>
        <w:t xml:space="preserve">2. Executive summary</w:t>
      </w:r>
    </w:p>
    <w:p>
      <w:pPr>
        <w:spacing w:after="120" w:line="276"/>
      </w:pPr>
      <w:r>
        <w:t xml:space="preserve">During FY2025-26, TMB established and operated an all-hazards CIRMP for its core banking and payments asset, harmonised with APRA CPS 230. No hazard had a significant relevant impact on the asset during the period. The annual assessment identified sixteen material risks across the four hazard vectors, of which two carry a residual High rating — ransomware exposure to the core platform and concentration on a single cloud provider. The most significant program gap is cyber maturity: assessed against the Essential Eight, TMB’s overall maturity is currently below the required ML-1 floor, and a funded uplift to ML-2 is underway. All material risks are under active treatment against a 30/90/180-day roadmap, overseen by the Board Risk Committee.</w:t>
      </w:r>
    </w:p>
    <w:p>
      <w:pPr>
        <w:pStyle w:val="Heading1"/>
      </w:pPr>
      <w:r>
        <w:t xml:space="preserve">3. Executive dashboard</w:t>
      </w:r>
    </w:p>
    <w:p>
      <w:pPr>
        <w:pStyle w:val="Heading2"/>
      </w:pPr>
      <w:r>
        <w:t xml:space="preserve">3.1 Material risk profile by hazard vector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2200"/>
        <w:gridCol w:w="2226"/>
      </w:tblGrid>
      <w:tr>
        <w:trPr>
          <w:tblHeader/>
        </w:trPr>
        <w:tc>
          <w:tcPr>
            <w:tcW w:type="dxa" w:w="46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Hazard vector</w:t>
            </w:r>
          </w:p>
        </w:tc>
        <w:tc>
          <w:tcPr>
            <w:tcW w:type="dxa" w:w="22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Risks</w:t>
            </w:r>
          </w:p>
        </w:tc>
        <w:tc>
          <w:tcPr>
            <w:tcW w:type="dxa" w:w="2226"/>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Highest residual</w:t>
            </w:r>
          </w:p>
        </w:tc>
      </w:tr>
      <w:tr>
        <w:trPr>
          <w:tblHeader w:val="false"/>
        </w:trPr>
        <w:tc>
          <w:tcPr>
            <w:tcW w:type="dxa" w:w="4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color w:val="000000"/>
                <w:sz w:val="17"/>
                <w:szCs w:val="17"/>
              </w:rPr>
              <w:t xml:space="preserve">Cyber &amp; information security</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color w:val="000000"/>
                <w:sz w:val="17"/>
                <w:szCs w:val="17"/>
              </w:rPr>
              <w:t xml:space="preserve">4</w:t>
            </w:r>
          </w:p>
        </w:tc>
        <w:tc>
          <w:tcPr>
            <w:tcW w:type="dxa" w:w="2226"/>
            <w:tcBorders>
              <w:top w:val="single" w:color="BFBFBF" w:sz="1"/>
              <w:left w:val="single" w:color="BFBFBF" w:sz="1"/>
              <w:bottom w:val="single" w:color="BFBFBF" w:sz="1"/>
              <w:right w:val="single" w:color="BFBFBF" w:sz="1"/>
            </w:tcBorders>
            <w:shd w:fill="ED7D31" w:val="clear"/>
            <w:tcMar>
              <w:top w:type="dxa" w:w="60"/>
              <w:left w:type="dxa" w:w="100"/>
              <w:bottom w:type="dxa" w:w="60"/>
              <w:right w:type="dxa" w:w="100"/>
            </w:tcMar>
            <w:vAlign w:val="center"/>
          </w:tcPr>
          <w:p>
            <w:pPr>
              <w:jc w:val="center"/>
            </w:pPr>
            <w:r>
              <w:rPr>
                <w:b w:val="false"/>
                <w:bCs w:val="false"/>
                <w:color w:val="000000"/>
                <w:sz w:val="17"/>
                <w:szCs w:val="17"/>
              </w:rPr>
              <w:t xml:space="preserve">High</w:t>
            </w:r>
          </w:p>
        </w:tc>
      </w:tr>
      <w:tr>
        <w:trPr>
          <w:tblHeader w:val="false"/>
        </w:trPr>
        <w:tc>
          <w:tcPr>
            <w:tcW w:type="dxa" w:w="4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color w:val="000000"/>
                <w:sz w:val="17"/>
                <w:szCs w:val="17"/>
              </w:rPr>
              <w:t xml:space="preserve">Supply chain</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color w:val="000000"/>
                <w:sz w:val="17"/>
                <w:szCs w:val="17"/>
              </w:rPr>
              <w:t xml:space="preserve">4</w:t>
            </w:r>
          </w:p>
        </w:tc>
        <w:tc>
          <w:tcPr>
            <w:tcW w:type="dxa" w:w="2226"/>
            <w:tcBorders>
              <w:top w:val="single" w:color="BFBFBF" w:sz="1"/>
              <w:left w:val="single" w:color="BFBFBF" w:sz="1"/>
              <w:bottom w:val="single" w:color="BFBFBF" w:sz="1"/>
              <w:right w:val="single" w:color="BFBFBF" w:sz="1"/>
            </w:tcBorders>
            <w:shd w:fill="ED7D31" w:val="clear"/>
            <w:tcMar>
              <w:top w:type="dxa" w:w="60"/>
              <w:left w:type="dxa" w:w="100"/>
              <w:bottom w:type="dxa" w:w="60"/>
              <w:right w:type="dxa" w:w="100"/>
            </w:tcMar>
            <w:vAlign w:val="center"/>
          </w:tcPr>
          <w:p>
            <w:pPr>
              <w:jc w:val="center"/>
            </w:pPr>
            <w:r>
              <w:rPr>
                <w:b w:val="false"/>
                <w:bCs w:val="false"/>
                <w:color w:val="000000"/>
                <w:sz w:val="17"/>
                <w:szCs w:val="17"/>
              </w:rPr>
              <w:t xml:space="preserve">High</w:t>
            </w:r>
          </w:p>
        </w:tc>
      </w:tr>
      <w:tr>
        <w:trPr>
          <w:tblHeader w:val="false"/>
        </w:trPr>
        <w:tc>
          <w:tcPr>
            <w:tcW w:type="dxa" w:w="4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color w:val="000000"/>
                <w:sz w:val="17"/>
                <w:szCs w:val="17"/>
              </w:rPr>
              <w:t xml:space="preserve">Personnel</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color w:val="000000"/>
                <w:sz w:val="17"/>
                <w:szCs w:val="17"/>
              </w:rPr>
              <w:t xml:space="preserve">4</w:t>
            </w:r>
          </w:p>
        </w:tc>
        <w:tc>
          <w:tcPr>
            <w:tcW w:type="dxa" w:w="2226"/>
            <w:tcBorders>
              <w:top w:val="single" w:color="BFBFBF" w:sz="1"/>
              <w:left w:val="single" w:color="BFBFBF" w:sz="1"/>
              <w:bottom w:val="single" w:color="BFBFBF" w:sz="1"/>
              <w:right w:val="single" w:color="BFBFBF" w:sz="1"/>
            </w:tcBorders>
            <w:shd w:fill="FFD966" w:val="clear"/>
            <w:tcMar>
              <w:top w:type="dxa" w:w="60"/>
              <w:left w:type="dxa" w:w="100"/>
              <w:bottom w:type="dxa" w:w="60"/>
              <w:right w:type="dxa" w:w="100"/>
            </w:tcMar>
            <w:vAlign w:val="center"/>
          </w:tcPr>
          <w:p>
            <w:pPr>
              <w:jc w:val="center"/>
            </w:pPr>
            <w:r>
              <w:rPr>
                <w:b w:val="false"/>
                <w:bCs w:val="false"/>
                <w:color w:val="000000"/>
                <w:sz w:val="17"/>
                <w:szCs w:val="17"/>
              </w:rPr>
              <w:t xml:space="preserve">Medium</w:t>
            </w:r>
          </w:p>
        </w:tc>
      </w:tr>
      <w:tr>
        <w:trPr>
          <w:tblHeader w:val="false"/>
        </w:trPr>
        <w:tc>
          <w:tcPr>
            <w:tcW w:type="dxa" w:w="4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color w:val="000000"/>
                <w:sz w:val="17"/>
                <w:szCs w:val="17"/>
              </w:rPr>
              <w:t xml:space="preserve">Physical &amp; natural</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color w:val="000000"/>
                <w:sz w:val="17"/>
                <w:szCs w:val="17"/>
              </w:rPr>
              <w:t xml:space="preserve">4</w:t>
            </w:r>
          </w:p>
        </w:tc>
        <w:tc>
          <w:tcPr>
            <w:tcW w:type="dxa" w:w="2226"/>
            <w:tcBorders>
              <w:top w:val="single" w:color="BFBFBF" w:sz="1"/>
              <w:left w:val="single" w:color="BFBFBF" w:sz="1"/>
              <w:bottom w:val="single" w:color="BFBFBF" w:sz="1"/>
              <w:right w:val="single" w:color="BFBFBF" w:sz="1"/>
            </w:tcBorders>
            <w:shd w:fill="FFD966" w:val="clear"/>
            <w:tcMar>
              <w:top w:type="dxa" w:w="60"/>
              <w:left w:type="dxa" w:w="100"/>
              <w:bottom w:type="dxa" w:w="60"/>
              <w:right w:type="dxa" w:w="100"/>
            </w:tcMar>
            <w:vAlign w:val="center"/>
          </w:tcPr>
          <w:p>
            <w:pPr>
              <w:jc w:val="center"/>
            </w:pPr>
            <w:r>
              <w:rPr>
                <w:b w:val="false"/>
                <w:bCs w:val="false"/>
                <w:color w:val="000000"/>
                <w:sz w:val="17"/>
                <w:szCs w:val="17"/>
              </w:rPr>
              <w:t xml:space="preserve">Medium</w:t>
            </w:r>
          </w:p>
        </w:tc>
      </w:tr>
      <w:tr>
        <w:trPr>
          <w:tblHeader w:val="false"/>
        </w:trPr>
        <w:tc>
          <w:tcPr>
            <w:tcW w:type="dxa" w:w="4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bCs/>
                <w:color w:val="000000"/>
                <w:sz w:val="17"/>
                <w:szCs w:val="17"/>
              </w:rPr>
              <w:t xml:space="preserve">Total</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color w:val="000000"/>
                <w:sz w:val="17"/>
                <w:szCs w:val="17"/>
              </w:rPr>
              <w:t xml:space="preserve">16</w:t>
            </w:r>
          </w:p>
        </w:tc>
        <w:tc>
          <w:tcPr>
            <w:tcW w:type="dxa" w:w="22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color w:val="000000"/>
                <w:sz w:val="17"/>
                <w:szCs w:val="17"/>
              </w:rPr>
              <w:t xml:space="preserve">—</w:t>
            </w:r>
          </w:p>
        </w:tc>
      </w:tr>
    </w:tbl>
    <w:p>
      <w:pPr>
        <w:pStyle w:val="Heading2"/>
      </w:pPr>
      <w:r>
        <w:t xml:space="preserve">3.2 Residual risk distribution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1650"/>
        <w:gridCol w:w="1650"/>
        <w:gridCol w:w="1650"/>
        <w:gridCol w:w="1650"/>
      </w:tblGrid>
      <w:tr>
        <w:trPr>
          <w:tblHeader/>
        </w:trPr>
        <w:tc>
          <w:tcPr>
            <w:tcW w:type="dxa" w:w="2426"/>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Rating</w:t>
            </w:r>
          </w:p>
        </w:tc>
        <w:tc>
          <w:tcPr>
            <w:tcW w:type="dxa" w:w="165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Critical</w:t>
            </w:r>
          </w:p>
        </w:tc>
        <w:tc>
          <w:tcPr>
            <w:tcW w:type="dxa" w:w="165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High</w:t>
            </w:r>
          </w:p>
        </w:tc>
        <w:tc>
          <w:tcPr>
            <w:tcW w:type="dxa" w:w="165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Medium</w:t>
            </w:r>
          </w:p>
        </w:tc>
        <w:tc>
          <w:tcPr>
            <w:tcW w:type="dxa" w:w="165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Low</w:t>
            </w:r>
          </w:p>
        </w:tc>
      </w:tr>
      <w:tr>
        <w:trPr>
          <w:tblHeader w:val="false"/>
        </w:trPr>
        <w:tc>
          <w:tcPr>
            <w:tcW w:type="dxa" w:w="24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bCs/>
                <w:color w:val="000000"/>
                <w:sz w:val="17"/>
                <w:szCs w:val="17"/>
              </w:rPr>
              <w:t xml:space="preserve">Count</w:t>
            </w:r>
          </w:p>
        </w:tc>
        <w:tc>
          <w:tcPr>
            <w:tcW w:type="dxa" w:w="1650"/>
            <w:tcBorders>
              <w:top w:val="single" w:color="BFBFBF" w:sz="1"/>
              <w:left w:val="single" w:color="BFBFBF" w:sz="1"/>
              <w:bottom w:val="single" w:color="BFBFBF" w:sz="1"/>
              <w:right w:val="single" w:color="BFBFBF" w:sz="1"/>
            </w:tcBorders>
            <w:shd w:fill="C00000" w:val="clear"/>
            <w:tcMar>
              <w:top w:type="dxa" w:w="60"/>
              <w:left w:type="dxa" w:w="100"/>
              <w:bottom w:type="dxa" w:w="60"/>
              <w:right w:type="dxa" w:w="100"/>
            </w:tcMar>
            <w:vAlign w:val="center"/>
          </w:tcPr>
          <w:p>
            <w:pPr>
              <w:jc w:val="center"/>
            </w:pPr>
            <w:r>
              <w:rPr>
                <w:b w:val="false"/>
                <w:bCs w:val="false"/>
                <w:color w:val="FFFFFF"/>
                <w:sz w:val="17"/>
                <w:szCs w:val="17"/>
              </w:rPr>
              <w:t xml:space="preserve">0</w:t>
            </w:r>
          </w:p>
        </w:tc>
        <w:tc>
          <w:tcPr>
            <w:tcW w:type="dxa" w:w="1650"/>
            <w:tcBorders>
              <w:top w:val="single" w:color="BFBFBF" w:sz="1"/>
              <w:left w:val="single" w:color="BFBFBF" w:sz="1"/>
              <w:bottom w:val="single" w:color="BFBFBF" w:sz="1"/>
              <w:right w:val="single" w:color="BFBFBF" w:sz="1"/>
            </w:tcBorders>
            <w:shd w:fill="ED7D31" w:val="clear"/>
            <w:tcMar>
              <w:top w:type="dxa" w:w="60"/>
              <w:left w:type="dxa" w:w="100"/>
              <w:bottom w:type="dxa" w:w="60"/>
              <w:right w:type="dxa" w:w="100"/>
            </w:tcMar>
            <w:vAlign w:val="center"/>
          </w:tcPr>
          <w:p>
            <w:pPr>
              <w:jc w:val="center"/>
            </w:pPr>
            <w:r>
              <w:rPr>
                <w:b w:val="false"/>
                <w:bCs w:val="false"/>
                <w:color w:val="000000"/>
                <w:sz w:val="17"/>
                <w:szCs w:val="17"/>
              </w:rPr>
              <w:t xml:space="preserve">2</w:t>
            </w:r>
          </w:p>
        </w:tc>
        <w:tc>
          <w:tcPr>
            <w:tcW w:type="dxa" w:w="1650"/>
            <w:tcBorders>
              <w:top w:val="single" w:color="BFBFBF" w:sz="1"/>
              <w:left w:val="single" w:color="BFBFBF" w:sz="1"/>
              <w:bottom w:val="single" w:color="BFBFBF" w:sz="1"/>
              <w:right w:val="single" w:color="BFBFBF" w:sz="1"/>
            </w:tcBorders>
            <w:shd w:fill="FFD966" w:val="clear"/>
            <w:tcMar>
              <w:top w:type="dxa" w:w="60"/>
              <w:left w:type="dxa" w:w="100"/>
              <w:bottom w:type="dxa" w:w="60"/>
              <w:right w:type="dxa" w:w="100"/>
            </w:tcMar>
            <w:vAlign w:val="center"/>
          </w:tcPr>
          <w:p>
            <w:pPr>
              <w:jc w:val="center"/>
            </w:pPr>
            <w:r>
              <w:rPr>
                <w:b w:val="false"/>
                <w:bCs w:val="false"/>
                <w:color w:val="000000"/>
                <w:sz w:val="17"/>
                <w:szCs w:val="17"/>
              </w:rPr>
              <w:t xml:space="preserve">13</w:t>
            </w:r>
          </w:p>
        </w:tc>
        <w:tc>
          <w:tcPr>
            <w:tcW w:type="dxa" w:w="1650"/>
            <w:tcBorders>
              <w:top w:val="single" w:color="BFBFBF" w:sz="1"/>
              <w:left w:val="single" w:color="BFBFBF" w:sz="1"/>
              <w:bottom w:val="single" w:color="BFBFBF" w:sz="1"/>
              <w:right w:val="single" w:color="BFBFBF" w:sz="1"/>
            </w:tcBorders>
            <w:shd w:fill="92D050" w:val="clear"/>
            <w:tcMar>
              <w:top w:type="dxa" w:w="60"/>
              <w:left w:type="dxa" w:w="100"/>
              <w:bottom w:type="dxa" w:w="60"/>
              <w:right w:type="dxa" w:w="100"/>
            </w:tcMar>
            <w:vAlign w:val="center"/>
          </w:tcPr>
          <w:p>
            <w:pPr>
              <w:jc w:val="center"/>
            </w:pPr>
            <w:r>
              <w:rPr>
                <w:b w:val="false"/>
                <w:bCs w:val="false"/>
                <w:color w:val="000000"/>
                <w:sz w:val="17"/>
                <w:szCs w:val="17"/>
              </w:rPr>
              <w:t xml:space="preserve">1</w:t>
            </w:r>
          </w:p>
        </w:tc>
      </w:tr>
    </w:tbl>
    <w:p>
      <w:pPr>
        <w:spacing w:after="120" w:line="276"/>
      </w:pPr>
      <w:r>
        <w:rPr>
          <w:i/>
          <w:iCs/>
          <w:color w:val="595959"/>
          <w:sz w:val="18"/>
          <w:szCs w:val="18"/>
        </w:rPr>
        <w:t xml:space="preserve">For comparison, the inherent profile (before controls) was three Critical and nine High; controls bring all but two risks to Medium or Low residual.</w:t>
      </w:r>
    </w:p>
    <w:p>
      <w:pPr>
        <w:pStyle w:val="Heading2"/>
      </w:pPr>
      <w:r>
        <w:t xml:space="preserve">3.3 Essential Eight maturity snapshot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0"/>
        <w:gridCol w:w="3426"/>
      </w:tblGrid>
      <w:tr>
        <w:trPr>
          <w:tblHeader/>
        </w:trPr>
        <w:tc>
          <w:tcPr>
            <w:tcW w:type="dxa" w:w="56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Measure</w:t>
            </w:r>
          </w:p>
        </w:tc>
        <w:tc>
          <w:tcPr>
            <w:tcW w:type="dxa" w:w="3426"/>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Status</w:t>
            </w:r>
          </w:p>
        </w:tc>
      </w:tr>
      <w:tr>
        <w:trPr>
          <w:tblHeader w:val="false"/>
        </w:trPr>
        <w:tc>
          <w:tcPr>
            <w:tcW w:type="dxa" w:w="5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color w:val="000000"/>
                <w:sz w:val="17"/>
                <w:szCs w:val="17"/>
              </w:rPr>
              <w:t xml:space="preserve">Overall current maturity (lowest common level)</w:t>
            </w:r>
          </w:p>
        </w:tc>
        <w:tc>
          <w:tcPr>
            <w:tcW w:type="dxa" w:w="3426"/>
            <w:tcBorders>
              <w:top w:val="single" w:color="BFBFBF" w:sz="1"/>
              <w:left w:val="single" w:color="BFBFBF" w:sz="1"/>
              <w:bottom w:val="single" w:color="BFBFBF" w:sz="1"/>
              <w:right w:val="single" w:color="BFBFBF" w:sz="1"/>
            </w:tcBorders>
            <w:shd w:fill="C00000" w:val="clear"/>
            <w:tcMar>
              <w:top w:type="dxa" w:w="60"/>
              <w:left w:type="dxa" w:w="100"/>
              <w:bottom w:type="dxa" w:w="60"/>
              <w:right w:type="dxa" w:w="100"/>
            </w:tcMar>
            <w:vAlign w:val="center"/>
          </w:tcPr>
          <w:p>
            <w:pPr>
              <w:jc w:val="center"/>
            </w:pPr>
            <w:r>
              <w:rPr>
                <w:b/>
                <w:bCs/>
                <w:color w:val="FFFFFF"/>
                <w:sz w:val="17"/>
                <w:szCs w:val="17"/>
              </w:rPr>
              <w:t xml:space="preserve">ML-0</w:t>
            </w:r>
          </w:p>
        </w:tc>
      </w:tr>
      <w:tr>
        <w:trPr>
          <w:tblHeader w:val="false"/>
        </w:trPr>
        <w:tc>
          <w:tcPr>
            <w:tcW w:type="dxa" w:w="5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color w:val="000000"/>
                <w:sz w:val="17"/>
                <w:szCs w:val="17"/>
              </w:rPr>
              <w:t xml:space="preserve">CIRMP obligation (floor)</w:t>
            </w:r>
          </w:p>
        </w:tc>
        <w:tc>
          <w:tcPr>
            <w:tcW w:type="dxa" w:w="3426"/>
            <w:tcBorders>
              <w:top w:val="single" w:color="BFBFBF" w:sz="1"/>
              <w:left w:val="single" w:color="BFBFBF" w:sz="1"/>
              <w:bottom w:val="single" w:color="BFBFBF" w:sz="1"/>
              <w:right w:val="single" w:color="BFBFBF" w:sz="1"/>
            </w:tcBorders>
            <w:shd w:fill="FFD966" w:val="clear"/>
            <w:tcMar>
              <w:top w:type="dxa" w:w="60"/>
              <w:left w:type="dxa" w:w="100"/>
              <w:bottom w:type="dxa" w:w="60"/>
              <w:right w:type="dxa" w:w="100"/>
            </w:tcMar>
            <w:vAlign w:val="center"/>
          </w:tcPr>
          <w:p>
            <w:pPr>
              <w:jc w:val="center"/>
            </w:pPr>
            <w:r>
              <w:rPr>
                <w:b/>
                <w:bCs/>
                <w:color w:val="000000"/>
                <w:sz w:val="17"/>
                <w:szCs w:val="17"/>
              </w:rPr>
              <w:t xml:space="preserve">ML-1</w:t>
            </w:r>
          </w:p>
        </w:tc>
      </w:tr>
      <w:tr>
        <w:trPr>
          <w:tblHeader w:val="false"/>
        </w:trPr>
        <w:tc>
          <w:tcPr>
            <w:tcW w:type="dxa" w:w="5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color w:val="000000"/>
                <w:sz w:val="17"/>
                <w:szCs w:val="17"/>
              </w:rPr>
              <w:t xml:space="preserve">Forward target (draft amendments)</w:t>
            </w:r>
          </w:p>
        </w:tc>
        <w:tc>
          <w:tcPr>
            <w:tcW w:type="dxa" w:w="3426"/>
            <w:tcBorders>
              <w:top w:val="single" w:color="BFBFBF" w:sz="1"/>
              <w:left w:val="single" w:color="BFBFBF" w:sz="1"/>
              <w:bottom w:val="single" w:color="BFBFBF" w:sz="1"/>
              <w:right w:val="single" w:color="BFBFBF" w:sz="1"/>
            </w:tcBorders>
            <w:shd w:fill="92D050" w:val="clear"/>
            <w:tcMar>
              <w:top w:type="dxa" w:w="60"/>
              <w:left w:type="dxa" w:w="100"/>
              <w:bottom w:type="dxa" w:w="60"/>
              <w:right w:type="dxa" w:w="100"/>
            </w:tcMar>
            <w:vAlign w:val="center"/>
          </w:tcPr>
          <w:p>
            <w:pPr>
              <w:jc w:val="center"/>
            </w:pPr>
            <w:r>
              <w:rPr>
                <w:b/>
                <w:bCs/>
                <w:color w:val="000000"/>
                <w:sz w:val="17"/>
                <w:szCs w:val="17"/>
              </w:rPr>
              <w:t xml:space="preserve">ML-2</w:t>
            </w:r>
          </w:p>
        </w:tc>
      </w:tr>
      <w:tr>
        <w:trPr>
          <w:tblHeader w:val="false"/>
        </w:trPr>
        <w:tc>
          <w:tcPr>
            <w:tcW w:type="dxa" w:w="5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color w:val="000000"/>
                <w:sz w:val="17"/>
                <w:szCs w:val="17"/>
              </w:rPr>
              <w:t xml:space="preserve">Strategies at or above ML-1</w:t>
            </w:r>
          </w:p>
        </w:tc>
        <w:tc>
          <w:tcPr>
            <w:tcW w:type="dxa" w:w="34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color w:val="000000"/>
                <w:sz w:val="17"/>
                <w:szCs w:val="17"/>
              </w:rPr>
              <w:t xml:space="preserve">6 of 8</w:t>
            </w:r>
          </w:p>
        </w:tc>
      </w:tr>
      <w:tr>
        <w:trPr>
          <w:tblHeader w:val="false"/>
        </w:trPr>
        <w:tc>
          <w:tcPr>
            <w:tcW w:type="dxa" w:w="5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color w:val="000000"/>
                <w:sz w:val="17"/>
                <w:szCs w:val="17"/>
              </w:rPr>
              <w:t xml:space="preserve">Strategies at or above ML-2</w:t>
            </w:r>
          </w:p>
        </w:tc>
        <w:tc>
          <w:tcPr>
            <w:tcW w:type="dxa" w:w="34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color w:val="000000"/>
                <w:sz w:val="17"/>
                <w:szCs w:val="17"/>
              </w:rPr>
              <w:t xml:space="preserve">1 of 8</w:t>
            </w:r>
          </w:p>
        </w:tc>
      </w:tr>
    </w:tbl>
    <w:p>
      <w:pPr>
        <w:pStyle w:val="Heading2"/>
      </w:pPr>
      <w:r>
        <w:t xml:space="preserve">3.4 Remediation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326"/>
        <w:gridCol w:w="2000"/>
      </w:tblGrid>
      <w:tr>
        <w:trPr>
          <w:tblHeader/>
        </w:trPr>
        <w:tc>
          <w:tcPr>
            <w:tcW w:type="dxa" w:w="17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Horizon</w:t>
            </w:r>
          </w:p>
        </w:tc>
        <w:tc>
          <w:tcPr>
            <w:tcW w:type="dxa" w:w="5326"/>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Focus</w:t>
            </w:r>
          </w:p>
        </w:tc>
        <w:tc>
          <w:tcPr>
            <w:tcW w:type="dxa" w:w="20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Status</w:t>
            </w:r>
          </w:p>
        </w:tc>
      </w:tr>
      <w:tr>
        <w:trPr>
          <w:tblHeader w:val="false"/>
        </w:trP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color w:val="000000"/>
                <w:sz w:val="17"/>
                <w:szCs w:val="17"/>
              </w:rPr>
              <w:t xml:space="preserve">30 days</w:t>
            </w:r>
          </w:p>
        </w:tc>
        <w:tc>
          <w:tcPr>
            <w:tcW w:type="dxa" w:w="53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color w:val="000000"/>
                <w:sz w:val="17"/>
                <w:szCs w:val="17"/>
              </w:rPr>
              <w:t xml:space="preserve">Phishing-resistant MFA; enforce admin MFA</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color w:val="000000"/>
                <w:sz w:val="17"/>
                <w:szCs w:val="17"/>
              </w:rPr>
              <w:t xml:space="preserve">In progress</w:t>
            </w:r>
          </w:p>
        </w:tc>
      </w:tr>
      <w:tr>
        <w:trPr>
          <w:tblHeader w:val="false"/>
        </w:trP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color w:val="000000"/>
                <w:sz w:val="17"/>
                <w:szCs w:val="17"/>
              </w:rPr>
              <w:t xml:space="preserve">90 days</w:t>
            </w:r>
          </w:p>
        </w:tc>
        <w:tc>
          <w:tcPr>
            <w:tcW w:type="dxa" w:w="53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color w:val="000000"/>
                <w:sz w:val="17"/>
                <w:szCs w:val="17"/>
              </w:rPr>
              <w:t xml:space="preserve">Patching SLAs; PAM; macro &amp; OS hardening; DLP; screening plan</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color w:val="000000"/>
                <w:sz w:val="17"/>
                <w:szCs w:val="17"/>
              </w:rPr>
              <w:t xml:space="preserve">In progress</w:t>
            </w:r>
          </w:p>
        </w:tc>
      </w:tr>
      <w:tr>
        <w:trPr>
          <w:tblHeader w:val="false"/>
        </w:trP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color w:val="000000"/>
                <w:sz w:val="17"/>
                <w:szCs w:val="17"/>
              </w:rPr>
              <w:t xml:space="preserve">180 days</w:t>
            </w:r>
          </w:p>
        </w:tc>
        <w:tc>
          <w:tcPr>
            <w:tcW w:type="dxa" w:w="53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color w:val="000000"/>
                <w:sz w:val="17"/>
                <w:szCs w:val="17"/>
              </w:rPr>
              <w:t xml:space="preserve">Application control; cloud exit plan; nth-party mapping; site separation</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color w:val="000000"/>
                <w:sz w:val="17"/>
                <w:szCs w:val="17"/>
              </w:rPr>
              <w:t xml:space="preserve">Open</w:t>
            </w:r>
          </w:p>
        </w:tc>
      </w:tr>
    </w:tbl>
    <w:p>
      <w:pPr>
        <w:pStyle w:val="Heading1"/>
      </w:pPr>
      <w:r>
        <w:t xml:space="preserve">4. Program status and effectiveness</w:t>
      </w:r>
    </w:p>
    <w:p>
      <w:pPr>
        <w:spacing w:after="120" w:line="276"/>
      </w:pPr>
      <w:r>
        <w:t xml:space="preserve">The program was up to date at the end of the reporting period: scope, governance, the risk register and all four hazard modules were current. It was effective in establishing all-hazards risk management and in reducing inherent exposure, but it was not yet fully effective against the cyber framework obligation, where overall Essential Eight maturity sits below ML-1. This is the principal driver of the qualified attestation in section 1 and the focus of the uplift in section 6.</w:t>
      </w:r>
    </w:p>
    <w:p>
      <w:pPr>
        <w:pStyle w:val="Heading1"/>
      </w:pPr>
      <w:r>
        <w:t xml:space="preserve">5. Material hazards with significant impact during the period</w:t>
      </w:r>
    </w:p>
    <w:p>
      <w:pPr>
        <w:spacing w:after="120" w:line="276"/>
      </w:pPr>
      <w:r>
        <w:t xml:space="preserve">No cyber, personnel, supply-chain or physical/natural hazard had a significant relevant impact on the availability, integrity, reliability or confidentiality of the asset during FY2025-26. No critical cyber security incidents were reportable to the Australian Signals Directorate during the period. Lower-severity events were managed within tolerance and fed into the risk register.</w:t>
      </w:r>
    </w:p>
    <w:p>
      <w:pPr>
        <w:pStyle w:val="Heading1"/>
      </w:pPr>
      <w:r>
        <w:t xml:space="preserve">6. Material variations and planned uplift</w:t>
      </w:r>
    </w:p>
    <w:p>
      <w:pPr>
        <w:spacing w:after="120" w:line="276"/>
      </w:pPr>
      <w:r>
        <w:t xml:space="preserve">The following material variations and planned improvements were identified and are tracked to closure:</w:t>
      </w:r>
    </w:p>
    <w:p>
      <w:pPr>
        <w:pStyle w:val="ListParagraph"/>
        <w:numPr>
          <w:ilvl w:val="0"/>
          <w:numId w:val="3"/>
        </w:numPr>
        <w:spacing w:after="60" w:line="264"/>
      </w:pPr>
      <w:r>
        <w:t xml:space="preserve">Cyber maturity: uplift the Essential Eight from an overall ML-0 to ML-2 across all eight strategies, prioritising application control and user application hardening (currently ML-0).</w:t>
      </w:r>
    </w:p>
    <w:p>
      <w:pPr>
        <w:pStyle w:val="ListParagraph"/>
        <w:numPr>
          <w:ilvl w:val="0"/>
          <w:numId w:val="3"/>
        </w:numPr>
        <w:spacing w:after="60" w:line="264"/>
      </w:pPr>
      <w:r>
        <w:t xml:space="preserve">Supply chain: complete cloud exit / portability planning and fourth-party mapping; conduct FOCI and overseas-processing assessments for flagged providers.</w:t>
      </w:r>
    </w:p>
    <w:p>
      <w:pPr>
        <w:pStyle w:val="ListParagraph"/>
        <w:numPr>
          <w:ilvl w:val="0"/>
          <w:numId w:val="3"/>
        </w:numPr>
        <w:spacing w:after="60" w:line="264"/>
      </w:pPr>
      <w:r>
        <w:t xml:space="preserve">Personnel: introduce a personnel security plan with periodic re-screening, moving toward AusCheck-style background checking.</w:t>
      </w:r>
    </w:p>
    <w:p>
      <w:pPr>
        <w:pStyle w:val="ListParagraph"/>
        <w:numPr>
          <w:ilvl w:val="0"/>
          <w:numId w:val="3"/>
        </w:numPr>
        <w:spacing w:after="60" w:line="264"/>
      </w:pPr>
      <w:r>
        <w:t xml:space="preserve">Physical &amp; natural: verify geographic separation between the primary and recovery sites and define recovery-time tolerances.</w:t>
      </w:r>
    </w:p>
    <w:p>
      <w:pPr>
        <w:pStyle w:val="Heading1"/>
      </w:pPr>
      <w:r>
        <w:t xml:space="preserve">7. Conclusion</w:t>
      </w:r>
    </w:p>
    <w:p>
      <w:pPr>
        <w:spacing w:after="120" w:line="276"/>
      </w:pPr>
      <w:r>
        <w:t xml:space="preserve">TMB has a current, board-governed, all-hazards CIRMP harmonised with CPS 230. The control environment materially reduces inherent risk, and the residual profile is concentrated in two High risks and a known cyber-maturity gap, all under funded remediation. The Board will review progress quarterly and re-attest at the end of FY2026-27.</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Scenario-based portfolio artefact — fictional entity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Tasman Mutual Bank — Annual CIRMP Report  |  FY2025-26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lowerLetter"/>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E2F3" w:sz="4" w:space="4"/>
      </w:pBdr>
      <w:spacing w:after="120" w:before="300"/>
      <w:outlineLvl w:val="0"/>
    </w:pPr>
    <w:rPr>
      <w:rFonts w:ascii="Arial" w:cs="Arial" w:eastAsia="Arial" w:hAnsi="Arial"/>
      <w:b/>
      <w:bCs/>
      <w:color w:val="1F3864"/>
      <w:sz w:val="26"/>
      <w:szCs w:val="26"/>
    </w:rPr>
  </w:style>
  <w:style w:type="paragraph" w:styleId="Heading2">
    <w:name w:val="Heading 2"/>
    <w:basedOn w:val="Normal"/>
    <w:next w:val="Normal"/>
    <w:qFormat/>
    <w:pPr>
      <w:spacing w:after="80" w:before="160"/>
      <w:outlineLvl w:val="1"/>
    </w:pPr>
    <w:rPr>
      <w:rFonts w:ascii="Arial" w:cs="Arial" w:eastAsia="Arial" w:hAnsi="Arial"/>
      <w:b/>
      <w:bCs/>
      <w:color w:val="2E40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Tasman Mutual Bank — Annual CIRMP Report</dc:title>
  <dc:creator>Gaurav Govind</dc:creator>
  <cp:lastModifiedBy>Un-named</cp:lastModifiedBy>
  <cp:revision>1</cp:revision>
  <dcterms:created xsi:type="dcterms:W3CDTF">2026-06-23T22:21:48.635Z</dcterms:created>
  <dcterms:modified xsi:type="dcterms:W3CDTF">2026-06-23T22:21:48.635Z</dcterms:modified>
</cp:coreProperties>
</file>

<file path=docProps/custom.xml><?xml version="1.0" encoding="utf-8"?>
<Properties xmlns="http://schemas.openxmlformats.org/officeDocument/2006/custom-properties" xmlns:vt="http://schemas.openxmlformats.org/officeDocument/2006/docPropsVTypes"/>
</file>