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0594" w:rsidP="4E8ECCAA" w:rsidRDefault="70A29D66" w14:paraId="290DAB92" w14:textId="25BD9745">
      <w:pPr>
        <w:pStyle w:val="Title"/>
        <w:jc w:val="center"/>
      </w:pPr>
      <w:r w:rsidR="70A29D66">
        <w:rPr/>
        <w:t>PrimeHealth</w:t>
      </w:r>
      <w:r w:rsidR="70A29D66">
        <w:rPr/>
        <w:t xml:space="preserve"> Clinic &amp; Diagnostics</w:t>
      </w:r>
    </w:p>
    <w:p w:rsidR="00C20594" w:rsidP="4E8ECCAA" w:rsidRDefault="004B6C6A" w14:paraId="0C7BD60F" w14:textId="19DD21A1">
      <w:pPr>
        <w:pStyle w:val="Title"/>
        <w:jc w:val="center"/>
      </w:pPr>
      <w:r w:rsidR="5B4AE490">
        <w:rPr/>
        <w:t xml:space="preserve">Standards, </w:t>
      </w:r>
      <w:r w:rsidR="004B6C6A">
        <w:rPr/>
        <w:t>Frameworks &amp; Regulations</w:t>
      </w:r>
    </w:p>
    <w:p w:rsidR="00C3116D" w:rsidP="11B60F01" w:rsidRDefault="00C3116D" w14:paraId="3EC99D44" w14:textId="09D088FC"/>
    <w:p w:rsidR="00254EF7" w:rsidP="00D14F57" w:rsidRDefault="00C20594" w14:paraId="23D18686" w14:textId="53E6BC77">
      <w:r w:rsidRPr="00DF02D1">
        <w:t>Version 1.0</w:t>
      </w:r>
    </w:p>
    <w:tbl>
      <w:tblPr>
        <w:tblW w:w="14743" w:type="dxa"/>
        <w:tblInd w:w="-147" w:type="dxa"/>
        <w:tblLayout w:type="fixed"/>
        <w:tblLook w:val="06A0" w:firstRow="1" w:lastRow="0" w:firstColumn="1" w:lastColumn="0" w:noHBand="1" w:noVBand="1"/>
      </w:tblPr>
      <w:tblGrid>
        <w:gridCol w:w="568"/>
        <w:gridCol w:w="1842"/>
        <w:gridCol w:w="4536"/>
        <w:gridCol w:w="1276"/>
        <w:gridCol w:w="1276"/>
        <w:gridCol w:w="5245"/>
      </w:tblGrid>
      <w:tr w:rsidR="00940FBC" w:rsidTr="4E8ECCAA" w14:paraId="0E233729" w14:textId="77777777">
        <w:trPr>
          <w:trHeight w:val="555"/>
        </w:trPr>
        <w:tc>
          <w:tcPr>
            <w:tcW w:w="568" w:type="dxa"/>
            <w:tcBorders>
              <w:top w:val="single" w:color="auto" w:sz="4" w:space="0"/>
              <w:left w:val="single" w:color="auto" w:sz="4" w:space="0"/>
              <w:bottom w:val="single" w:color="auto" w:sz="4" w:space="0"/>
              <w:right w:val="single" w:color="auto" w:sz="4" w:space="0"/>
            </w:tcBorders>
            <w:tcMar/>
            <w:vAlign w:val="center"/>
          </w:tcPr>
          <w:p w:rsidRPr="00254EF7" w:rsidR="00940FBC" w:rsidP="00940FBC" w:rsidRDefault="00940FBC" w14:paraId="78ED54CE" w14:textId="5A84D4B7">
            <w:pPr>
              <w:spacing w:after="0"/>
              <w:jc w:val="center"/>
              <w:rPr>
                <w:rFonts w:eastAsia="Times New Roman" w:cs="Times New Roman"/>
                <w:b/>
                <w:bCs/>
                <w:color w:val="000000" w:themeColor="text1"/>
                <w:sz w:val="20"/>
                <w:szCs w:val="20"/>
              </w:rPr>
            </w:pPr>
            <w:r>
              <w:rPr>
                <w:rFonts w:eastAsia="Times New Roman" w:cs="Times New Roman"/>
                <w:b/>
                <w:bCs/>
                <w:color w:val="000000" w:themeColor="text1"/>
                <w:sz w:val="20"/>
                <w:szCs w:val="20"/>
              </w:rPr>
              <w:t>No</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254EF7" w:rsidR="00940FBC" w:rsidP="005107B8" w:rsidRDefault="00940FBC" w14:paraId="3958E0EB" w14:textId="03629B52">
            <w:pPr>
              <w:spacing w:after="0"/>
              <w:jc w:val="center"/>
              <w:rPr>
                <w:sz w:val="20"/>
                <w:szCs w:val="20"/>
              </w:rPr>
            </w:pPr>
            <w:r w:rsidRPr="00254EF7">
              <w:rPr>
                <w:rFonts w:eastAsia="Times New Roman" w:cs="Times New Roman"/>
                <w:b/>
                <w:bCs/>
                <w:color w:val="000000" w:themeColor="text1"/>
                <w:sz w:val="20"/>
                <w:szCs w:val="20"/>
              </w:rPr>
              <w:t>Name</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254EF7" w:rsidR="00940FBC" w:rsidP="005107B8" w:rsidRDefault="00940FBC" w14:paraId="62D74584" w14:textId="46F63A7E">
            <w:pPr>
              <w:spacing w:after="0"/>
              <w:jc w:val="center"/>
              <w:rPr>
                <w:sz w:val="20"/>
                <w:szCs w:val="20"/>
              </w:rPr>
            </w:pPr>
            <w:r w:rsidRPr="00254EF7">
              <w:rPr>
                <w:rFonts w:eastAsia="Times New Roman" w:cs="Times New Roman"/>
                <w:b/>
                <w:bCs/>
                <w:color w:val="000000" w:themeColor="text1"/>
                <w:sz w:val="20"/>
                <w:szCs w:val="20"/>
              </w:rPr>
              <w:t>Description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254EF7" w:rsidR="00940FBC" w:rsidP="005107B8" w:rsidRDefault="00940FBC" w14:paraId="1A6530B7" w14:textId="18811B9C">
            <w:pPr>
              <w:spacing w:after="0"/>
              <w:jc w:val="center"/>
              <w:rPr>
                <w:sz w:val="20"/>
                <w:szCs w:val="20"/>
              </w:rPr>
            </w:pPr>
            <w:r w:rsidRPr="00254EF7">
              <w:rPr>
                <w:rFonts w:eastAsia="Times New Roman" w:cs="Times New Roman"/>
                <w:b/>
                <w:bCs/>
                <w:color w:val="000000" w:themeColor="text1"/>
                <w:sz w:val="20"/>
                <w:szCs w:val="20"/>
              </w:rPr>
              <w:t>Type</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254EF7" w:rsidR="00940FBC" w:rsidP="005107B8" w:rsidRDefault="00940FBC" w14:paraId="0A43D334" w14:textId="6584F21C">
            <w:pPr>
              <w:spacing w:after="0"/>
              <w:jc w:val="center"/>
              <w:rPr>
                <w:sz w:val="20"/>
                <w:szCs w:val="20"/>
              </w:rPr>
            </w:pPr>
            <w:r w:rsidRPr="00254EF7">
              <w:rPr>
                <w:rFonts w:eastAsia="Times New Roman" w:cs="Times New Roman"/>
                <w:b/>
                <w:bCs/>
                <w:color w:val="000000" w:themeColor="text1"/>
                <w:sz w:val="20"/>
                <w:szCs w:val="20"/>
              </w:rPr>
              <w:t>Mandatory / Optional</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254EF7" w:rsidR="00940FBC" w:rsidP="005107B8" w:rsidRDefault="00940FBC" w14:paraId="23D1457D" w14:textId="41D7E9B7">
            <w:pPr>
              <w:spacing w:after="0"/>
              <w:jc w:val="center"/>
              <w:rPr>
                <w:sz w:val="20"/>
                <w:szCs w:val="20"/>
              </w:rPr>
            </w:pPr>
            <w:r w:rsidRPr="00254EF7">
              <w:rPr>
                <w:rFonts w:eastAsia="Times New Roman" w:cs="Times New Roman"/>
                <w:b/>
                <w:bCs/>
                <w:color w:val="000000" w:themeColor="text1"/>
                <w:sz w:val="20"/>
                <w:szCs w:val="20"/>
              </w:rPr>
              <w:t>Justification</w:t>
            </w:r>
          </w:p>
        </w:tc>
      </w:tr>
      <w:tr w:rsidR="00940FBC" w:rsidTr="4E8ECCAA" w14:paraId="14EE2B8A" w14:textId="77777777">
        <w:trPr>
          <w:trHeight w:val="1125"/>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51DED647" w14:textId="3198AA12">
            <w:pPr>
              <w:spacing w:after="0"/>
              <w:rPr>
                <w:rFonts w:eastAsia="Times New Roman" w:cs="Times New Roman"/>
                <w:color w:val="000000" w:themeColor="text1"/>
                <w:sz w:val="20"/>
                <w:szCs w:val="20"/>
              </w:rPr>
            </w:pPr>
            <w:r>
              <w:rPr>
                <w:rFonts w:eastAsia="Times New Roman" w:cs="Times New Roman"/>
                <w:color w:val="000000" w:themeColor="text1"/>
                <w:sz w:val="20"/>
                <w:szCs w:val="20"/>
              </w:rPr>
              <w:t>1</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356E2682" w14:textId="1A6C900C">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NPAAC Standards</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536B1A0" w14:textId="77777777">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The National Pathology Accreditation Advisory Council (NPAAC) develops and maintains the accreditation standards for pathology laboratories in Australia.</w:t>
            </w:r>
          </w:p>
          <w:p w:rsidRPr="00254EF7" w:rsidR="00940FBC" w:rsidP="00D14F57" w:rsidRDefault="00940FBC" w14:paraId="3700EFB6" w14:textId="77777777">
            <w:pPr>
              <w:spacing w:after="0"/>
              <w:rPr>
                <w:rFonts w:eastAsia="Times New Roman" w:cs="Times New Roman"/>
                <w:color w:val="000000" w:themeColor="text1"/>
                <w:sz w:val="20"/>
                <w:szCs w:val="20"/>
              </w:rPr>
            </w:pPr>
          </w:p>
          <w:p w:rsidRPr="00254EF7" w:rsidR="00940FBC" w:rsidP="00D14F57" w:rsidRDefault="00940FBC" w14:paraId="5DC81713" w14:textId="412DB2BB">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These standards are developed to ensure consistency in pathology practice in Australia and protect the public from harm.</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02A298A" w14:textId="741C1E06">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Standard</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C8873B7" w14:textId="0A9D9B8D">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29CC127E" w14:textId="36F90B13">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 xml:space="preserve">The requirements are mandatory. They </w:t>
            </w:r>
            <w:r w:rsidRPr="00254EF7">
              <w:rPr>
                <w:rFonts w:eastAsia="Times New Roman" w:cs="Times New Roman"/>
                <w:b/>
                <w:bCs/>
                <w:color w:val="000000" w:themeColor="text1"/>
                <w:sz w:val="20"/>
                <w:szCs w:val="20"/>
              </w:rPr>
              <w:t>must</w:t>
            </w:r>
            <w:r w:rsidRPr="00254EF7">
              <w:rPr>
                <w:rFonts w:eastAsia="Times New Roman" w:cs="Times New Roman"/>
                <w:color w:val="000000" w:themeColor="text1"/>
                <w:sz w:val="20"/>
                <w:szCs w:val="20"/>
              </w:rPr>
              <w:t xml:space="preserve"> be met if a company wants to provide pathology services.</w:t>
            </w:r>
          </w:p>
        </w:tc>
      </w:tr>
      <w:tr w:rsidR="00940FBC" w:rsidTr="4E8ECCAA" w14:paraId="76785DD6" w14:textId="77777777">
        <w:trPr>
          <w:trHeight w:val="1125"/>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4CA65003" w14:textId="1614D6FF">
            <w:pPr>
              <w:spacing w:after="0"/>
              <w:rPr>
                <w:rFonts w:eastAsia="Times New Roman" w:cs="Times New Roman"/>
                <w:color w:val="000000" w:themeColor="text1"/>
                <w:sz w:val="20"/>
                <w:szCs w:val="20"/>
              </w:rPr>
            </w:pPr>
            <w:r>
              <w:rPr>
                <w:rFonts w:eastAsia="Times New Roman" w:cs="Times New Roman"/>
                <w:color w:val="000000" w:themeColor="text1"/>
                <w:sz w:val="20"/>
                <w:szCs w:val="20"/>
              </w:rPr>
              <w:t>2</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02AC425B" w14:textId="72EB6C4A">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Health Practitioner Regulation National Law</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257A3E07" w14:textId="62741B1D">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The Health Practitioner Regulation National Law (HPRNL) establishes the Australian Health Practitioner Regulation Agency (AHPRA) to manage applications for registration of health practitioners, receive an investigate reports and/or complaints of the conduct and performance of health practitioners, and to maintain a register (public) of health practitioners.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DAA6963" w14:textId="31668CFF">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Regulation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D99D972" w14:textId="7B85E39A">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237EC7D" w14:textId="3BDDDE4C">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While the HPRNL itself doesn’t specifically mention pathology, it applies to all practitioners in the health field. Pathologists are considered health practitioners and must comply with this law, which ensures qualification and competence.</w:t>
            </w:r>
          </w:p>
        </w:tc>
      </w:tr>
      <w:tr w:rsidR="00940FBC" w:rsidTr="4E8ECCAA" w14:paraId="74289135" w14:textId="77777777">
        <w:trPr>
          <w:trHeight w:val="1125"/>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14221FF0" w14:textId="3888C0EA">
            <w:pPr>
              <w:spacing w:after="0"/>
              <w:rPr>
                <w:rFonts w:eastAsia="Times New Roman" w:cs="Times New Roman"/>
                <w:color w:val="000000" w:themeColor="text1"/>
                <w:sz w:val="20"/>
                <w:szCs w:val="20"/>
              </w:rPr>
            </w:pPr>
            <w:r>
              <w:rPr>
                <w:rFonts w:eastAsia="Times New Roman" w:cs="Times New Roman"/>
                <w:color w:val="000000" w:themeColor="text1"/>
                <w:sz w:val="20"/>
                <w:szCs w:val="20"/>
              </w:rPr>
              <w:t>3</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DD74928" w14:textId="1ECC0680">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Therapeutic Goods Act (1989)</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7468473" w14:textId="37F77BC5">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This Act is administered by the Therapeutic Goods Administration (TGA).</w:t>
            </w:r>
            <w:r w:rsidRPr="00254EF7">
              <w:rPr>
                <w:sz w:val="20"/>
                <w:szCs w:val="20"/>
              </w:rPr>
              <w:br/>
            </w:r>
            <w:r w:rsidRPr="00254EF7">
              <w:rPr>
                <w:sz w:val="20"/>
                <w:szCs w:val="20"/>
              </w:rPr>
              <w:br/>
            </w:r>
            <w:r w:rsidRPr="00254EF7">
              <w:rPr>
                <w:rFonts w:eastAsia="Times New Roman" w:cs="Times New Roman"/>
                <w:color w:val="000000" w:themeColor="text1"/>
                <w:sz w:val="20"/>
                <w:szCs w:val="20"/>
              </w:rPr>
              <w:t>The TGA regulates therapeutic goods by:</w:t>
            </w:r>
          </w:p>
          <w:p w:rsidRPr="00254EF7" w:rsidR="00940FBC" w:rsidP="005573CD" w:rsidRDefault="00940FBC" w14:paraId="4B951B41" w14:textId="39878479">
            <w:pPr>
              <w:pStyle w:val="ListParagraph"/>
              <w:numPr>
                <w:ilvl w:val="0"/>
                <w:numId w:val="18"/>
              </w:num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Approving commercial supply of therapeutic goods for use in Australia.</w:t>
            </w:r>
          </w:p>
          <w:p w:rsidRPr="00254EF7" w:rsidR="00940FBC" w:rsidP="005573CD" w:rsidRDefault="00940FBC" w14:paraId="5695BA52" w14:textId="3B05636B">
            <w:pPr>
              <w:pStyle w:val="ListParagraph"/>
              <w:numPr>
                <w:ilvl w:val="0"/>
                <w:numId w:val="18"/>
              </w:num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Maintains an electronic register of therapeutic goods (called the ARTG).</w:t>
            </w:r>
          </w:p>
          <w:p w:rsidRPr="00254EF7" w:rsidR="00940FBC" w:rsidP="005573CD" w:rsidRDefault="00940FBC" w14:paraId="7E9588A2" w14:textId="77777777">
            <w:pPr>
              <w:pStyle w:val="ListParagraph"/>
              <w:numPr>
                <w:ilvl w:val="0"/>
                <w:numId w:val="18"/>
              </w:num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Monitors the safety of these therapeutic goods through various means (official reports, community complaints, etc.)</w:t>
            </w:r>
          </w:p>
          <w:p w:rsidRPr="00254EF7" w:rsidR="00940FBC" w:rsidP="005573CD" w:rsidRDefault="00940FBC" w14:paraId="771E7C2A" w14:textId="02881D25">
            <w:pPr>
              <w:pStyle w:val="ListParagraph"/>
              <w:numPr>
                <w:ilvl w:val="0"/>
                <w:numId w:val="18"/>
              </w:num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Approves products for manufacturing if they meet the required standards.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78E422E" w14:textId="6ECF6D44">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Regulation (Law)</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78DC057" w14:textId="4F15661B">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418BD71" w14:textId="26725737">
            <w:pPr>
              <w:spacing w:after="0"/>
              <w:rPr>
                <w:rFonts w:eastAsia="Times New Roman" w:cs="Times New Roman"/>
                <w:color w:val="000000" w:themeColor="text1"/>
                <w:sz w:val="20"/>
                <w:szCs w:val="20"/>
              </w:rPr>
            </w:pPr>
            <w:r w:rsidRPr="00254EF7">
              <w:rPr>
                <w:rFonts w:eastAsia="Times New Roman" w:cs="Times New Roman"/>
                <w:color w:val="000000" w:themeColor="text1"/>
                <w:sz w:val="20"/>
                <w:szCs w:val="20"/>
              </w:rPr>
              <w:t>Pathology labs must comply with the TGA regulations because the TGA ensures that the goods used for pathology diagnostic tests meet the safety, quality, and performance standards.</w:t>
            </w:r>
          </w:p>
        </w:tc>
      </w:tr>
      <w:tr w:rsidR="00940FBC" w:rsidTr="4E8ECCAA" w14:paraId="50B0079B" w14:textId="77777777">
        <w:trPr>
          <w:trHeight w:val="1125"/>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34A9E123" w14:textId="715DA766">
            <w:pPr>
              <w:spacing w:after="0"/>
              <w:rPr>
                <w:rFonts w:eastAsia="Times New Roman" w:cs="Times New Roman"/>
                <w:color w:val="000000" w:themeColor="text1"/>
                <w:sz w:val="20"/>
                <w:szCs w:val="20"/>
              </w:rPr>
            </w:pPr>
            <w:r>
              <w:rPr>
                <w:rFonts w:eastAsia="Times New Roman" w:cs="Times New Roman"/>
                <w:color w:val="000000" w:themeColor="text1"/>
                <w:sz w:val="20"/>
                <w:szCs w:val="20"/>
              </w:rPr>
              <w:t>4</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4AB2454" w14:textId="78DF96D2">
            <w:pPr>
              <w:spacing w:after="0"/>
              <w:rPr>
                <w:sz w:val="20"/>
                <w:szCs w:val="20"/>
              </w:rPr>
            </w:pPr>
            <w:r w:rsidRPr="00254EF7">
              <w:rPr>
                <w:rFonts w:eastAsia="Times New Roman" w:cs="Times New Roman"/>
                <w:color w:val="000000" w:themeColor="text1"/>
                <w:sz w:val="20"/>
                <w:szCs w:val="20"/>
              </w:rPr>
              <w:t xml:space="preserve">ISO/IEC 17025 </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FA08E32" w14:textId="3BB145BD">
            <w:pPr>
              <w:spacing w:after="0"/>
              <w:rPr>
                <w:sz w:val="20"/>
                <w:szCs w:val="20"/>
              </w:rPr>
            </w:pPr>
            <w:r w:rsidRPr="00254EF7">
              <w:rPr>
                <w:rFonts w:eastAsia="Times New Roman" w:cs="Times New Roman"/>
                <w:color w:val="000000" w:themeColor="text1"/>
                <w:sz w:val="20"/>
                <w:szCs w:val="20"/>
              </w:rPr>
              <w:t>It is an international standard for testing and calibration laboratories. It sets out requirements for the competence, impartiality, and consistent operation of laboratories, ensuring the accuracy and reliability of their testing and calibration results.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93DC361" w14:textId="30F06E00">
            <w:pPr>
              <w:spacing w:after="0"/>
              <w:rPr>
                <w:sz w:val="20"/>
                <w:szCs w:val="20"/>
              </w:rPr>
            </w:pPr>
            <w:r w:rsidRPr="00254EF7">
              <w:rPr>
                <w:rFonts w:eastAsia="Times New Roman" w:cs="Times New Roman"/>
                <w:color w:val="000000" w:themeColor="text1"/>
                <w:sz w:val="20"/>
                <w:szCs w:val="20"/>
              </w:rPr>
              <w:t>Standard</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30C0AF00" w14:textId="0C256178">
            <w:pPr>
              <w:spacing w:after="0"/>
              <w:rPr>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BAE1F10" w14:textId="755E9F16">
            <w:pPr>
              <w:spacing w:after="0"/>
              <w:rPr>
                <w:sz w:val="20"/>
                <w:szCs w:val="20"/>
              </w:rPr>
            </w:pPr>
            <w:r w:rsidRPr="00254EF7">
              <w:rPr>
                <w:rFonts w:eastAsia="Times New Roman" w:cs="Times New Roman"/>
                <w:color w:val="000000" w:themeColor="text1"/>
                <w:sz w:val="20"/>
                <w:szCs w:val="20"/>
              </w:rPr>
              <w:t xml:space="preserve">This standard is mandatory for </w:t>
            </w:r>
            <w:proofErr w:type="spellStart"/>
            <w:r w:rsidRPr="00254EF7">
              <w:rPr>
                <w:rFonts w:eastAsia="Times New Roman" w:cs="Times New Roman"/>
                <w:color w:val="000000" w:themeColor="text1"/>
                <w:sz w:val="20"/>
                <w:szCs w:val="20"/>
              </w:rPr>
              <w:t>Primehealth's</w:t>
            </w:r>
            <w:proofErr w:type="spellEnd"/>
            <w:r w:rsidRPr="00254EF7">
              <w:rPr>
                <w:rFonts w:eastAsia="Times New Roman" w:cs="Times New Roman"/>
                <w:color w:val="000000" w:themeColor="text1"/>
                <w:sz w:val="20"/>
                <w:szCs w:val="20"/>
              </w:rPr>
              <w:t xml:space="preserve"> laboratories as it enhances the credibility of testing and calibration work, fostering trust among clients and regulatory authorities</w:t>
            </w:r>
          </w:p>
        </w:tc>
      </w:tr>
      <w:tr w:rsidR="00940FBC" w:rsidTr="4E8ECCAA" w14:paraId="39FD13D9" w14:textId="77777777">
        <w:trPr>
          <w:trHeight w:val="84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0591D98D" w14:textId="30EBDE74">
            <w:pPr>
              <w:spacing w:after="0"/>
              <w:rPr>
                <w:rFonts w:eastAsia="Times New Roman" w:cs="Times New Roman"/>
                <w:color w:val="000000" w:themeColor="text1"/>
                <w:sz w:val="20"/>
                <w:szCs w:val="20"/>
              </w:rPr>
            </w:pPr>
            <w:r>
              <w:rPr>
                <w:rFonts w:eastAsia="Times New Roman" w:cs="Times New Roman"/>
                <w:color w:val="000000" w:themeColor="text1"/>
                <w:sz w:val="20"/>
                <w:szCs w:val="20"/>
              </w:rPr>
              <w:t>5</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05FDBEBA" w14:textId="68830634">
            <w:pPr>
              <w:spacing w:after="0"/>
              <w:rPr>
                <w:sz w:val="20"/>
                <w:szCs w:val="20"/>
              </w:rPr>
            </w:pPr>
            <w:r w:rsidRPr="00254EF7">
              <w:rPr>
                <w:rFonts w:eastAsia="Times New Roman" w:cs="Times New Roman"/>
                <w:color w:val="000000" w:themeColor="text1"/>
                <w:sz w:val="20"/>
                <w:szCs w:val="20"/>
              </w:rPr>
              <w:t>Spam Act 2003</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B388B9E" w14:textId="1D6F8AB8">
            <w:pPr>
              <w:spacing w:after="0"/>
              <w:rPr>
                <w:sz w:val="20"/>
                <w:szCs w:val="20"/>
              </w:rPr>
            </w:pPr>
            <w:r w:rsidRPr="00254EF7">
              <w:rPr>
                <w:rFonts w:eastAsia="Times New Roman" w:cs="Times New Roman"/>
                <w:color w:val="000000" w:themeColor="text1"/>
                <w:sz w:val="20"/>
                <w:szCs w:val="20"/>
              </w:rPr>
              <w:t>It is an Australian law that regulates commercial electronic messages. It prohibits the sending of unrequested commercial electronic messages—known as spam—with an Australian link.</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314EBD8C" w14:textId="62F19CEA">
            <w:pPr>
              <w:spacing w:after="0"/>
              <w:rPr>
                <w:sz w:val="20"/>
                <w:szCs w:val="20"/>
              </w:rPr>
            </w:pPr>
            <w:r w:rsidRPr="00254EF7">
              <w:rPr>
                <w:rFonts w:eastAsia="Times New Roman" w:cs="Times New Roman"/>
                <w:color w:val="000000" w:themeColor="text1"/>
                <w:sz w:val="20"/>
                <w:szCs w:val="20"/>
              </w:rPr>
              <w:t>Regulation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2D4DFD71" w14:textId="2B8A88EA">
            <w:pPr>
              <w:spacing w:after="0"/>
              <w:rPr>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E9C3F05" w14:textId="3F2177F7">
            <w:pPr>
              <w:spacing w:after="0"/>
              <w:rPr>
                <w:sz w:val="20"/>
                <w:szCs w:val="20"/>
              </w:rPr>
            </w:pPr>
            <w:r w:rsidRPr="00254EF7">
              <w:rPr>
                <w:rFonts w:eastAsia="Times New Roman" w:cs="Times New Roman"/>
                <w:color w:val="000000" w:themeColor="text1"/>
                <w:sz w:val="20"/>
                <w:szCs w:val="20"/>
              </w:rPr>
              <w:t xml:space="preserve">The Spam Act 2003 is mandatory for </w:t>
            </w:r>
            <w:proofErr w:type="spellStart"/>
            <w:r w:rsidRPr="00254EF7">
              <w:rPr>
                <w:rFonts w:eastAsia="Times New Roman" w:cs="Times New Roman"/>
                <w:color w:val="000000" w:themeColor="text1"/>
                <w:sz w:val="20"/>
                <w:szCs w:val="20"/>
              </w:rPr>
              <w:t>Primehealth</w:t>
            </w:r>
            <w:proofErr w:type="spellEnd"/>
            <w:r w:rsidRPr="00254EF7">
              <w:rPr>
                <w:rFonts w:eastAsia="Times New Roman" w:cs="Times New Roman"/>
                <w:color w:val="000000" w:themeColor="text1"/>
                <w:sz w:val="20"/>
                <w:szCs w:val="20"/>
              </w:rPr>
              <w:t xml:space="preserve"> to ensure email communications to clients are conducted legally, including obtaining proper consent, providing clear opt-out options, and avoiding unsolicited messages.</w:t>
            </w:r>
          </w:p>
        </w:tc>
      </w:tr>
      <w:tr w:rsidR="00940FBC" w:rsidTr="4E8ECCAA" w14:paraId="7E95037C"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70372504" w14:textId="63C1DF48">
            <w:pPr>
              <w:rPr>
                <w:sz w:val="20"/>
                <w:szCs w:val="20"/>
              </w:rPr>
            </w:pPr>
            <w:r>
              <w:rPr>
                <w:sz w:val="20"/>
                <w:szCs w:val="20"/>
              </w:rPr>
              <w:t>6</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05D4E109" w14:textId="7EE9F3B3">
            <w:pPr>
              <w:rPr>
                <w:sz w:val="20"/>
                <w:szCs w:val="20"/>
              </w:rPr>
            </w:pPr>
            <w:r w:rsidRPr="00254EF7">
              <w:rPr>
                <w:sz w:val="20"/>
                <w:szCs w:val="20"/>
              </w:rPr>
              <w:t>Australian Cyber Security Centre (ACSC) Essential Eight</w:t>
            </w:r>
          </w:p>
          <w:p w:rsidRPr="00254EF7" w:rsidR="00940FBC" w:rsidP="00D14F57" w:rsidRDefault="00940FBC" w14:paraId="01951C5D" w14:textId="4FF53269">
            <w:pPr>
              <w:rPr>
                <w:rFonts w:eastAsia="Times New Roman" w:cs="Times New Roman"/>
                <w:color w:val="000000" w:themeColor="text1"/>
                <w:sz w:val="20"/>
                <w:szCs w:val="20"/>
              </w:rPr>
            </w:pP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B3C3BD5" w14:textId="0DF1573F">
            <w:pPr>
              <w:rPr>
                <w:rFonts w:eastAsia="Times New Roman" w:cs="Times New Roman"/>
                <w:sz w:val="20"/>
                <w:szCs w:val="20"/>
              </w:rPr>
            </w:pPr>
            <w:r w:rsidRPr="00254EF7">
              <w:rPr>
                <w:rFonts w:eastAsia="Times New Roman" w:cs="Times New Roman"/>
                <w:sz w:val="20"/>
                <w:szCs w:val="20"/>
              </w:rPr>
              <w:t xml:space="preserve">The Australian Cyber Security Centre (ACSC) established the Essential 8 cyber security framework, which is a </w:t>
            </w:r>
            <w:proofErr w:type="spellStart"/>
            <w:r w:rsidRPr="00254EF7">
              <w:rPr>
                <w:rFonts w:eastAsia="Times New Roman" w:cs="Times New Roman"/>
                <w:sz w:val="20"/>
                <w:szCs w:val="20"/>
              </w:rPr>
              <w:t>prioritised</w:t>
            </w:r>
            <w:proofErr w:type="spellEnd"/>
            <w:r w:rsidRPr="00254EF7">
              <w:rPr>
                <w:rFonts w:eastAsia="Times New Roman" w:cs="Times New Roman"/>
                <w:sz w:val="20"/>
                <w:szCs w:val="20"/>
              </w:rPr>
              <w:t xml:space="preserve"> list of eight mitigation methods aimed to strengthen an organization's resistance to different cyber-attacks. This framework is essential for protecting sensitive data and maintaining strong security systems. </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08F33FF7" w14:textId="4C9FA7B9">
            <w:pPr>
              <w:rPr>
                <w:rFonts w:eastAsia="Times New Roman" w:cs="Times New Roman"/>
                <w:color w:val="000000" w:themeColor="text1"/>
                <w:sz w:val="20"/>
                <w:szCs w:val="20"/>
              </w:rPr>
            </w:pPr>
            <w:r w:rsidRPr="00254EF7">
              <w:rPr>
                <w:rFonts w:eastAsia="Times New Roman" w:cs="Times New Roman"/>
                <w:color w:val="000000" w:themeColor="text1"/>
                <w:sz w:val="20"/>
                <w:szCs w:val="20"/>
              </w:rPr>
              <w:t>Regulation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12B988C" w14:textId="273D700D">
            <w:pPr>
              <w:rPr>
                <w:rFonts w:eastAsia="Times New Roman" w:cs="Times New Roman"/>
                <w:color w:val="000000" w:themeColor="text1"/>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E1B28DF" w14:textId="29B3727A">
            <w:pPr>
              <w:rPr>
                <w:sz w:val="20"/>
                <w:szCs w:val="20"/>
              </w:rPr>
            </w:pPr>
            <w:r w:rsidRPr="00254EF7">
              <w:rPr>
                <w:rFonts w:eastAsia="Times New Roman" w:cs="Times New Roman"/>
                <w:sz w:val="20"/>
                <w:szCs w:val="20"/>
              </w:rPr>
              <w:t>Implementing the ACSC Essential Eight at Prime Health Clinic and Diagnostics will improve cybersecurity by safeguarding sensitive data, maintaining regulatory compliance, and mitigating risks. These approaches will increase patient trust, enhance incident response, and promote a security-conscious culture among personnel. Finally, this approach will help us maintain operational efficiency and protect our vital healthcare assets.</w:t>
            </w:r>
          </w:p>
        </w:tc>
      </w:tr>
      <w:tr w:rsidR="00940FBC" w:rsidTr="4E8ECCAA" w14:paraId="1807CA26"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01CA5519" w14:textId="1F9FB083">
            <w:pPr>
              <w:rPr>
                <w:sz w:val="20"/>
                <w:szCs w:val="20"/>
              </w:rPr>
            </w:pPr>
            <w:r>
              <w:rPr>
                <w:sz w:val="20"/>
                <w:szCs w:val="20"/>
              </w:rPr>
              <w:t>7</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366AD333" w14:textId="3F963DB6">
            <w:pPr>
              <w:rPr>
                <w:sz w:val="20"/>
                <w:szCs w:val="20"/>
              </w:rPr>
            </w:pPr>
            <w:r w:rsidRPr="00254EF7">
              <w:rPr>
                <w:sz w:val="20"/>
                <w:szCs w:val="20"/>
              </w:rPr>
              <w:t>Digital Transformation Agency (DTA) Secure Cloud Strategy</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301B76D" w14:textId="28623579">
            <w:pPr>
              <w:rPr>
                <w:sz w:val="20"/>
                <w:szCs w:val="20"/>
              </w:rPr>
            </w:pPr>
            <w:r w:rsidRPr="00254EF7">
              <w:rPr>
                <w:rFonts w:eastAsia="Times New Roman" w:cs="Times New Roman"/>
                <w:sz w:val="20"/>
                <w:szCs w:val="20"/>
              </w:rPr>
              <w:t xml:space="preserve">The Digital Transformation Agency's (DTA) Secure Cloud Strategy provides guidance for Australian government entities to implement secure cloud computing practices. It </w:t>
            </w:r>
            <w:proofErr w:type="spellStart"/>
            <w:r w:rsidRPr="00254EF7">
              <w:rPr>
                <w:rFonts w:eastAsia="Times New Roman" w:cs="Times New Roman"/>
                <w:sz w:val="20"/>
                <w:szCs w:val="20"/>
              </w:rPr>
              <w:t>emphasises</w:t>
            </w:r>
            <w:proofErr w:type="spellEnd"/>
            <w:r w:rsidRPr="00254EF7">
              <w:rPr>
                <w:rFonts w:eastAsia="Times New Roman" w:cs="Times New Roman"/>
                <w:sz w:val="20"/>
                <w:szCs w:val="20"/>
              </w:rPr>
              <w:t xml:space="preserve"> risk management, data sovereignty, security measures, and regulatory compliance. </w:t>
            </w:r>
            <w:proofErr w:type="spellStart"/>
            <w:r w:rsidRPr="00254EF7">
              <w:rPr>
                <w:rFonts w:eastAsia="Times New Roman" w:cs="Times New Roman"/>
                <w:sz w:val="20"/>
                <w:szCs w:val="20"/>
              </w:rPr>
              <w:t>Organisations</w:t>
            </w:r>
            <w:proofErr w:type="spellEnd"/>
            <w:r w:rsidRPr="00254EF7">
              <w:rPr>
                <w:rFonts w:eastAsia="Times New Roman" w:cs="Times New Roman"/>
                <w:sz w:val="20"/>
                <w:szCs w:val="20"/>
              </w:rPr>
              <w:t xml:space="preserve"> that use secure cloud services may increase operational efficiency, improve service delivery, and protect sensitive data while remaining agile in digital transformation activities.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537DEDC" w14:textId="16BF237B">
            <w:pPr>
              <w:rPr>
                <w:rFonts w:eastAsia="Times New Roman" w:cs="Times New Roman"/>
                <w:color w:val="000000" w:themeColor="text1"/>
                <w:sz w:val="20"/>
                <w:szCs w:val="20"/>
              </w:rPr>
            </w:pPr>
            <w:r w:rsidRPr="00254EF7">
              <w:rPr>
                <w:rFonts w:eastAsia="Times New Roman" w:cs="Times New Roman"/>
                <w:color w:val="000000" w:themeColor="text1"/>
                <w:sz w:val="20"/>
                <w:szCs w:val="20"/>
              </w:rPr>
              <w:t>Regulation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828C1D5" w14:textId="4A55C227">
            <w:pPr>
              <w:rPr>
                <w:rFonts w:eastAsia="Times New Roman" w:cs="Times New Roman"/>
                <w:color w:val="000000" w:themeColor="text1"/>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116F7C63" w14:textId="2F0E558F">
            <w:pPr>
              <w:rPr>
                <w:sz w:val="20"/>
                <w:szCs w:val="20"/>
              </w:rPr>
            </w:pPr>
            <w:r w:rsidRPr="00254EF7">
              <w:rPr>
                <w:rFonts w:eastAsia="Times New Roman" w:cs="Times New Roman"/>
                <w:sz w:val="20"/>
                <w:szCs w:val="20"/>
              </w:rPr>
              <w:t>Adopting the DTA Secure Cloud Strategy will benefit Prime Health Clinic and Diagnostics by strengthening data security, complying with Australian standards, and increasing operational efficiency. It enables us to rapidly grow services, preserve sensitive patient data, and save infrastructure expenses. This model also promotes innovation, allowing us to swiftly integrate new technologies and improve healthcare services while retaining trust and data sovereignty.</w:t>
            </w:r>
          </w:p>
        </w:tc>
      </w:tr>
      <w:tr w:rsidR="00940FBC" w:rsidTr="4E8ECCAA" w14:paraId="5CE8D1E9"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402F33CB" w14:textId="4C4365E2">
            <w:pPr>
              <w:rPr>
                <w:color w:val="000000" w:themeColor="text1"/>
                <w:sz w:val="20"/>
                <w:szCs w:val="20"/>
              </w:rPr>
            </w:pPr>
            <w:r>
              <w:rPr>
                <w:color w:val="000000" w:themeColor="text1"/>
                <w:sz w:val="20"/>
                <w:szCs w:val="20"/>
              </w:rPr>
              <w:t>8</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0D479B97" w14:textId="1C59E83D">
            <w:pPr>
              <w:rPr>
                <w:color w:val="000000" w:themeColor="text1"/>
                <w:sz w:val="20"/>
                <w:szCs w:val="20"/>
              </w:rPr>
            </w:pPr>
            <w:r w:rsidRPr="00254EF7">
              <w:rPr>
                <w:color w:val="000000" w:themeColor="text1"/>
                <w:sz w:val="20"/>
                <w:szCs w:val="20"/>
              </w:rPr>
              <w:t>Health Records and Information Privacy Act 2002 (HRIP Act)</w:t>
            </w:r>
          </w:p>
          <w:p w:rsidRPr="00254EF7" w:rsidR="00940FBC" w:rsidP="00D14F57" w:rsidRDefault="00940FBC" w14:paraId="040FE7C9" w14:textId="2F8E25E4">
            <w:pPr>
              <w:rPr>
                <w:b/>
                <w:bCs/>
                <w:sz w:val="20"/>
                <w:szCs w:val="20"/>
              </w:rPr>
            </w:pP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194A763" w14:textId="7CE3012C">
            <w:pPr>
              <w:rPr>
                <w:sz w:val="20"/>
                <w:szCs w:val="20"/>
              </w:rPr>
            </w:pPr>
            <w:r w:rsidRPr="00254EF7">
              <w:rPr>
                <w:rFonts w:eastAsia="Times New Roman" w:cs="Times New Roman"/>
                <w:color w:val="000000" w:themeColor="text1"/>
                <w:sz w:val="20"/>
                <w:szCs w:val="20"/>
              </w:rPr>
              <w:t xml:space="preserve">The </w:t>
            </w:r>
            <w:r w:rsidRPr="00254EF7">
              <w:rPr>
                <w:rFonts w:eastAsia="Times New Roman" w:cs="Times New Roman"/>
                <w:b/>
                <w:bCs/>
                <w:color w:val="000000" w:themeColor="text1"/>
                <w:sz w:val="20"/>
                <w:szCs w:val="20"/>
              </w:rPr>
              <w:t>HRIP Act</w:t>
            </w:r>
            <w:r w:rsidRPr="00254EF7">
              <w:rPr>
                <w:rFonts w:eastAsia="Times New Roman" w:cs="Times New Roman"/>
                <w:color w:val="000000" w:themeColor="text1"/>
                <w:sz w:val="20"/>
                <w:szCs w:val="20"/>
              </w:rPr>
              <w:t xml:space="preserve"> is a New South Wales (NSW) law governing the management of health information. It establishes rules for how personal health data should be collected, stored, accessed, and disclosed. The Act provides a framework of 15 Health Privacy Principles (HPPs) that organizations must follow to protect patient confidentiality and privacy.</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DDF026E" w14:textId="445765F3">
            <w:pPr>
              <w:rPr>
                <w:rFonts w:eastAsia="Times New Roman" w:cs="Times New Roman"/>
                <w:color w:val="000000" w:themeColor="text1"/>
                <w:sz w:val="20"/>
                <w:szCs w:val="20"/>
              </w:rPr>
            </w:pPr>
            <w:r w:rsidRPr="00254EF7">
              <w:rPr>
                <w:rFonts w:eastAsia="Times New Roman" w:cs="Times New Roman"/>
                <w:color w:val="000000" w:themeColor="text1"/>
                <w:sz w:val="20"/>
                <w:szCs w:val="20"/>
              </w:rPr>
              <w:t>Regulation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A3E7B36" w14:textId="2192F7D2">
            <w:pPr>
              <w:rPr>
                <w:rFonts w:eastAsia="Times New Roman" w:cs="Times New Roman"/>
                <w:color w:val="000000" w:themeColor="text1"/>
                <w:sz w:val="20"/>
                <w:szCs w:val="20"/>
              </w:rPr>
            </w:pPr>
            <w:r w:rsidRPr="00254EF7">
              <w:rPr>
                <w:rFonts w:eastAsia="Times New Roman" w:cs="Times New Roman"/>
                <w:color w:val="000000" w:themeColor="text1"/>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F447956" w14:textId="34533725">
            <w:pPr>
              <w:rPr>
                <w:sz w:val="20"/>
                <w:szCs w:val="20"/>
              </w:rPr>
            </w:pPr>
            <w:r w:rsidRPr="00254EF7">
              <w:rPr>
                <w:rFonts w:eastAsia="Times New Roman" w:cs="Times New Roman"/>
                <w:color w:val="000000" w:themeColor="text1"/>
                <w:sz w:val="20"/>
                <w:szCs w:val="20"/>
              </w:rPr>
              <w:t xml:space="preserve">Compliance with the HRIP Act ensures that </w:t>
            </w:r>
            <w:proofErr w:type="spellStart"/>
            <w:r w:rsidRPr="00254EF7">
              <w:rPr>
                <w:rFonts w:eastAsia="Times New Roman" w:cs="Times New Roman"/>
                <w:color w:val="000000" w:themeColor="text1"/>
                <w:sz w:val="20"/>
                <w:szCs w:val="20"/>
              </w:rPr>
              <w:t>PrimeHealth</w:t>
            </w:r>
            <w:proofErr w:type="spellEnd"/>
            <w:r w:rsidRPr="00254EF7">
              <w:rPr>
                <w:rFonts w:eastAsia="Times New Roman" w:cs="Times New Roman"/>
                <w:color w:val="000000" w:themeColor="text1"/>
                <w:sz w:val="20"/>
                <w:szCs w:val="20"/>
              </w:rPr>
              <w:t xml:space="preserve"> Clinic protects patient health information, maintains trust, and avoids legal penalties. The Act mandates the secure management of sensitive health data to protect individual privacy and prevent unauthorized access or breaches. For clinics, it ensures that patient health records are handled in line with the privacy expectations set by law.</w:t>
            </w:r>
          </w:p>
        </w:tc>
      </w:tr>
      <w:tr w:rsidR="00940FBC" w:rsidTr="4E8ECCAA" w14:paraId="6D848A42"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016FC5C7" w14:textId="50A87634">
            <w:pPr>
              <w:rPr>
                <w:color w:val="000000" w:themeColor="text1"/>
                <w:sz w:val="20"/>
                <w:szCs w:val="20"/>
              </w:rPr>
            </w:pPr>
            <w:r>
              <w:rPr>
                <w:color w:val="000000" w:themeColor="text1"/>
                <w:sz w:val="20"/>
                <w:szCs w:val="20"/>
              </w:rPr>
              <w:t>9</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1DD9651D" w14:textId="1659787B">
            <w:pPr>
              <w:rPr>
                <w:color w:val="000000" w:themeColor="text1"/>
                <w:sz w:val="20"/>
                <w:szCs w:val="20"/>
              </w:rPr>
            </w:pPr>
            <w:r w:rsidRPr="00254EF7">
              <w:rPr>
                <w:color w:val="000000" w:themeColor="text1"/>
                <w:sz w:val="20"/>
                <w:szCs w:val="20"/>
              </w:rPr>
              <w:t>COBIT (Control Objectives for Information and Related Technologies)</w:t>
            </w:r>
          </w:p>
          <w:p w:rsidRPr="00254EF7" w:rsidR="00940FBC" w:rsidP="00D14F57" w:rsidRDefault="00940FBC" w14:paraId="63119063" w14:textId="7675ED2E">
            <w:pPr>
              <w:rPr>
                <w:color w:val="000000" w:themeColor="text1"/>
                <w:sz w:val="20"/>
                <w:szCs w:val="20"/>
              </w:rPr>
            </w:pP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0300A242" w14:textId="060F5D2C">
            <w:pPr>
              <w:rPr>
                <w:sz w:val="20"/>
                <w:szCs w:val="20"/>
              </w:rPr>
            </w:pPr>
            <w:r w:rsidRPr="00254EF7">
              <w:rPr>
                <w:rFonts w:eastAsia="Times New Roman" w:cs="Times New Roman"/>
                <w:b/>
                <w:bCs/>
                <w:color w:val="000000" w:themeColor="text1"/>
                <w:sz w:val="20"/>
                <w:szCs w:val="20"/>
              </w:rPr>
              <w:t>COBIT</w:t>
            </w:r>
            <w:r w:rsidRPr="00254EF7">
              <w:rPr>
                <w:rFonts w:eastAsia="Times New Roman" w:cs="Times New Roman"/>
                <w:color w:val="000000" w:themeColor="text1"/>
                <w:sz w:val="20"/>
                <w:szCs w:val="20"/>
              </w:rPr>
              <w:t xml:space="preserve"> is a globally recognized framework for IT governance and management. It provides a comprehensive structure for aligning IT operations with business goals while ensuring compliance with regulatory requirements, risk management, and robust security measures. COBIT covers aspects like information security, risk management, and performance evaluation to help organizations manage their IT and data governance processes effectively.</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AC823E8" w14:textId="01E7D44E">
            <w:pPr>
              <w:rPr>
                <w:rFonts w:eastAsia="Times New Roman" w:cs="Times New Roman"/>
                <w:color w:val="000000" w:themeColor="text1"/>
                <w:sz w:val="20"/>
                <w:szCs w:val="20"/>
              </w:rPr>
            </w:pPr>
            <w:r w:rsidRPr="00254EF7">
              <w:rPr>
                <w:rFonts w:eastAsia="Times New Roman" w:cs="Times New Roman"/>
                <w:color w:val="000000" w:themeColor="text1"/>
                <w:sz w:val="20"/>
                <w:szCs w:val="20"/>
              </w:rPr>
              <w:t>Framework</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A60329A" w14:textId="0675C418">
            <w:pPr>
              <w:rPr>
                <w:rFonts w:eastAsia="Times New Roman" w:cs="Times New Roman"/>
                <w:color w:val="000000" w:themeColor="text1"/>
                <w:sz w:val="20"/>
                <w:szCs w:val="20"/>
              </w:rPr>
            </w:pPr>
            <w:r w:rsidRPr="00254EF7">
              <w:rPr>
                <w:rFonts w:eastAsia="Times New Roman" w:cs="Times New Roman"/>
                <w:color w:val="000000" w:themeColor="text1"/>
                <w:sz w:val="20"/>
                <w:szCs w:val="20"/>
              </w:rPr>
              <w:t>Optional</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3BC71D0D" w14:textId="2920BAC0">
            <w:pPr>
              <w:rPr>
                <w:sz w:val="20"/>
                <w:szCs w:val="20"/>
              </w:rPr>
            </w:pPr>
            <w:r w:rsidRPr="00254EF7">
              <w:rPr>
                <w:rFonts w:eastAsia="Times New Roman" w:cs="Times New Roman"/>
                <w:color w:val="000000" w:themeColor="text1"/>
                <w:sz w:val="20"/>
                <w:szCs w:val="20"/>
              </w:rPr>
              <w:t xml:space="preserve">Implementing COBIT helps </w:t>
            </w:r>
            <w:proofErr w:type="spellStart"/>
            <w:r w:rsidRPr="00254EF7">
              <w:rPr>
                <w:rFonts w:eastAsia="Times New Roman" w:cs="Times New Roman"/>
                <w:color w:val="000000" w:themeColor="text1"/>
                <w:sz w:val="20"/>
                <w:szCs w:val="20"/>
              </w:rPr>
              <w:t>PrimeHealth</w:t>
            </w:r>
            <w:proofErr w:type="spellEnd"/>
            <w:r w:rsidRPr="00254EF7">
              <w:rPr>
                <w:rFonts w:eastAsia="Times New Roman" w:cs="Times New Roman"/>
                <w:color w:val="000000" w:themeColor="text1"/>
                <w:sz w:val="20"/>
                <w:szCs w:val="20"/>
              </w:rPr>
              <w:t xml:space="preserve"> ensure that its IT infrastructure supports healthcare services efficiently while complying with regulations like the HRIP Act. It promotes better risk management, data security, and governance of health information systems. Although not mandatory, COBIT can significantly improve IT governance, helping the clinic align its technology management with broader business and compliance goals.</w:t>
            </w:r>
          </w:p>
        </w:tc>
      </w:tr>
      <w:tr w:rsidR="00940FBC" w:rsidTr="4E8ECCAA" w14:paraId="2E1A41FA"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772BFB93" w14:textId="02D9C80E">
            <w:pPr>
              <w:rPr>
                <w:rFonts w:eastAsia="Aptos" w:cs="Aptos"/>
                <w:sz w:val="20"/>
                <w:szCs w:val="20"/>
              </w:rPr>
            </w:pPr>
            <w:r>
              <w:rPr>
                <w:rFonts w:eastAsia="Aptos" w:cs="Aptos"/>
                <w:sz w:val="20"/>
                <w:szCs w:val="20"/>
              </w:rPr>
              <w:t>10</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D3B25F9" w14:textId="01CB814C">
            <w:pPr>
              <w:rPr>
                <w:rFonts w:eastAsia="Aptos" w:cs="Aptos"/>
                <w:sz w:val="20"/>
                <w:szCs w:val="20"/>
              </w:rPr>
            </w:pPr>
            <w:r w:rsidRPr="00254EF7">
              <w:rPr>
                <w:rFonts w:eastAsia="Aptos" w:cs="Aptos"/>
                <w:sz w:val="20"/>
                <w:szCs w:val="20"/>
              </w:rPr>
              <w:t>Work Health and Safety Act 2011 (WHS Act)</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773D486B" w14:textId="72472DB8">
            <w:pPr>
              <w:rPr>
                <w:sz w:val="20"/>
                <w:szCs w:val="20"/>
              </w:rPr>
            </w:pPr>
            <w:r w:rsidRPr="00254EF7">
              <w:rPr>
                <w:rFonts w:eastAsia="Times New Roman" w:cs="Times New Roman"/>
                <w:sz w:val="20"/>
                <w:szCs w:val="20"/>
              </w:rPr>
              <w:t>A framework to ensure the health and safety of workers and workplaces in Australia, outlining the responsibilities of PCBUs, rights of workers, and incident notification procedures.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470E4F1F" w14:textId="5B0C48B1">
            <w:pPr>
              <w:rPr>
                <w:sz w:val="20"/>
                <w:szCs w:val="20"/>
              </w:rPr>
            </w:pPr>
            <w:r w:rsidRPr="00254EF7">
              <w:rPr>
                <w:rFonts w:eastAsia="Times New Roman" w:cs="Times New Roman"/>
                <w:sz w:val="20"/>
                <w:szCs w:val="20"/>
              </w:rPr>
              <w:t>Legislation</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B70A0BE" w14:textId="09F26CB3">
            <w:pPr>
              <w:rPr>
                <w:sz w:val="20"/>
                <w:szCs w:val="20"/>
              </w:rPr>
            </w:pPr>
            <w:r w:rsidRPr="00254EF7">
              <w:rPr>
                <w:rFonts w:eastAsia="Times New Roman" w:cs="Times New Roman"/>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2E589547" w14:textId="2AA4D326">
            <w:pPr>
              <w:rPr>
                <w:sz w:val="20"/>
                <w:szCs w:val="20"/>
              </w:rPr>
            </w:pPr>
            <w:r w:rsidRPr="00254EF7">
              <w:rPr>
                <w:rFonts w:eastAsia="Times New Roman" w:cs="Times New Roman"/>
                <w:sz w:val="20"/>
                <w:szCs w:val="20"/>
              </w:rPr>
              <w:t>Compliance with the WHS Act is required by law to protect worker safety, minimize risks, and avoid legal penalties, thus fostering a safe working environment.</w:t>
            </w:r>
          </w:p>
        </w:tc>
      </w:tr>
      <w:tr w:rsidR="00940FBC" w:rsidTr="4E8ECCAA" w14:paraId="0858A305"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D14F57" w:rsidRDefault="00940FBC" w14:paraId="7BB9D5D3" w14:textId="3D085AB4">
            <w:pPr>
              <w:rPr>
                <w:rFonts w:eastAsia="Aptos" w:cs="Aptos"/>
                <w:sz w:val="20"/>
                <w:szCs w:val="20"/>
              </w:rPr>
            </w:pPr>
            <w:r>
              <w:rPr>
                <w:rFonts w:eastAsia="Aptos" w:cs="Aptos"/>
                <w:sz w:val="20"/>
                <w:szCs w:val="20"/>
              </w:rPr>
              <w:t>11</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DA4CE1B" w14:textId="0420DC8E">
            <w:pPr>
              <w:rPr>
                <w:rFonts w:eastAsia="Aptos" w:cs="Aptos"/>
                <w:sz w:val="20"/>
                <w:szCs w:val="20"/>
              </w:rPr>
            </w:pPr>
            <w:r w:rsidRPr="00254EF7">
              <w:rPr>
                <w:rFonts w:eastAsia="Aptos" w:cs="Aptos"/>
                <w:sz w:val="20"/>
                <w:szCs w:val="20"/>
              </w:rPr>
              <w:t>National Safety and Quality Health Service Standards (NSQHS)</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67CD699A" w14:textId="0446B150">
            <w:pPr>
              <w:rPr>
                <w:sz w:val="20"/>
                <w:szCs w:val="20"/>
              </w:rPr>
            </w:pPr>
            <w:r w:rsidRPr="00254EF7">
              <w:rPr>
                <w:rFonts w:eastAsia="Times New Roman" w:cs="Times New Roman"/>
                <w:sz w:val="20"/>
                <w:szCs w:val="20"/>
              </w:rPr>
              <w:t>A set of standards aimed at improving the safety and quality of health services in Australia, focusing on various aspects such as clinical governance, patient safety, and comprehensive care.</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5E42E23A" w14:textId="5A0BEC37">
            <w:pPr>
              <w:rPr>
                <w:sz w:val="20"/>
                <w:szCs w:val="20"/>
              </w:rPr>
            </w:pPr>
            <w:r w:rsidRPr="00254EF7">
              <w:rPr>
                <w:rFonts w:eastAsia="Times New Roman" w:cs="Times New Roman"/>
                <w:sz w:val="20"/>
                <w:szCs w:val="20"/>
              </w:rPr>
              <w:t>Standards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15855DA2" w14:textId="2E7433A8">
            <w:pPr>
              <w:rPr>
                <w:sz w:val="20"/>
                <w:szCs w:val="20"/>
              </w:rPr>
            </w:pPr>
            <w:r w:rsidRPr="00254EF7">
              <w:rPr>
                <w:rFonts w:eastAsia="Times New Roman" w:cs="Times New Roman"/>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D14F57" w:rsidRDefault="00940FBC" w14:paraId="26CA51A4" w14:textId="6794528E">
            <w:pPr>
              <w:rPr>
                <w:sz w:val="20"/>
                <w:szCs w:val="20"/>
              </w:rPr>
            </w:pPr>
            <w:r w:rsidRPr="00254EF7">
              <w:rPr>
                <w:rFonts w:eastAsia="Times New Roman" w:cs="Times New Roman"/>
                <w:sz w:val="20"/>
                <w:szCs w:val="20"/>
              </w:rPr>
              <w:t>Adherence to NSQHS Standards is essential for accreditation and to ensure high-quality patient care, improving safety and satisfaction in healthcare settings.</w:t>
            </w:r>
          </w:p>
        </w:tc>
      </w:tr>
      <w:tr w:rsidR="00940FBC" w:rsidTr="4E8ECCAA" w14:paraId="562125CE"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EC006B" w:rsidR="00940FBC" w:rsidP="00254EF7" w:rsidRDefault="00940FBC" w14:paraId="648FE3E4" w14:textId="1C368D40">
            <w:pPr>
              <w:rPr>
                <w:rFonts w:eastAsia="Roboto" w:cs="Roboto"/>
                <w:color w:val="111111"/>
                <w:sz w:val="20"/>
                <w:szCs w:val="20"/>
              </w:rPr>
            </w:pPr>
            <w:r>
              <w:rPr>
                <w:rFonts w:eastAsia="Roboto" w:cs="Roboto"/>
                <w:color w:val="111111"/>
                <w:sz w:val="20"/>
                <w:szCs w:val="20"/>
              </w:rPr>
              <w:t>12</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EC006B" w:rsidR="00940FBC" w:rsidP="00254EF7" w:rsidRDefault="00940FBC" w14:paraId="1961C7FD" w14:textId="38F33047">
            <w:pPr>
              <w:rPr>
                <w:rFonts w:eastAsia="Aptos" w:cs="Aptos"/>
                <w:sz w:val="20"/>
                <w:szCs w:val="20"/>
              </w:rPr>
            </w:pPr>
            <w:r w:rsidRPr="00EC006B">
              <w:rPr>
                <w:rFonts w:eastAsia="Roboto" w:cs="Roboto"/>
                <w:color w:val="111111"/>
                <w:sz w:val="20"/>
                <w:szCs w:val="20"/>
              </w:rPr>
              <w:t>National Health &amp; Medical Research Council (NHMRC) Guidelines</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5741EB15" w14:textId="31B3A371">
            <w:pPr>
              <w:rPr>
                <w:rFonts w:eastAsia="Times New Roman" w:cs="Times New Roman"/>
                <w:sz w:val="20"/>
                <w:szCs w:val="20"/>
              </w:rPr>
            </w:pPr>
            <w:r w:rsidRPr="00254EF7">
              <w:rPr>
                <w:rFonts w:eastAsia="Times New Roman" w:cs="Times New Roman"/>
                <w:sz w:val="20"/>
                <w:szCs w:val="20"/>
              </w:rPr>
              <w:t xml:space="preserve">NHMRC guidelines are to reduce waste, prevent harm, encourage best practice, and promote health. They are created by panels using a strict evidence-based methodology. Many aspects of clinical practices, ethics, public health, and environmental health are covered by these guidelines. </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16E46AFC" w14:textId="539203DC">
            <w:pPr>
              <w:rPr>
                <w:rFonts w:eastAsia="Times New Roman" w:cs="Times New Roman"/>
                <w:sz w:val="20"/>
                <w:szCs w:val="20"/>
              </w:rPr>
            </w:pPr>
            <w:r w:rsidRPr="00254EF7">
              <w:rPr>
                <w:rFonts w:eastAsia="Times New Roman" w:cs="Times New Roman"/>
                <w:sz w:val="20"/>
                <w:szCs w:val="20"/>
              </w:rPr>
              <w:t>Health and Medical Research Guidelines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53E8FDAB" w14:textId="23AAF8A6">
            <w:pPr>
              <w:rPr>
                <w:rFonts w:eastAsia="Times New Roman" w:cs="Times New Roman"/>
                <w:sz w:val="20"/>
                <w:szCs w:val="20"/>
              </w:rPr>
            </w:pPr>
            <w:r w:rsidRPr="00254EF7">
              <w:rPr>
                <w:rFonts w:eastAsia="Times New Roman" w:cs="Times New Roman"/>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4E8ECCAA" w:rsidRDefault="00940FBC" w14:paraId="5A6846E6" w14:textId="05F960A2">
            <w:pPr>
              <w:rPr>
                <w:rFonts w:eastAsia="Times New Roman" w:cs="Times New Roman"/>
                <w:sz w:val="20"/>
                <w:szCs w:val="20"/>
              </w:rPr>
            </w:pPr>
            <w:r w:rsidRPr="4E8ECCAA" w:rsidR="00940FBC">
              <w:rPr>
                <w:rFonts w:eastAsia="Times New Roman" w:cs="Times New Roman"/>
                <w:sz w:val="20"/>
                <w:szCs w:val="20"/>
              </w:rPr>
              <w:t xml:space="preserve">Prime Health is a major actor in the healthcare sector, and to guarantee the best standards of patient care and safety, it must </w:t>
            </w:r>
            <w:r w:rsidRPr="4E8ECCAA" w:rsidR="00940FBC">
              <w:rPr>
                <w:rFonts w:eastAsia="Times New Roman" w:cs="Times New Roman"/>
                <w:sz w:val="20"/>
                <w:szCs w:val="20"/>
              </w:rPr>
              <w:t>operate</w:t>
            </w:r>
            <w:r w:rsidRPr="4E8ECCAA" w:rsidR="00940FBC">
              <w:rPr>
                <w:rFonts w:eastAsia="Times New Roman" w:cs="Times New Roman"/>
                <w:sz w:val="20"/>
                <w:szCs w:val="20"/>
              </w:rPr>
              <w:t xml:space="preserve"> by the NHMRC criteria. Maintaining credibility, being certified, and offering healthcare solutions all require all depend on these guidelines</w:t>
            </w:r>
          </w:p>
          <w:p w:rsidRPr="00254EF7" w:rsidR="00940FBC" w:rsidP="4E8ECCAA" w:rsidRDefault="00940FBC" w14:paraId="2CF5D348" w14:textId="6F68495B">
            <w:pPr>
              <w:rPr>
                <w:rFonts w:eastAsia="Times New Roman" w:cs="Times New Roman"/>
                <w:sz w:val="20"/>
                <w:szCs w:val="20"/>
              </w:rPr>
            </w:pPr>
          </w:p>
          <w:p w:rsidRPr="00254EF7" w:rsidR="00940FBC" w:rsidP="4E8ECCAA" w:rsidRDefault="00940FBC" w14:paraId="2C5864D6" w14:textId="68F9837E">
            <w:pPr>
              <w:pStyle w:val="Normal"/>
              <w:rPr>
                <w:rFonts w:eastAsia="Times New Roman" w:cs="Times New Roman"/>
                <w:sz w:val="20"/>
                <w:szCs w:val="20"/>
              </w:rPr>
            </w:pPr>
          </w:p>
        </w:tc>
      </w:tr>
      <w:tr w:rsidR="00940FBC" w:rsidTr="4E8ECCAA" w14:paraId="512916CE"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254EF7" w:rsidRDefault="00940FBC" w14:paraId="7A06FFDB" w14:textId="60848FBE">
            <w:pPr>
              <w:rPr>
                <w:rFonts w:eastAsia="Roboto" w:cs="Roboto"/>
                <w:color w:val="111111"/>
                <w:sz w:val="20"/>
                <w:szCs w:val="20"/>
              </w:rPr>
            </w:pPr>
            <w:r>
              <w:rPr>
                <w:rFonts w:eastAsia="Roboto" w:cs="Roboto"/>
                <w:color w:val="111111"/>
                <w:sz w:val="20"/>
                <w:szCs w:val="20"/>
              </w:rPr>
              <w:t>13</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7657EC5E" w14:textId="0668B57C">
            <w:pPr>
              <w:rPr>
                <w:rFonts w:eastAsia="Roboto" w:cs="Roboto"/>
                <w:color w:val="111111"/>
                <w:sz w:val="20"/>
                <w:szCs w:val="20"/>
              </w:rPr>
            </w:pPr>
            <w:r w:rsidRPr="00254EF7">
              <w:rPr>
                <w:rFonts w:eastAsia="Roboto" w:cs="Roboto"/>
                <w:color w:val="111111"/>
                <w:sz w:val="20"/>
                <w:szCs w:val="20"/>
              </w:rPr>
              <w:t>Australia’s Cyber Security Strategy 2020</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2613D74C" w14:textId="2A33139A">
            <w:pPr>
              <w:rPr>
                <w:rFonts w:eastAsia="Times New Roman" w:cs="Times New Roman"/>
                <w:sz w:val="20"/>
                <w:szCs w:val="20"/>
              </w:rPr>
            </w:pPr>
            <w:r w:rsidRPr="00254EF7">
              <w:rPr>
                <w:rFonts w:eastAsia="Times New Roman" w:cs="Times New Roman"/>
                <w:sz w:val="20"/>
                <w:szCs w:val="20"/>
              </w:rPr>
              <w:t>Australia's Cyber Security Strategy 2020 aims to create a more secure online environment for Australians. It involves government investments, industry collaboration, and community education. Key objectives include strengthening cyber defenses, protecting critical infrastructure, and building trust in the digital economy. The strategy outlines measures to enhance cyber capabilities, improve incident response, and raise awareness about online security.</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0483CA60" w14:textId="77777777">
            <w:pPr>
              <w:rPr>
                <w:rFonts w:eastAsia="Times New Roman" w:cs="Times New Roman"/>
                <w:sz w:val="20"/>
                <w:szCs w:val="20"/>
              </w:rPr>
            </w:pPr>
            <w:r w:rsidRPr="00254EF7">
              <w:rPr>
                <w:rFonts w:eastAsia="Times New Roman" w:cs="Times New Roman"/>
                <w:sz w:val="20"/>
                <w:szCs w:val="20"/>
              </w:rPr>
              <w:t>Cybersecurity framework</w:t>
            </w:r>
          </w:p>
          <w:p w:rsidRPr="00254EF7" w:rsidR="00940FBC" w:rsidP="00254EF7" w:rsidRDefault="00940FBC" w14:paraId="62374FE8" w14:textId="77777777">
            <w:pPr>
              <w:rPr>
                <w:rFonts w:eastAsia="Times New Roman" w:cs="Times New Roman"/>
                <w:sz w:val="20"/>
                <w:szCs w:val="20"/>
              </w:rPr>
            </w:pP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7F015430" w14:textId="4EF766AB">
            <w:pPr>
              <w:rPr>
                <w:rFonts w:eastAsia="Times New Roman" w:cs="Times New Roman"/>
                <w:sz w:val="20"/>
                <w:szCs w:val="20"/>
              </w:rPr>
            </w:pPr>
            <w:r w:rsidRPr="00254EF7">
              <w:rPr>
                <w:rFonts w:eastAsia="Times New Roman" w:cs="Times New Roman"/>
                <w:sz w:val="20"/>
                <w:szCs w:val="20"/>
              </w:rPr>
              <w:t>Optional</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7107BEA1" w14:textId="042A84E4">
            <w:pPr>
              <w:rPr>
                <w:rFonts w:eastAsia="Times New Roman" w:cs="Times New Roman"/>
                <w:sz w:val="20"/>
                <w:szCs w:val="20"/>
              </w:rPr>
            </w:pPr>
            <w:r w:rsidRPr="00254EF7">
              <w:rPr>
                <w:rFonts w:eastAsia="Times New Roman" w:cs="Times New Roman"/>
                <w:sz w:val="20"/>
                <w:szCs w:val="20"/>
              </w:rPr>
              <w:t>Prime Health needs to follow the guidelines specified in the Australia's Cyber Security Strategy 2020 as it can benefit Prime Health clinics by protecting patient data, preventing disruptions to critical services, and maintaining public trust. This strategy helps clinics comply with regulations, reduce financial losses, and improve their overall cybersecurity posture.</w:t>
            </w:r>
          </w:p>
        </w:tc>
      </w:tr>
      <w:tr w:rsidR="00940FBC" w:rsidTr="4E8ECCAA" w14:paraId="2E974134"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254EF7" w:rsidRDefault="00940FBC" w14:paraId="2FE4C255" w14:textId="7345F278">
            <w:pPr>
              <w:pStyle w:val="Heading3"/>
              <w:shd w:val="clear" w:color="auto" w:fill="F7F7F7"/>
              <w:spacing w:before="180" w:after="0"/>
              <w:rPr>
                <w:rFonts w:eastAsia="Roboto" w:cs="Roboto"/>
                <w:color w:val="111111"/>
                <w:sz w:val="20"/>
                <w:szCs w:val="20"/>
              </w:rPr>
            </w:pPr>
            <w:r>
              <w:rPr>
                <w:rFonts w:eastAsia="Roboto" w:cs="Roboto"/>
                <w:color w:val="111111"/>
                <w:sz w:val="20"/>
                <w:szCs w:val="20"/>
              </w:rPr>
              <w:t>14</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1AC3182B" w14:textId="2FC19102">
            <w:pPr>
              <w:pStyle w:val="Heading3"/>
              <w:shd w:val="clear" w:color="auto" w:fill="F7F7F7"/>
              <w:spacing w:before="180" w:after="0"/>
              <w:rPr>
                <w:rFonts w:eastAsia="Roboto" w:cs="Roboto"/>
                <w:b/>
                <w:bCs/>
                <w:color w:val="111111"/>
                <w:sz w:val="20"/>
                <w:szCs w:val="20"/>
              </w:rPr>
            </w:pPr>
            <w:r w:rsidRPr="00254EF7">
              <w:rPr>
                <w:rFonts w:eastAsia="Roboto" w:cs="Roboto"/>
                <w:color w:val="111111"/>
                <w:sz w:val="20"/>
                <w:szCs w:val="20"/>
              </w:rPr>
              <w:t>Privacy Act 1988</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3DDC0621" w14:textId="1DBECA68">
            <w:pPr>
              <w:rPr>
                <w:rFonts w:eastAsia="Times New Roman" w:cs="Times New Roman"/>
                <w:sz w:val="20"/>
                <w:szCs w:val="20"/>
              </w:rPr>
            </w:pPr>
            <w:r w:rsidRPr="00254EF7">
              <w:rPr>
                <w:rFonts w:eastAsia="Times New Roman" w:cs="Times New Roman"/>
                <w:sz w:val="20"/>
                <w:szCs w:val="20"/>
              </w:rPr>
              <w:t>Australian Law that governs the handling of personal information by Australia Government agencies with annual sales above $3 million. Among with the standards for gathering, use, storage, and disclosing personal data are the Australian Privacy Principles (APPs)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5F9DEF66" w14:textId="3B67C495">
            <w:pPr>
              <w:rPr>
                <w:rFonts w:eastAsia="Times New Roman" w:cs="Times New Roman"/>
                <w:sz w:val="20"/>
                <w:szCs w:val="20"/>
              </w:rPr>
            </w:pPr>
            <w:r w:rsidRPr="00254EF7">
              <w:rPr>
                <w:rFonts w:eastAsia="Times New Roman" w:cs="Times New Roman"/>
                <w:sz w:val="20"/>
                <w:szCs w:val="20"/>
              </w:rPr>
              <w:t>Framework</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0D1B2B15" w14:textId="2CDF8CBD">
            <w:pPr>
              <w:rPr>
                <w:rFonts w:eastAsia="Times New Roman" w:cs="Times New Roman"/>
                <w:sz w:val="20"/>
                <w:szCs w:val="20"/>
              </w:rPr>
            </w:pPr>
            <w:r w:rsidRPr="00254EF7">
              <w:rPr>
                <w:rFonts w:eastAsia="Times New Roman" w:cs="Times New Roman"/>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940FBC" w14:paraId="66D27CE1" w14:textId="4F7B084D">
            <w:pPr>
              <w:rPr>
                <w:rFonts w:eastAsia="Times New Roman" w:cs="Times New Roman"/>
                <w:sz w:val="20"/>
                <w:szCs w:val="20"/>
              </w:rPr>
            </w:pPr>
            <w:r w:rsidRPr="00254EF7">
              <w:rPr>
                <w:rFonts w:eastAsia="Times New Roman" w:cs="Times New Roman"/>
                <w:sz w:val="20"/>
                <w:szCs w:val="20"/>
              </w:rPr>
              <w:t>To preserve patient data and maintain privacy, Prime Health must comply with the Privacy Act 1988 and the Apps. It is important to comply with these principles to maintaining trust, protecting personal data, and following the legal requirements</w:t>
            </w:r>
          </w:p>
        </w:tc>
      </w:tr>
      <w:tr w:rsidR="00940FBC" w:rsidTr="4E8ECCAA" w14:paraId="51768C80"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4E8ECCAA" w:rsidP="4E8ECCAA" w:rsidRDefault="4E8ECCAA" w14:paraId="041D1530" w14:textId="21CEACC0">
            <w:pPr>
              <w:pStyle w:val="Heading3"/>
              <w:rPr>
                <w:rFonts w:eastAsia="Roboto" w:cs="Roboto"/>
                <w:color w:val="111111"/>
                <w:sz w:val="20"/>
                <w:szCs w:val="20"/>
              </w:rPr>
            </w:pPr>
            <w:r w:rsidRPr="4E8ECCAA" w:rsidR="4E8ECCAA">
              <w:rPr>
                <w:rFonts w:eastAsia="Roboto" w:cs="Roboto"/>
                <w:color w:val="111111"/>
                <w:sz w:val="20"/>
                <w:szCs w:val="20"/>
              </w:rPr>
              <w:t>1</w:t>
            </w:r>
            <w:r w:rsidRPr="4E8ECCAA" w:rsidR="29E75296">
              <w:rPr>
                <w:rFonts w:eastAsia="Roboto" w:cs="Roboto"/>
                <w:color w:val="111111"/>
                <w:sz w:val="20"/>
                <w:szCs w:val="20"/>
              </w:rPr>
              <w:t>5</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270A130A" w14:textId="00571290">
            <w:pPr>
              <w:pStyle w:val="Heading3"/>
              <w:rPr>
                <w:sz w:val="20"/>
                <w:szCs w:val="20"/>
              </w:rPr>
            </w:pPr>
            <w:r w:rsidRPr="4E8ECCAA" w:rsidR="4E8ECCAA">
              <w:rPr>
                <w:rFonts w:eastAsia="Roboto" w:cs="Roboto"/>
                <w:color w:val="111111"/>
                <w:sz w:val="20"/>
                <w:szCs w:val="20"/>
              </w:rPr>
              <w:t>ISO/IEC 27001</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4E8ECCAA" w:rsidRDefault="00940FBC" w14:paraId="07822897" w14:textId="2B2EE8CC">
            <w:pPr>
              <w:pStyle w:val="Normal"/>
              <w:rPr>
                <w:rFonts w:eastAsia="Times New Roman" w:cs="Times New Roman"/>
                <w:sz w:val="20"/>
                <w:szCs w:val="20"/>
              </w:rPr>
            </w:pPr>
            <w:r w:rsidRPr="4E8ECCAA" w:rsidR="0A225959">
              <w:rPr>
                <w:rFonts w:ascii="Aptos" w:hAnsi="Aptos" w:eastAsia="Aptos" w:cs="Aptos"/>
                <w:sz w:val="20"/>
                <w:szCs w:val="20"/>
              </w:rPr>
              <w:t xml:space="preserve">ISO/IEC 27001 is an international standard that provides a framework for </w:t>
            </w:r>
            <w:r w:rsidRPr="4E8ECCAA" w:rsidR="0A225959">
              <w:rPr>
                <w:rFonts w:ascii="Aptos" w:hAnsi="Aptos" w:eastAsia="Aptos" w:cs="Aptos"/>
                <w:sz w:val="20"/>
                <w:szCs w:val="20"/>
              </w:rPr>
              <w:t>establishing</w:t>
            </w:r>
            <w:r w:rsidRPr="4E8ECCAA" w:rsidR="0A225959">
              <w:rPr>
                <w:rFonts w:ascii="Aptos" w:hAnsi="Aptos" w:eastAsia="Aptos" w:cs="Aptos"/>
                <w:sz w:val="20"/>
                <w:szCs w:val="20"/>
              </w:rPr>
              <w:t xml:space="preserve">, implementing, </w:t>
            </w:r>
            <w:r w:rsidRPr="4E8ECCAA" w:rsidR="0A225959">
              <w:rPr>
                <w:rFonts w:ascii="Aptos" w:hAnsi="Aptos" w:eastAsia="Aptos" w:cs="Aptos"/>
                <w:sz w:val="20"/>
                <w:szCs w:val="20"/>
              </w:rPr>
              <w:t>maintaining</w:t>
            </w:r>
            <w:r w:rsidRPr="4E8ECCAA" w:rsidR="0A225959">
              <w:rPr>
                <w:rFonts w:ascii="Aptos" w:hAnsi="Aptos" w:eastAsia="Aptos" w:cs="Aptos"/>
                <w:sz w:val="20"/>
                <w:szCs w:val="20"/>
              </w:rPr>
              <w:t>, and continuously improving an Information Security Management System (ISMS). It is designed to protect sensitive information by applying risk management processes and security controls.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618E9038" w14:textId="4222A4DA">
            <w:pPr>
              <w:rPr>
                <w:rFonts w:eastAsia="Times New Roman" w:cs="Times New Roman"/>
                <w:sz w:val="20"/>
                <w:szCs w:val="20"/>
              </w:rPr>
            </w:pPr>
            <w:r w:rsidRPr="4E8ECCAA" w:rsidR="4E8ECCAA">
              <w:rPr>
                <w:rFonts w:eastAsia="Times New Roman" w:cs="Times New Roman"/>
                <w:sz w:val="20"/>
                <w:szCs w:val="20"/>
              </w:rPr>
              <w:t>Standard</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3BFD82C8" w14:textId="04CE1E87">
            <w:pPr>
              <w:rPr>
                <w:rFonts w:ascii="Aptos" w:hAnsi="Aptos" w:eastAsia="Aptos" w:cs="Aptos"/>
                <w:sz w:val="20"/>
                <w:szCs w:val="20"/>
              </w:rPr>
            </w:pPr>
            <w:r w:rsidRPr="4E8ECCAA" w:rsidR="4E8ECCAA">
              <w:rPr>
                <w:rFonts w:ascii="Aptos" w:hAnsi="Aptos" w:eastAsia="Aptos" w:cs="Aptos"/>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5278078D" w14:textId="163CD757">
            <w:pPr>
              <w:spacing w:before="240" w:after="240"/>
              <w:rPr>
                <w:sz w:val="20"/>
                <w:szCs w:val="20"/>
              </w:rPr>
            </w:pPr>
            <w:r w:rsidRPr="4E8ECCAA" w:rsidR="4E8ECCAA">
              <w:rPr>
                <w:rFonts w:ascii="Aptos" w:hAnsi="Aptos" w:eastAsia="Aptos" w:cs="Aptos"/>
                <w:sz w:val="20"/>
                <w:szCs w:val="20"/>
              </w:rPr>
              <w:t xml:space="preserve">ISO/IEC 27001 </w:t>
            </w:r>
            <w:r w:rsidRPr="4E8ECCAA" w:rsidR="4E8ECCAA">
              <w:rPr>
                <w:rFonts w:ascii="Aptos" w:hAnsi="Aptos" w:eastAsia="Aptos" w:cs="Aptos"/>
                <w:sz w:val="20"/>
                <w:szCs w:val="20"/>
              </w:rPr>
              <w:t xml:space="preserve">is mandatory </w:t>
            </w:r>
            <w:r w:rsidRPr="4E8ECCAA" w:rsidR="4E8ECCAA">
              <w:rPr>
                <w:rFonts w:ascii="Aptos" w:hAnsi="Aptos" w:eastAsia="Aptos" w:cs="Aptos"/>
                <w:sz w:val="20"/>
                <w:szCs w:val="20"/>
              </w:rPr>
              <w:t xml:space="preserve">for PrimeHealth </w:t>
            </w:r>
            <w:r w:rsidRPr="4E8ECCAA" w:rsidR="4E8ECCAA">
              <w:rPr>
                <w:rFonts w:ascii="Aptos" w:hAnsi="Aptos" w:eastAsia="Aptos" w:cs="Aptos"/>
                <w:sz w:val="20"/>
                <w:szCs w:val="20"/>
              </w:rPr>
              <w:t xml:space="preserve">to </w:t>
            </w:r>
            <w:r w:rsidRPr="4E8ECCAA" w:rsidR="4E8ECCAA">
              <w:rPr>
                <w:rFonts w:ascii="Aptos" w:hAnsi="Aptos" w:eastAsia="Aptos" w:cs="Aptos"/>
                <w:sz w:val="20"/>
                <w:szCs w:val="20"/>
              </w:rPr>
              <w:t>achiev</w:t>
            </w:r>
            <w:r w:rsidRPr="4E8ECCAA" w:rsidR="4E8ECCAA">
              <w:rPr>
                <w:rFonts w:ascii="Aptos" w:hAnsi="Aptos" w:eastAsia="Aptos" w:cs="Aptos"/>
                <w:sz w:val="20"/>
                <w:szCs w:val="20"/>
              </w:rPr>
              <w:t>e</w:t>
            </w:r>
            <w:r w:rsidRPr="4E8ECCAA" w:rsidR="4E8ECCAA">
              <w:rPr>
                <w:rFonts w:ascii="Aptos" w:hAnsi="Aptos" w:eastAsia="Aptos" w:cs="Aptos"/>
                <w:sz w:val="20"/>
                <w:szCs w:val="20"/>
              </w:rPr>
              <w:t xml:space="preserve"> certification </w:t>
            </w:r>
            <w:r w:rsidRPr="4E8ECCAA" w:rsidR="4E8ECCAA">
              <w:rPr>
                <w:rFonts w:ascii="Aptos" w:hAnsi="Aptos" w:eastAsia="Aptos" w:cs="Aptos"/>
                <w:sz w:val="20"/>
                <w:szCs w:val="20"/>
              </w:rPr>
              <w:t xml:space="preserve">which will </w:t>
            </w:r>
            <w:r w:rsidRPr="4E8ECCAA" w:rsidR="4E8ECCAA">
              <w:rPr>
                <w:rFonts w:ascii="Aptos" w:hAnsi="Aptos" w:eastAsia="Aptos" w:cs="Aptos"/>
                <w:sz w:val="20"/>
                <w:szCs w:val="20"/>
              </w:rPr>
              <w:t xml:space="preserve">help </w:t>
            </w:r>
            <w:r w:rsidRPr="4E8ECCAA" w:rsidR="4E8ECCAA">
              <w:rPr>
                <w:rFonts w:ascii="Aptos" w:hAnsi="Aptos" w:eastAsia="Aptos" w:cs="Aptos"/>
                <w:sz w:val="20"/>
                <w:szCs w:val="20"/>
              </w:rPr>
              <w:t>the organization</w:t>
            </w:r>
            <w:r w:rsidRPr="4E8ECCAA" w:rsidR="4E8ECCAA">
              <w:rPr>
                <w:rFonts w:ascii="Aptos" w:hAnsi="Aptos" w:eastAsia="Aptos" w:cs="Aptos"/>
                <w:sz w:val="20"/>
                <w:szCs w:val="20"/>
              </w:rPr>
              <w:t xml:space="preserve"> to</w:t>
            </w:r>
            <w:r w:rsidRPr="4E8ECCAA" w:rsidR="4E8ECCAA">
              <w:rPr>
                <w:rFonts w:ascii="Aptos" w:hAnsi="Aptos" w:eastAsia="Aptos" w:cs="Aptos"/>
                <w:sz w:val="20"/>
                <w:szCs w:val="20"/>
              </w:rPr>
              <w:t xml:space="preserve"> </w:t>
            </w:r>
            <w:r w:rsidRPr="4E8ECCAA" w:rsidR="4E8ECCAA">
              <w:rPr>
                <w:rFonts w:ascii="Aptos" w:hAnsi="Aptos" w:eastAsia="Aptos" w:cs="Aptos"/>
                <w:sz w:val="20"/>
                <w:szCs w:val="20"/>
              </w:rPr>
              <w:t>demonstrate</w:t>
            </w:r>
            <w:r w:rsidRPr="4E8ECCAA" w:rsidR="4E8ECCAA">
              <w:rPr>
                <w:rFonts w:ascii="Aptos" w:hAnsi="Aptos" w:eastAsia="Aptos" w:cs="Aptos"/>
                <w:sz w:val="20"/>
                <w:szCs w:val="20"/>
              </w:rPr>
              <w:t xml:space="preserve"> </w:t>
            </w:r>
            <w:r w:rsidRPr="4E8ECCAA" w:rsidR="4E8ECCAA">
              <w:rPr>
                <w:rFonts w:ascii="Aptos" w:hAnsi="Aptos" w:eastAsia="Aptos" w:cs="Aptos"/>
                <w:sz w:val="20"/>
                <w:szCs w:val="20"/>
              </w:rPr>
              <w:t>its</w:t>
            </w:r>
            <w:r w:rsidRPr="4E8ECCAA" w:rsidR="4E8ECCAA">
              <w:rPr>
                <w:rFonts w:ascii="Aptos" w:hAnsi="Aptos" w:eastAsia="Aptos" w:cs="Aptos"/>
                <w:sz w:val="20"/>
                <w:szCs w:val="20"/>
              </w:rPr>
              <w:t xml:space="preserve"> commitment to information security. It </w:t>
            </w:r>
            <w:r w:rsidRPr="4E8ECCAA" w:rsidR="4E8ECCAA">
              <w:rPr>
                <w:rFonts w:ascii="Aptos" w:hAnsi="Aptos" w:eastAsia="Aptos" w:cs="Aptos"/>
                <w:sz w:val="20"/>
                <w:szCs w:val="20"/>
              </w:rPr>
              <w:t>is</w:t>
            </w:r>
            <w:r w:rsidRPr="4E8ECCAA" w:rsidR="4E8ECCAA">
              <w:rPr>
                <w:rFonts w:ascii="Aptos" w:hAnsi="Aptos" w:eastAsia="Aptos" w:cs="Aptos"/>
                <w:sz w:val="20"/>
                <w:szCs w:val="20"/>
              </w:rPr>
              <w:t xml:space="preserve"> </w:t>
            </w:r>
            <w:r w:rsidRPr="4E8ECCAA" w:rsidR="4E8ECCAA">
              <w:rPr>
                <w:rFonts w:ascii="Aptos" w:hAnsi="Aptos" w:eastAsia="Aptos" w:cs="Aptos"/>
                <w:sz w:val="20"/>
                <w:szCs w:val="20"/>
              </w:rPr>
              <w:t>required</w:t>
            </w:r>
            <w:r w:rsidRPr="4E8ECCAA" w:rsidR="4E8ECCAA">
              <w:rPr>
                <w:rFonts w:ascii="Aptos" w:hAnsi="Aptos" w:eastAsia="Aptos" w:cs="Aptos"/>
                <w:sz w:val="20"/>
                <w:szCs w:val="20"/>
              </w:rPr>
              <w:t xml:space="preserve"> for regulatory reasons or client contracts, particularly in industries that handle sensitive data, such as healthcare and finance.</w:t>
            </w:r>
          </w:p>
          <w:p w:rsidR="4E8ECCAA" w:rsidP="4E8ECCAA" w:rsidRDefault="4E8ECCAA" w14:paraId="187243B1" w14:textId="2B9443D5">
            <w:pPr>
              <w:rPr>
                <w:rFonts w:eastAsia="Times New Roman" w:cs="Times New Roman"/>
                <w:sz w:val="20"/>
                <w:szCs w:val="20"/>
              </w:rPr>
            </w:pPr>
          </w:p>
        </w:tc>
      </w:tr>
      <w:tr w:rsidR="00940FBC" w:rsidTr="4E8ECCAA" w14:paraId="765FFDEA"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4E8ECCAA" w:rsidP="4E8ECCAA" w:rsidRDefault="4E8ECCAA" w14:paraId="30333E81" w14:textId="5855E53C">
            <w:pPr>
              <w:pStyle w:val="Heading3"/>
              <w:rPr>
                <w:sz w:val="20"/>
                <w:szCs w:val="20"/>
              </w:rPr>
            </w:pPr>
            <w:r w:rsidRPr="4E8ECCAA" w:rsidR="4E8ECCAA">
              <w:rPr>
                <w:sz w:val="20"/>
                <w:szCs w:val="20"/>
              </w:rPr>
              <w:t>1</w:t>
            </w:r>
            <w:r w:rsidRPr="4E8ECCAA" w:rsidR="77D98576">
              <w:rPr>
                <w:sz w:val="20"/>
                <w:szCs w:val="20"/>
              </w:rPr>
              <w:t>6</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207BFFE2" w14:textId="715E0539">
            <w:pPr>
              <w:pStyle w:val="Heading3"/>
              <w:rPr>
                <w:rFonts w:eastAsia="Roboto" w:cs="Roboto"/>
                <w:color w:val="111111"/>
                <w:sz w:val="20"/>
                <w:szCs w:val="20"/>
              </w:rPr>
            </w:pPr>
            <w:r w:rsidRPr="4E8ECCAA" w:rsidR="4E8ECCAA">
              <w:rPr>
                <w:sz w:val="20"/>
                <w:szCs w:val="20"/>
              </w:rPr>
              <w:t>ISO/IEC 27002</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0A4708D4" w14:textId="3772AF11">
            <w:pPr>
              <w:rPr>
                <w:rFonts w:eastAsia="Times New Roman" w:cs="Times New Roman"/>
                <w:sz w:val="20"/>
                <w:szCs w:val="20"/>
              </w:rPr>
            </w:pPr>
            <w:r w:rsidRPr="4E8ECCAA" w:rsidR="4E8ECCAA">
              <w:rPr>
                <w:rFonts w:eastAsia="Times New Roman" w:cs="Times New Roman"/>
                <w:sz w:val="20"/>
                <w:szCs w:val="20"/>
              </w:rPr>
              <w:t>ISO/IEC 27002 draws codes of practices and provides guidelines on how an organization can begin, build, apply, measure, and improve its information security management. It serves as a guide when choosing security controls inside the ISMS, which is elucidated by the ISO/IEC 27001.</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71ACC5F5" w14:textId="52732803">
            <w:pPr>
              <w:rPr>
                <w:rFonts w:ascii="Aptos" w:hAnsi="Aptos" w:eastAsia="Aptos" w:cs="Aptos"/>
                <w:sz w:val="20"/>
                <w:szCs w:val="20"/>
              </w:rPr>
            </w:pPr>
            <w:r w:rsidRPr="4E8ECCAA" w:rsidR="4E8ECCAA">
              <w:rPr>
                <w:rFonts w:ascii="Aptos" w:hAnsi="Aptos" w:eastAsia="Aptos" w:cs="Aptos"/>
                <w:sz w:val="20"/>
                <w:szCs w:val="20"/>
              </w:rPr>
              <w:t>Standard</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75EDDE41" w14:textId="77F5DFB8">
            <w:pPr>
              <w:rPr>
                <w:rFonts w:ascii="Aptos" w:hAnsi="Aptos" w:eastAsia="Aptos" w:cs="Aptos"/>
                <w:sz w:val="20"/>
                <w:szCs w:val="20"/>
              </w:rPr>
            </w:pPr>
            <w:r w:rsidRPr="4E8ECCAA" w:rsidR="4E8ECCAA">
              <w:rPr>
                <w:rFonts w:ascii="Aptos" w:hAnsi="Aptos" w:eastAsia="Aptos" w:cs="Aptos"/>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4E8ECCAA" w:rsidP="4E8ECCAA" w:rsidRDefault="4E8ECCAA" w14:paraId="5DBC0FB3" w14:textId="2B8F9F54">
            <w:pPr>
              <w:rPr>
                <w:rFonts w:eastAsia="Times New Roman" w:cs="Times New Roman"/>
                <w:sz w:val="20"/>
                <w:szCs w:val="20"/>
              </w:rPr>
            </w:pPr>
            <w:r w:rsidRPr="4E8ECCAA" w:rsidR="4E8ECCAA">
              <w:rPr>
                <w:rFonts w:eastAsia="Times New Roman" w:cs="Times New Roman"/>
                <w:sz w:val="20"/>
                <w:szCs w:val="20"/>
              </w:rPr>
              <w:t xml:space="preserve">ISO/IEC 27002 is a requirement for </w:t>
            </w:r>
            <w:r w:rsidRPr="4E8ECCAA" w:rsidR="4E8ECCAA">
              <w:rPr>
                <w:rFonts w:eastAsia="Times New Roman" w:cs="Times New Roman"/>
                <w:sz w:val="20"/>
                <w:szCs w:val="20"/>
              </w:rPr>
              <w:t>PrimeHealth</w:t>
            </w:r>
            <w:r w:rsidRPr="4E8ECCAA" w:rsidR="4E8ECCAA">
              <w:rPr>
                <w:rFonts w:eastAsia="Times New Roman" w:cs="Times New Roman"/>
                <w:sz w:val="20"/>
                <w:szCs w:val="20"/>
              </w:rPr>
              <w:t xml:space="preserve"> to implement</w:t>
            </w:r>
            <w:r w:rsidRPr="4E8ECCAA" w:rsidR="4E8ECCAA">
              <w:rPr>
                <w:rFonts w:eastAsia="Times New Roman" w:cs="Times New Roman"/>
                <w:sz w:val="20"/>
                <w:szCs w:val="20"/>
              </w:rPr>
              <w:t xml:space="preserve"> and </w:t>
            </w:r>
            <w:r w:rsidRPr="4E8ECCAA" w:rsidR="4E8ECCAA">
              <w:rPr>
                <w:rFonts w:eastAsia="Times New Roman" w:cs="Times New Roman"/>
                <w:sz w:val="20"/>
                <w:szCs w:val="20"/>
              </w:rPr>
              <w:t>verify that an organization has implemented the best information security.</w:t>
            </w:r>
            <w:r w:rsidRPr="4E8ECCAA" w:rsidR="4E8ECCAA">
              <w:rPr>
                <w:rFonts w:eastAsia="Times New Roman" w:cs="Times New Roman"/>
                <w:sz w:val="20"/>
                <w:szCs w:val="20"/>
              </w:rPr>
              <w:t xml:space="preserve"> By following th</w:t>
            </w:r>
            <w:r w:rsidRPr="4E8ECCAA" w:rsidR="4E8ECCAA">
              <w:rPr>
                <w:rFonts w:eastAsia="Times New Roman" w:cs="Times New Roman"/>
                <w:sz w:val="20"/>
                <w:szCs w:val="20"/>
              </w:rPr>
              <w:t>is</w:t>
            </w:r>
            <w:r w:rsidRPr="4E8ECCAA" w:rsidR="4E8ECCAA">
              <w:rPr>
                <w:rFonts w:eastAsia="Times New Roman" w:cs="Times New Roman"/>
                <w:sz w:val="20"/>
                <w:szCs w:val="20"/>
              </w:rPr>
              <w:t xml:space="preserve"> standard, it is possible to improve the overall performance of ISMS and guarantee </w:t>
            </w:r>
            <w:r w:rsidRPr="4E8ECCAA" w:rsidR="4E8ECCAA">
              <w:rPr>
                <w:rFonts w:eastAsia="Times New Roman" w:cs="Times New Roman"/>
                <w:sz w:val="20"/>
                <w:szCs w:val="20"/>
              </w:rPr>
              <w:t>optimal</w:t>
            </w:r>
            <w:r w:rsidRPr="4E8ECCAA" w:rsidR="4E8ECCAA">
              <w:rPr>
                <w:rFonts w:eastAsia="Times New Roman" w:cs="Times New Roman"/>
                <w:sz w:val="20"/>
                <w:szCs w:val="20"/>
              </w:rPr>
              <w:t xml:space="preserve"> levels of security.</w:t>
            </w:r>
          </w:p>
        </w:tc>
      </w:tr>
      <w:tr w:rsidR="4E8ECCAA" w:rsidTr="4E8ECCAA" w14:paraId="0B53C6EC">
        <w:trPr>
          <w:trHeight w:val="1725"/>
        </w:trPr>
        <w:tc>
          <w:tcPr>
            <w:tcW w:w="568" w:type="dxa"/>
            <w:tcBorders>
              <w:top w:val="single" w:color="auto" w:sz="4" w:space="0"/>
              <w:left w:val="single" w:color="auto" w:sz="4" w:space="0"/>
              <w:bottom w:val="single" w:color="auto" w:sz="4" w:space="0"/>
              <w:right w:val="single" w:color="auto" w:sz="4" w:space="0"/>
            </w:tcBorders>
            <w:tcMar/>
          </w:tcPr>
          <w:p w:rsidR="5E3A71B3" w:rsidP="4E8ECCAA" w:rsidRDefault="5E3A71B3" w14:paraId="7DC3B007" w14:textId="71F35782">
            <w:pPr>
              <w:pStyle w:val="Heading3"/>
              <w:rPr>
                <w:sz w:val="20"/>
                <w:szCs w:val="20"/>
              </w:rPr>
            </w:pPr>
            <w:r w:rsidRPr="4E8ECCAA" w:rsidR="5E3A71B3">
              <w:rPr>
                <w:sz w:val="20"/>
                <w:szCs w:val="20"/>
              </w:rPr>
              <w:t>17</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5E3A71B3" w:rsidP="4E8ECCAA" w:rsidRDefault="5E3A71B3" w14:paraId="56ED773F" w14:textId="7956B309">
            <w:pPr>
              <w:pStyle w:val="Normal"/>
              <w:rPr>
                <w:sz w:val="20"/>
                <w:szCs w:val="20"/>
              </w:rPr>
            </w:pPr>
            <w:r w:rsidRPr="4E8ECCAA" w:rsidR="5E3A71B3">
              <w:rPr>
                <w:sz w:val="20"/>
                <w:szCs w:val="20"/>
              </w:rPr>
              <w:t>ISO 27005</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5E3A71B3" w:rsidP="4E8ECCAA" w:rsidRDefault="5E3A71B3" w14:paraId="403B0317" w14:textId="15365B57">
            <w:pPr>
              <w:pStyle w:val="Normal"/>
              <w:rPr>
                <w:rFonts w:eastAsia="Times New Roman" w:cs="Times New Roman"/>
                <w:sz w:val="20"/>
                <w:szCs w:val="20"/>
              </w:rPr>
            </w:pPr>
            <w:r w:rsidRPr="4E8ECCAA" w:rsidR="5E3A71B3">
              <w:rPr>
                <w:rFonts w:eastAsia="Times New Roman" w:cs="Times New Roman"/>
                <w:sz w:val="20"/>
                <w:szCs w:val="20"/>
              </w:rPr>
              <w:t>This standard encompasses various elements, such as outlining the process scope, valuing assets, evaluating their impact, offering examples of common threats, vulnerabilities, and methods to assess vulnerabilities, along with approaches for assessing information security risks.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5E3A71B3" w:rsidP="4E8ECCAA" w:rsidRDefault="5E3A71B3" w14:paraId="68B20D7D" w14:textId="733F0D1D">
            <w:pPr>
              <w:pStyle w:val="Normal"/>
              <w:rPr>
                <w:rFonts w:ascii="Aptos" w:hAnsi="Aptos" w:eastAsia="Aptos" w:cs="Aptos"/>
                <w:sz w:val="20"/>
                <w:szCs w:val="20"/>
              </w:rPr>
            </w:pPr>
            <w:r w:rsidRPr="4E8ECCAA" w:rsidR="5E3A71B3">
              <w:rPr>
                <w:rFonts w:ascii="Aptos" w:hAnsi="Aptos" w:eastAsia="Aptos" w:cs="Aptos"/>
                <w:sz w:val="20"/>
                <w:szCs w:val="20"/>
              </w:rPr>
              <w:t>Standard</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5E3A71B3" w:rsidP="4E8ECCAA" w:rsidRDefault="5E3A71B3" w14:paraId="7B8F845E" w14:textId="02C73E05">
            <w:pPr>
              <w:pStyle w:val="Normal"/>
              <w:rPr>
                <w:rFonts w:ascii="Aptos" w:hAnsi="Aptos" w:eastAsia="Aptos" w:cs="Aptos"/>
                <w:sz w:val="20"/>
                <w:szCs w:val="20"/>
              </w:rPr>
            </w:pPr>
            <w:r w:rsidRPr="4E8ECCAA" w:rsidR="5E3A71B3">
              <w:rPr>
                <w:rFonts w:ascii="Aptos" w:hAnsi="Aptos" w:eastAsia="Aptos" w:cs="Aptos"/>
                <w:sz w:val="20"/>
                <w:szCs w:val="20"/>
              </w:rPr>
              <w:t>Mandatory</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5E3A71B3" w:rsidP="4E8ECCAA" w:rsidRDefault="5E3A71B3" w14:paraId="61AAC3B9" w14:textId="04DA367A">
            <w:pPr>
              <w:pStyle w:val="Normal"/>
            </w:pPr>
            <w:r w:rsidRPr="4E8ECCAA" w:rsidR="5E3A71B3">
              <w:rPr>
                <w:rFonts w:ascii="Aptos" w:hAnsi="Aptos" w:eastAsia="Aptos" w:cs="Aptos"/>
                <w:noProof w:val="0"/>
                <w:sz w:val="20"/>
                <w:szCs w:val="20"/>
                <w:lang w:val="en-US"/>
              </w:rPr>
              <w:t>ISO 27005 is essential for PrimeHealth as it provides a structured approach to managing information security risks, ensuring the protection of sensitive health data and compliance with regulatory requirements. This standard supports PrimeHealth’s commitment to safeguarding patient information and maintaining trust through proactive risk management.</w:t>
            </w:r>
          </w:p>
        </w:tc>
      </w:tr>
      <w:tr w:rsidR="00940FBC" w:rsidTr="4E8ECCAA" w14:paraId="463759C6" w14:textId="77777777">
        <w:trPr>
          <w:trHeight w:val="300"/>
        </w:trPr>
        <w:tc>
          <w:tcPr>
            <w:tcW w:w="568" w:type="dxa"/>
            <w:tcBorders>
              <w:top w:val="single" w:color="auto" w:sz="4" w:space="0"/>
              <w:left w:val="single" w:color="auto" w:sz="4" w:space="0"/>
              <w:bottom w:val="single" w:color="auto" w:sz="4" w:space="0"/>
              <w:right w:val="single" w:color="auto" w:sz="4" w:space="0"/>
            </w:tcBorders>
            <w:tcMar/>
          </w:tcPr>
          <w:p w:rsidRPr="00254EF7" w:rsidR="00940FBC" w:rsidP="00254EF7" w:rsidRDefault="00DD7091" w14:paraId="40D9D8DE" w14:textId="6F986619">
            <w:pPr>
              <w:pStyle w:val="Heading3"/>
              <w:rPr>
                <w:sz w:val="20"/>
                <w:szCs w:val="20"/>
              </w:rPr>
            </w:pPr>
            <w:r>
              <w:rPr>
                <w:sz w:val="20"/>
                <w:szCs w:val="20"/>
              </w:rPr>
              <w:t>18</w:t>
            </w:r>
          </w:p>
        </w:tc>
        <w:tc>
          <w:tcPr>
            <w:tcW w:w="1842"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51F26CB3" w:rsidRDefault="00DD7091" w14:paraId="4E66F7A8" w14:textId="1F9B4E78">
            <w:pPr>
              <w:pStyle w:val="Heading3"/>
              <w:rPr>
                <w:sz w:val="20"/>
                <w:szCs w:val="20"/>
              </w:rPr>
            </w:pPr>
            <w:r>
              <w:rPr>
                <w:sz w:val="20"/>
                <w:szCs w:val="20"/>
              </w:rPr>
              <w:t>ISO/IEC</w:t>
            </w:r>
            <w:r w:rsidR="00844197">
              <w:rPr>
                <w:sz w:val="20"/>
                <w:szCs w:val="20"/>
              </w:rPr>
              <w:t xml:space="preserve"> 15189</w:t>
            </w:r>
            <w:r w:rsidR="00C44EC7">
              <w:rPr>
                <w:sz w:val="20"/>
                <w:szCs w:val="20"/>
              </w:rPr>
              <w:br/>
            </w:r>
            <w:r w:rsidR="00C44EC7">
              <w:rPr>
                <w:sz w:val="20"/>
                <w:szCs w:val="20"/>
              </w:rPr>
              <w:t>(2023)</w:t>
            </w:r>
          </w:p>
        </w:tc>
        <w:tc>
          <w:tcPr>
            <w:tcW w:w="453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51F26CB3" w:rsidRDefault="00466AB7" w14:paraId="3EED3A73" w14:textId="6881053E">
            <w:pPr>
              <w:spacing w:before="240" w:after="240"/>
              <w:rPr>
                <w:rFonts w:eastAsia="Times New Roman" w:cs="Times New Roman"/>
                <w:sz w:val="20"/>
                <w:szCs w:val="20"/>
              </w:rPr>
            </w:pPr>
            <w:r>
              <w:rPr>
                <w:rFonts w:eastAsia="Times New Roman" w:cs="Times New Roman"/>
                <w:sz w:val="20"/>
                <w:szCs w:val="20"/>
              </w:rPr>
              <w:t>ISO</w:t>
            </w:r>
            <w:r w:rsidR="003A1F08">
              <w:rPr>
                <w:rFonts w:eastAsia="Times New Roman" w:cs="Times New Roman"/>
                <w:sz w:val="20"/>
                <w:szCs w:val="20"/>
              </w:rPr>
              <w:t>15189 is an international standard that specifies the requirements for quality and competence in medical laboratories.</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51F26CB3" w:rsidRDefault="00986B56" w14:paraId="2DD3CD28" w14:textId="419FA17C">
            <w:pPr>
              <w:rPr>
                <w:rFonts w:ascii="Aptos" w:hAnsi="Aptos" w:eastAsia="Aptos" w:cs="Aptos"/>
                <w:sz w:val="20"/>
                <w:szCs w:val="20"/>
              </w:rPr>
            </w:pPr>
            <w:r>
              <w:rPr>
                <w:rFonts w:ascii="Aptos" w:hAnsi="Aptos" w:eastAsia="Aptos" w:cs="Aptos"/>
                <w:sz w:val="20"/>
                <w:szCs w:val="20"/>
              </w:rPr>
              <w:t>Standard</w:t>
            </w:r>
          </w:p>
        </w:tc>
        <w:tc>
          <w:tcPr>
            <w:tcW w:w="1276"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51F26CB3" w:rsidRDefault="00986B56" w14:paraId="681B676E" w14:textId="70F07E7C">
            <w:pPr>
              <w:rPr>
                <w:rFonts w:ascii="Aptos" w:hAnsi="Aptos" w:eastAsia="Aptos" w:cs="Aptos"/>
                <w:sz w:val="20"/>
                <w:szCs w:val="20"/>
              </w:rPr>
            </w:pPr>
            <w:r>
              <w:rPr>
                <w:rFonts w:ascii="Aptos" w:hAnsi="Aptos" w:eastAsia="Aptos" w:cs="Aptos"/>
                <w:sz w:val="20"/>
                <w:szCs w:val="20"/>
              </w:rPr>
              <w:t>Optional</w:t>
            </w:r>
          </w:p>
        </w:tc>
        <w:tc>
          <w:tcPr>
            <w:tcW w:w="5245"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Pr="00254EF7" w:rsidR="00940FBC" w:rsidP="00254EF7" w:rsidRDefault="00F9601F" w14:paraId="2C6952B4" w14:textId="4C82DA47">
            <w:pPr>
              <w:rPr>
                <w:rFonts w:eastAsia="Times New Roman" w:cs="Times New Roman"/>
                <w:sz w:val="20"/>
                <w:szCs w:val="20"/>
              </w:rPr>
            </w:pPr>
            <w:r w:rsidRPr="1AD45916" w:rsidR="00F9601F">
              <w:rPr>
                <w:rFonts w:eastAsia="Times New Roman" w:cs="Times New Roman"/>
                <w:sz w:val="20"/>
                <w:szCs w:val="20"/>
              </w:rPr>
              <w:t>Not mandatory.</w:t>
            </w:r>
            <w:r>
              <w:br/>
            </w:r>
            <w:r w:rsidRPr="1AD45916" w:rsidR="00F9601F">
              <w:rPr>
                <w:rFonts w:eastAsia="Times New Roman" w:cs="Times New Roman"/>
                <w:sz w:val="20"/>
                <w:szCs w:val="20"/>
              </w:rPr>
              <w:t xml:space="preserve">However, it is strongly suggested that any company that wants to provide pathology laboratory services </w:t>
            </w:r>
            <w:r w:rsidRPr="1AD45916" w:rsidR="006877A5">
              <w:rPr>
                <w:rFonts w:eastAsia="Times New Roman" w:cs="Times New Roman"/>
                <w:sz w:val="20"/>
                <w:szCs w:val="20"/>
              </w:rPr>
              <w:t xml:space="preserve">should be ISO15189 accredited, as </w:t>
            </w:r>
            <w:r w:rsidRPr="1AD45916" w:rsidR="008E49F3">
              <w:rPr>
                <w:rFonts w:eastAsia="Times New Roman" w:cs="Times New Roman"/>
                <w:sz w:val="20"/>
                <w:szCs w:val="20"/>
              </w:rPr>
              <w:t>benefits such as Australia’s Medicare might be difficult to obtain without accreditation.</w:t>
            </w:r>
            <w:r>
              <w:br/>
            </w:r>
            <w:r w:rsidRPr="1AD45916" w:rsidR="008E49F3">
              <w:rPr>
                <w:rFonts w:eastAsia="Times New Roman" w:cs="Times New Roman"/>
                <w:sz w:val="20"/>
                <w:szCs w:val="20"/>
              </w:rPr>
              <w:t xml:space="preserve">It is also strongly recommended, as this accreditation ensures the quality and reliability of services, which would be points </w:t>
            </w:r>
            <w:r w:rsidRPr="1AD45916" w:rsidR="6FB48C67">
              <w:rPr>
                <w:rFonts w:eastAsia="Times New Roman" w:cs="Times New Roman"/>
                <w:sz w:val="20"/>
                <w:szCs w:val="20"/>
              </w:rPr>
              <w:t>that partner</w:t>
            </w:r>
            <w:r w:rsidRPr="1AD45916" w:rsidR="008E49F3">
              <w:rPr>
                <w:rFonts w:eastAsia="Times New Roman" w:cs="Times New Roman"/>
                <w:sz w:val="20"/>
                <w:szCs w:val="20"/>
              </w:rPr>
              <w:t xml:space="preserve"> (such as hospitals, clinics, etc. without their own pathology department)</w:t>
            </w:r>
            <w:r w:rsidRPr="1AD45916" w:rsidR="00F9601F">
              <w:rPr>
                <w:rFonts w:eastAsia="Times New Roman" w:cs="Times New Roman"/>
                <w:sz w:val="20"/>
                <w:szCs w:val="20"/>
              </w:rPr>
              <w:t xml:space="preserve"> </w:t>
            </w:r>
            <w:r w:rsidRPr="1AD45916" w:rsidR="008E49F3">
              <w:rPr>
                <w:rFonts w:eastAsia="Times New Roman" w:cs="Times New Roman"/>
                <w:sz w:val="20"/>
                <w:szCs w:val="20"/>
              </w:rPr>
              <w:t>and customers would look for.</w:t>
            </w:r>
          </w:p>
        </w:tc>
      </w:tr>
    </w:tbl>
    <w:p w:rsidR="73187BB6" w:rsidRDefault="73187BB6" w14:paraId="5014A66C" w14:textId="6EDD7B77"/>
    <w:p w:rsidR="11B60F01" w:rsidRDefault="11B60F01" w14:paraId="42976F6B" w14:textId="2DAED7A6"/>
    <w:p w:rsidR="23D65FFA" w:rsidRDefault="23D65FFA" w14:paraId="3367861A" w14:textId="67E41C3F"/>
    <w:p w:rsidR="23D65FFA" w:rsidP="23D65FFA" w:rsidRDefault="23D65FFA" w14:paraId="6B34A606" w14:textId="62C6A8C6">
      <w:pPr>
        <w:pStyle w:val="ListParagraph"/>
      </w:pPr>
    </w:p>
    <w:sectPr w:rsidR="23D65FFA" w:rsidSect="00940FBC">
      <w:pgSz w:w="15840" w:h="12240" w:orient="landscape"/>
      <w:pgMar w:top="720" w:right="720" w:bottom="720" w:left="720" w:header="720" w:footer="720" w:gutter="0"/>
      <w:cols w:space="720"/>
      <w:docGrid w:linePitch="360"/>
      <w:headerReference w:type="default" r:id="Rb964864346b14b8c"/>
      <w:footerReference w:type="default" r:id="R01c13cad807a48e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800"/>
      <w:gridCol w:w="4800"/>
      <w:gridCol w:w="4800"/>
    </w:tblGrid>
    <w:tr w:rsidR="4E8ECCAA" w:rsidTr="4E8ECCAA" w14:paraId="4B6F710E">
      <w:trPr>
        <w:trHeight w:val="300"/>
      </w:trPr>
      <w:tc>
        <w:tcPr>
          <w:tcW w:w="4800" w:type="dxa"/>
          <w:tcMar/>
        </w:tcPr>
        <w:p w:rsidR="4E8ECCAA" w:rsidP="4E8ECCAA" w:rsidRDefault="4E8ECCAA" w14:paraId="1CAA133C" w14:textId="2CCDCA18">
          <w:pPr>
            <w:pStyle w:val="Header"/>
            <w:tabs>
              <w:tab w:val="center" w:leader="none" w:pos="4680"/>
              <w:tab w:val="right" w:leader="none" w:pos="9360"/>
            </w:tabs>
            <w:bidi w:val="0"/>
            <w:spacing w:after="0" w:line="240" w:lineRule="auto"/>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4E8ECCAA" w:rsidR="4E8ECCAA">
            <w:rPr>
              <w:rFonts w:ascii="Times New Roman" w:hAnsi="Times New Roman" w:eastAsia="Times New Roman" w:cs="Times New Roman"/>
              <w:b w:val="0"/>
              <w:bCs w:val="0"/>
              <w:i w:val="0"/>
              <w:iCs w:val="0"/>
              <w:caps w:val="0"/>
              <w:smallCaps w:val="0"/>
              <w:color w:val="000000" w:themeColor="text1" w:themeTint="FF" w:themeShade="FF"/>
              <w:sz w:val="20"/>
              <w:szCs w:val="20"/>
              <w:lang w:val="en-AU"/>
            </w:rPr>
            <w:t>PrimeHealth Clinic &amp; Diagnostics</w:t>
          </w:r>
        </w:p>
      </w:tc>
      <w:tc>
        <w:tcPr>
          <w:tcW w:w="4800" w:type="dxa"/>
          <w:tcMar/>
        </w:tcPr>
        <w:p w:rsidR="4E8ECCAA" w:rsidP="4E8ECCAA" w:rsidRDefault="4E8ECCAA" w14:paraId="6FE3AD34" w14:textId="4F51FC6A">
          <w:pPr>
            <w:pStyle w:val="Header"/>
            <w:tabs>
              <w:tab w:val="center" w:leader="none" w:pos="4680"/>
              <w:tab w:val="right" w:leader="none" w:pos="9360"/>
            </w:tabs>
            <w:bidi w:val="0"/>
            <w:spacing w:after="0" w:line="240" w:lineRule="auto"/>
            <w:ind w:right="-115"/>
            <w:jc w:val="right"/>
            <w:rPr>
              <w:rFonts w:ascii="Times New Roman" w:hAnsi="Times New Roman" w:eastAsia="Times New Roman" w:cs="Times New Roman"/>
              <w:b w:val="0"/>
              <w:bCs w:val="0"/>
              <w:i w:val="0"/>
              <w:iCs w:val="0"/>
              <w:caps w:val="0"/>
              <w:smallCaps w:val="0"/>
              <w:color w:val="000000" w:themeColor="text1" w:themeTint="FF" w:themeShade="FF"/>
              <w:sz w:val="20"/>
              <w:szCs w:val="20"/>
            </w:rPr>
          </w:pPr>
          <w:r w:rsidRPr="4E8ECCAA" w:rsidR="4E8ECCAA">
            <w:rPr>
              <w:rFonts w:ascii="Times New Roman" w:hAnsi="Times New Roman" w:eastAsia="Times New Roman" w:cs="Times New Roman"/>
              <w:b w:val="0"/>
              <w:bCs w:val="0"/>
              <w:i w:val="0"/>
              <w:iCs w:val="0"/>
              <w:caps w:val="0"/>
              <w:smallCaps w:val="0"/>
              <w:color w:val="000000" w:themeColor="text1" w:themeTint="FF" w:themeShade="FF"/>
              <w:sz w:val="20"/>
              <w:szCs w:val="20"/>
              <w:lang w:val="en-AU"/>
            </w:rPr>
            <w:t xml:space="preserve"> </w:t>
          </w:r>
        </w:p>
      </w:tc>
      <w:tc>
        <w:tcPr>
          <w:tcW w:w="4800" w:type="dxa"/>
          <w:tcMar/>
        </w:tcPr>
        <w:p w:rsidR="4E8ECCAA" w:rsidP="4E8ECCAA" w:rsidRDefault="4E8ECCAA" w14:paraId="0663C0EE" w14:textId="2C7A3A28">
          <w:pPr>
            <w:pStyle w:val="Header"/>
            <w:bidi w:val="0"/>
            <w:ind w:right="-115"/>
            <w:jc w:val="right"/>
            <w:rPr>
              <w:rFonts w:ascii="Times New Roman" w:hAnsi="Times New Roman" w:eastAsia="Times New Roman" w:cs="Times New Roman"/>
              <w:b w:val="0"/>
              <w:bCs w:val="0"/>
              <w:i w:val="0"/>
              <w:iCs w:val="0"/>
              <w:caps w:val="0"/>
              <w:smallCaps w:val="0"/>
              <w:color w:val="000000" w:themeColor="text1" w:themeTint="FF" w:themeShade="FF"/>
              <w:sz w:val="20"/>
              <w:szCs w:val="20"/>
              <w:lang w:val="en-AU"/>
            </w:rPr>
          </w:pPr>
          <w:r w:rsidRPr="4E8ECCAA" w:rsidR="4E8ECCAA">
            <w:rPr>
              <w:rFonts w:ascii="Times New Roman" w:hAnsi="Times New Roman" w:eastAsia="Times New Roman" w:cs="Times New Roman"/>
              <w:b w:val="0"/>
              <w:bCs w:val="0"/>
              <w:i w:val="0"/>
              <w:iCs w:val="0"/>
              <w:caps w:val="0"/>
              <w:smallCaps w:val="0"/>
              <w:color w:val="000000" w:themeColor="text1" w:themeTint="FF" w:themeShade="FF"/>
              <w:sz w:val="20"/>
              <w:szCs w:val="20"/>
              <w:lang w:val="en-AU"/>
            </w:rPr>
            <w:t>Standards, Frameworks, &amp; Regulations</w:t>
          </w:r>
        </w:p>
      </w:tc>
    </w:tr>
  </w:tbl>
  <w:p w:rsidR="4E8ECCAA" w:rsidP="4E8ECCAA" w:rsidRDefault="4E8ECCAA" w14:paraId="5970D25D" w14:textId="6CF5E98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800"/>
      <w:gridCol w:w="4800"/>
      <w:gridCol w:w="4800"/>
    </w:tblGrid>
    <w:tr w:rsidR="4E8ECCAA" w:rsidTr="4E8ECCAA" w14:paraId="0A9C61CC">
      <w:trPr>
        <w:trHeight w:val="300"/>
      </w:trPr>
      <w:tc>
        <w:tcPr>
          <w:tcW w:w="4800" w:type="dxa"/>
          <w:tcMar/>
        </w:tcPr>
        <w:p w:rsidR="4E8ECCAA" w:rsidP="4E8ECCAA" w:rsidRDefault="4E8ECCAA" w14:paraId="3E30454C" w14:textId="7BD9EA9E">
          <w:pPr>
            <w:pStyle w:val="Header"/>
            <w:bidi w:val="0"/>
            <w:ind w:left="-115"/>
            <w:jc w:val="left"/>
          </w:pPr>
        </w:p>
      </w:tc>
      <w:tc>
        <w:tcPr>
          <w:tcW w:w="4800" w:type="dxa"/>
          <w:tcMar/>
        </w:tcPr>
        <w:p w:rsidR="4E8ECCAA" w:rsidP="4E8ECCAA" w:rsidRDefault="4E8ECCAA" w14:paraId="74C880D2" w14:textId="361B1C49">
          <w:pPr>
            <w:pStyle w:val="Header"/>
            <w:bidi w:val="0"/>
            <w:jc w:val="center"/>
          </w:pPr>
        </w:p>
      </w:tc>
      <w:tc>
        <w:tcPr>
          <w:tcW w:w="4800" w:type="dxa"/>
          <w:tcMar/>
        </w:tcPr>
        <w:p w:rsidR="4E8ECCAA" w:rsidP="4E8ECCAA" w:rsidRDefault="4E8ECCAA" w14:paraId="5B51CB85" w14:textId="0E4A98F6">
          <w:pPr>
            <w:pStyle w:val="Header"/>
            <w:bidi w:val="0"/>
            <w:ind w:right="-115"/>
            <w:jc w:val="right"/>
          </w:pPr>
        </w:p>
      </w:tc>
    </w:tr>
  </w:tbl>
  <w:p w:rsidR="4E8ECCAA" w:rsidP="4E8ECCAA" w:rsidRDefault="4E8ECCAA" w14:paraId="3C96C588" w14:textId="4FF7FA0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B645A"/>
    <w:multiLevelType w:val="hybridMultilevel"/>
    <w:tmpl w:val="177A0A32"/>
    <w:lvl w:ilvl="0" w:tplc="781E8D40">
      <w:start w:val="1"/>
      <w:numFmt w:val="lowerLetter"/>
      <w:lvlText w:val="%1."/>
      <w:lvlJc w:val="left"/>
      <w:pPr>
        <w:ind w:left="1080" w:hanging="360"/>
      </w:pPr>
    </w:lvl>
    <w:lvl w:ilvl="1" w:tplc="4DAE6C56">
      <w:start w:val="1"/>
      <w:numFmt w:val="lowerLetter"/>
      <w:lvlText w:val="%2."/>
      <w:lvlJc w:val="left"/>
      <w:pPr>
        <w:ind w:left="1800" w:hanging="360"/>
      </w:pPr>
    </w:lvl>
    <w:lvl w:ilvl="2" w:tplc="81DA2676">
      <w:start w:val="1"/>
      <w:numFmt w:val="lowerRoman"/>
      <w:lvlText w:val="%3."/>
      <w:lvlJc w:val="right"/>
      <w:pPr>
        <w:ind w:left="2520" w:hanging="180"/>
      </w:pPr>
    </w:lvl>
    <w:lvl w:ilvl="3" w:tplc="C8027CD4">
      <w:start w:val="1"/>
      <w:numFmt w:val="decimal"/>
      <w:lvlText w:val="%4."/>
      <w:lvlJc w:val="left"/>
      <w:pPr>
        <w:ind w:left="3240" w:hanging="360"/>
      </w:pPr>
    </w:lvl>
    <w:lvl w:ilvl="4" w:tplc="7380522E">
      <w:start w:val="1"/>
      <w:numFmt w:val="lowerLetter"/>
      <w:lvlText w:val="%5."/>
      <w:lvlJc w:val="left"/>
      <w:pPr>
        <w:ind w:left="3960" w:hanging="360"/>
      </w:pPr>
    </w:lvl>
    <w:lvl w:ilvl="5" w:tplc="0C162254">
      <w:start w:val="1"/>
      <w:numFmt w:val="lowerRoman"/>
      <w:lvlText w:val="%6."/>
      <w:lvlJc w:val="right"/>
      <w:pPr>
        <w:ind w:left="4680" w:hanging="180"/>
      </w:pPr>
    </w:lvl>
    <w:lvl w:ilvl="6" w:tplc="601A633C">
      <w:start w:val="1"/>
      <w:numFmt w:val="decimal"/>
      <w:lvlText w:val="%7."/>
      <w:lvlJc w:val="left"/>
      <w:pPr>
        <w:ind w:left="5400" w:hanging="360"/>
      </w:pPr>
    </w:lvl>
    <w:lvl w:ilvl="7" w:tplc="4A1A53EE">
      <w:start w:val="1"/>
      <w:numFmt w:val="lowerLetter"/>
      <w:lvlText w:val="%8."/>
      <w:lvlJc w:val="left"/>
      <w:pPr>
        <w:ind w:left="6120" w:hanging="360"/>
      </w:pPr>
    </w:lvl>
    <w:lvl w:ilvl="8" w:tplc="44802E9A">
      <w:start w:val="1"/>
      <w:numFmt w:val="lowerRoman"/>
      <w:lvlText w:val="%9."/>
      <w:lvlJc w:val="right"/>
      <w:pPr>
        <w:ind w:left="6840" w:hanging="180"/>
      </w:pPr>
    </w:lvl>
  </w:abstractNum>
  <w:abstractNum w:abstractNumId="1" w15:restartNumberingAfterBreak="0">
    <w:nsid w:val="14C32356"/>
    <w:multiLevelType w:val="hybridMultilevel"/>
    <w:tmpl w:val="97D2D09A"/>
    <w:lvl w:ilvl="0" w:tplc="28BE68A0">
      <w:start w:val="1"/>
      <w:numFmt w:val="lowerLetter"/>
      <w:lvlText w:val="%1."/>
      <w:lvlJc w:val="left"/>
      <w:pPr>
        <w:ind w:left="1080" w:hanging="360"/>
      </w:pPr>
    </w:lvl>
    <w:lvl w:ilvl="1" w:tplc="18B67F12">
      <w:start w:val="1"/>
      <w:numFmt w:val="lowerLetter"/>
      <w:lvlText w:val="%2."/>
      <w:lvlJc w:val="left"/>
      <w:pPr>
        <w:ind w:left="1800" w:hanging="360"/>
      </w:pPr>
    </w:lvl>
    <w:lvl w:ilvl="2" w:tplc="4E081406">
      <w:start w:val="1"/>
      <w:numFmt w:val="lowerRoman"/>
      <w:lvlText w:val="%3."/>
      <w:lvlJc w:val="right"/>
      <w:pPr>
        <w:ind w:left="2520" w:hanging="180"/>
      </w:pPr>
    </w:lvl>
    <w:lvl w:ilvl="3" w:tplc="8BCA3BEC">
      <w:start w:val="1"/>
      <w:numFmt w:val="decimal"/>
      <w:lvlText w:val="%4."/>
      <w:lvlJc w:val="left"/>
      <w:pPr>
        <w:ind w:left="3240" w:hanging="360"/>
      </w:pPr>
    </w:lvl>
    <w:lvl w:ilvl="4" w:tplc="5EBA7D90">
      <w:start w:val="1"/>
      <w:numFmt w:val="lowerLetter"/>
      <w:lvlText w:val="%5."/>
      <w:lvlJc w:val="left"/>
      <w:pPr>
        <w:ind w:left="3960" w:hanging="360"/>
      </w:pPr>
    </w:lvl>
    <w:lvl w:ilvl="5" w:tplc="748476BC">
      <w:start w:val="1"/>
      <w:numFmt w:val="lowerRoman"/>
      <w:lvlText w:val="%6."/>
      <w:lvlJc w:val="right"/>
      <w:pPr>
        <w:ind w:left="4680" w:hanging="180"/>
      </w:pPr>
    </w:lvl>
    <w:lvl w:ilvl="6" w:tplc="6F7ECA02">
      <w:start w:val="1"/>
      <w:numFmt w:val="decimal"/>
      <w:lvlText w:val="%7."/>
      <w:lvlJc w:val="left"/>
      <w:pPr>
        <w:ind w:left="5400" w:hanging="360"/>
      </w:pPr>
    </w:lvl>
    <w:lvl w:ilvl="7" w:tplc="5B94BF50">
      <w:start w:val="1"/>
      <w:numFmt w:val="lowerLetter"/>
      <w:lvlText w:val="%8."/>
      <w:lvlJc w:val="left"/>
      <w:pPr>
        <w:ind w:left="6120" w:hanging="360"/>
      </w:pPr>
    </w:lvl>
    <w:lvl w:ilvl="8" w:tplc="DA628804">
      <w:start w:val="1"/>
      <w:numFmt w:val="lowerRoman"/>
      <w:lvlText w:val="%9."/>
      <w:lvlJc w:val="right"/>
      <w:pPr>
        <w:ind w:left="6840" w:hanging="180"/>
      </w:pPr>
    </w:lvl>
  </w:abstractNum>
  <w:abstractNum w:abstractNumId="2" w15:restartNumberingAfterBreak="0">
    <w:nsid w:val="19005C38"/>
    <w:multiLevelType w:val="hybridMultilevel"/>
    <w:tmpl w:val="FB9AE8EE"/>
    <w:lvl w:ilvl="0" w:tplc="A16645E0">
      <w:start w:val="1"/>
      <w:numFmt w:val="lowerLetter"/>
      <w:lvlText w:val="%1."/>
      <w:lvlJc w:val="left"/>
      <w:pPr>
        <w:ind w:left="1080" w:hanging="360"/>
      </w:pPr>
    </w:lvl>
    <w:lvl w:ilvl="1" w:tplc="373C679E">
      <w:start w:val="1"/>
      <w:numFmt w:val="lowerLetter"/>
      <w:lvlText w:val="%2."/>
      <w:lvlJc w:val="left"/>
      <w:pPr>
        <w:ind w:left="1800" w:hanging="360"/>
      </w:pPr>
    </w:lvl>
    <w:lvl w:ilvl="2" w:tplc="A4028714">
      <w:start w:val="1"/>
      <w:numFmt w:val="lowerRoman"/>
      <w:lvlText w:val="%3."/>
      <w:lvlJc w:val="right"/>
      <w:pPr>
        <w:ind w:left="2520" w:hanging="180"/>
      </w:pPr>
    </w:lvl>
    <w:lvl w:ilvl="3" w:tplc="9BF6984C">
      <w:start w:val="1"/>
      <w:numFmt w:val="decimal"/>
      <w:lvlText w:val="%4."/>
      <w:lvlJc w:val="left"/>
      <w:pPr>
        <w:ind w:left="3240" w:hanging="360"/>
      </w:pPr>
    </w:lvl>
    <w:lvl w:ilvl="4" w:tplc="0804CD4C">
      <w:start w:val="1"/>
      <w:numFmt w:val="lowerLetter"/>
      <w:lvlText w:val="%5."/>
      <w:lvlJc w:val="left"/>
      <w:pPr>
        <w:ind w:left="3960" w:hanging="360"/>
      </w:pPr>
    </w:lvl>
    <w:lvl w:ilvl="5" w:tplc="7AAEC7BA">
      <w:start w:val="1"/>
      <w:numFmt w:val="lowerRoman"/>
      <w:lvlText w:val="%6."/>
      <w:lvlJc w:val="right"/>
      <w:pPr>
        <w:ind w:left="4680" w:hanging="180"/>
      </w:pPr>
    </w:lvl>
    <w:lvl w:ilvl="6" w:tplc="CF5EE5FC">
      <w:start w:val="1"/>
      <w:numFmt w:val="decimal"/>
      <w:lvlText w:val="%7."/>
      <w:lvlJc w:val="left"/>
      <w:pPr>
        <w:ind w:left="5400" w:hanging="360"/>
      </w:pPr>
    </w:lvl>
    <w:lvl w:ilvl="7" w:tplc="B4AA5A6A">
      <w:start w:val="1"/>
      <w:numFmt w:val="lowerLetter"/>
      <w:lvlText w:val="%8."/>
      <w:lvlJc w:val="left"/>
      <w:pPr>
        <w:ind w:left="6120" w:hanging="360"/>
      </w:pPr>
    </w:lvl>
    <w:lvl w:ilvl="8" w:tplc="EE76C1F6">
      <w:start w:val="1"/>
      <w:numFmt w:val="lowerRoman"/>
      <w:lvlText w:val="%9."/>
      <w:lvlJc w:val="right"/>
      <w:pPr>
        <w:ind w:left="6840" w:hanging="180"/>
      </w:pPr>
    </w:lvl>
  </w:abstractNum>
  <w:abstractNum w:abstractNumId="3" w15:restartNumberingAfterBreak="0">
    <w:nsid w:val="1AC5DCE8"/>
    <w:multiLevelType w:val="hybridMultilevel"/>
    <w:tmpl w:val="6554A88E"/>
    <w:lvl w:ilvl="0" w:tplc="E15AC49A">
      <w:start w:val="1"/>
      <w:numFmt w:val="lowerLetter"/>
      <w:lvlText w:val="%1."/>
      <w:lvlJc w:val="left"/>
      <w:pPr>
        <w:ind w:left="1080" w:hanging="360"/>
      </w:pPr>
    </w:lvl>
    <w:lvl w:ilvl="1" w:tplc="E5C41124">
      <w:start w:val="1"/>
      <w:numFmt w:val="lowerLetter"/>
      <w:lvlText w:val="%2."/>
      <w:lvlJc w:val="left"/>
      <w:pPr>
        <w:ind w:left="1800" w:hanging="360"/>
      </w:pPr>
    </w:lvl>
    <w:lvl w:ilvl="2" w:tplc="D10A0118">
      <w:start w:val="1"/>
      <w:numFmt w:val="lowerRoman"/>
      <w:lvlText w:val="%3."/>
      <w:lvlJc w:val="right"/>
      <w:pPr>
        <w:ind w:left="2520" w:hanging="180"/>
      </w:pPr>
    </w:lvl>
    <w:lvl w:ilvl="3" w:tplc="3C0CE594">
      <w:start w:val="1"/>
      <w:numFmt w:val="decimal"/>
      <w:lvlText w:val="%4."/>
      <w:lvlJc w:val="left"/>
      <w:pPr>
        <w:ind w:left="3240" w:hanging="360"/>
      </w:pPr>
    </w:lvl>
    <w:lvl w:ilvl="4" w:tplc="DDC8D1B0">
      <w:start w:val="1"/>
      <w:numFmt w:val="lowerLetter"/>
      <w:lvlText w:val="%5."/>
      <w:lvlJc w:val="left"/>
      <w:pPr>
        <w:ind w:left="3960" w:hanging="360"/>
      </w:pPr>
    </w:lvl>
    <w:lvl w:ilvl="5" w:tplc="04929FA2">
      <w:start w:val="1"/>
      <w:numFmt w:val="lowerRoman"/>
      <w:lvlText w:val="%6."/>
      <w:lvlJc w:val="right"/>
      <w:pPr>
        <w:ind w:left="4680" w:hanging="180"/>
      </w:pPr>
    </w:lvl>
    <w:lvl w:ilvl="6" w:tplc="9822D0BE">
      <w:start w:val="1"/>
      <w:numFmt w:val="decimal"/>
      <w:lvlText w:val="%7."/>
      <w:lvlJc w:val="left"/>
      <w:pPr>
        <w:ind w:left="5400" w:hanging="360"/>
      </w:pPr>
    </w:lvl>
    <w:lvl w:ilvl="7" w:tplc="B012520C">
      <w:start w:val="1"/>
      <w:numFmt w:val="lowerLetter"/>
      <w:lvlText w:val="%8."/>
      <w:lvlJc w:val="left"/>
      <w:pPr>
        <w:ind w:left="6120" w:hanging="360"/>
      </w:pPr>
    </w:lvl>
    <w:lvl w:ilvl="8" w:tplc="09406138">
      <w:start w:val="1"/>
      <w:numFmt w:val="lowerRoman"/>
      <w:lvlText w:val="%9."/>
      <w:lvlJc w:val="right"/>
      <w:pPr>
        <w:ind w:left="6840" w:hanging="180"/>
      </w:pPr>
    </w:lvl>
  </w:abstractNum>
  <w:abstractNum w:abstractNumId="4" w15:restartNumberingAfterBreak="0">
    <w:nsid w:val="1EAADF2B"/>
    <w:multiLevelType w:val="hybridMultilevel"/>
    <w:tmpl w:val="1A9AD6D4"/>
    <w:lvl w:ilvl="0" w:tplc="32205FCC">
      <w:start w:val="1"/>
      <w:numFmt w:val="lowerLetter"/>
      <w:lvlText w:val="%1."/>
      <w:lvlJc w:val="left"/>
      <w:pPr>
        <w:ind w:left="1080" w:hanging="360"/>
      </w:pPr>
    </w:lvl>
    <w:lvl w:ilvl="1" w:tplc="7B34EB66">
      <w:start w:val="1"/>
      <w:numFmt w:val="lowerLetter"/>
      <w:lvlText w:val="%2."/>
      <w:lvlJc w:val="left"/>
      <w:pPr>
        <w:ind w:left="1800" w:hanging="360"/>
      </w:pPr>
    </w:lvl>
    <w:lvl w:ilvl="2" w:tplc="337A503A">
      <w:start w:val="1"/>
      <w:numFmt w:val="lowerRoman"/>
      <w:lvlText w:val="%3."/>
      <w:lvlJc w:val="right"/>
      <w:pPr>
        <w:ind w:left="2520" w:hanging="180"/>
      </w:pPr>
    </w:lvl>
    <w:lvl w:ilvl="3" w:tplc="2DA8E11A">
      <w:start w:val="1"/>
      <w:numFmt w:val="decimal"/>
      <w:lvlText w:val="%4."/>
      <w:lvlJc w:val="left"/>
      <w:pPr>
        <w:ind w:left="3240" w:hanging="360"/>
      </w:pPr>
    </w:lvl>
    <w:lvl w:ilvl="4" w:tplc="63C4F1A8">
      <w:start w:val="1"/>
      <w:numFmt w:val="lowerLetter"/>
      <w:lvlText w:val="%5."/>
      <w:lvlJc w:val="left"/>
      <w:pPr>
        <w:ind w:left="3960" w:hanging="360"/>
      </w:pPr>
    </w:lvl>
    <w:lvl w:ilvl="5" w:tplc="3AA65662">
      <w:start w:val="1"/>
      <w:numFmt w:val="lowerRoman"/>
      <w:lvlText w:val="%6."/>
      <w:lvlJc w:val="right"/>
      <w:pPr>
        <w:ind w:left="4680" w:hanging="180"/>
      </w:pPr>
    </w:lvl>
    <w:lvl w:ilvl="6" w:tplc="5666E2BE">
      <w:start w:val="1"/>
      <w:numFmt w:val="decimal"/>
      <w:lvlText w:val="%7."/>
      <w:lvlJc w:val="left"/>
      <w:pPr>
        <w:ind w:left="5400" w:hanging="360"/>
      </w:pPr>
    </w:lvl>
    <w:lvl w:ilvl="7" w:tplc="0ED68696">
      <w:start w:val="1"/>
      <w:numFmt w:val="lowerLetter"/>
      <w:lvlText w:val="%8."/>
      <w:lvlJc w:val="left"/>
      <w:pPr>
        <w:ind w:left="6120" w:hanging="360"/>
      </w:pPr>
    </w:lvl>
    <w:lvl w:ilvl="8" w:tplc="D2D23FF0">
      <w:start w:val="1"/>
      <w:numFmt w:val="lowerRoman"/>
      <w:lvlText w:val="%9."/>
      <w:lvlJc w:val="right"/>
      <w:pPr>
        <w:ind w:left="6840" w:hanging="180"/>
      </w:pPr>
    </w:lvl>
  </w:abstractNum>
  <w:abstractNum w:abstractNumId="5" w15:restartNumberingAfterBreak="0">
    <w:nsid w:val="1F2E53D9"/>
    <w:multiLevelType w:val="hybridMultilevel"/>
    <w:tmpl w:val="0A68BB86"/>
    <w:lvl w:ilvl="0" w:tplc="8182F2A6">
      <w:start w:val="1"/>
      <w:numFmt w:val="lowerLetter"/>
      <w:lvlText w:val="%1."/>
      <w:lvlJc w:val="left"/>
      <w:pPr>
        <w:ind w:left="1440" w:hanging="360"/>
      </w:pPr>
    </w:lvl>
    <w:lvl w:ilvl="1" w:tplc="8FB6B2FA">
      <w:start w:val="1"/>
      <w:numFmt w:val="lowerLetter"/>
      <w:lvlText w:val="%2."/>
      <w:lvlJc w:val="left"/>
      <w:pPr>
        <w:ind w:left="2160" w:hanging="360"/>
      </w:pPr>
    </w:lvl>
    <w:lvl w:ilvl="2" w:tplc="92EAAD9E">
      <w:start w:val="1"/>
      <w:numFmt w:val="lowerRoman"/>
      <w:lvlText w:val="%3."/>
      <w:lvlJc w:val="right"/>
      <w:pPr>
        <w:ind w:left="2880" w:hanging="180"/>
      </w:pPr>
    </w:lvl>
    <w:lvl w:ilvl="3" w:tplc="F52C21BE">
      <w:start w:val="1"/>
      <w:numFmt w:val="decimal"/>
      <w:lvlText w:val="%4."/>
      <w:lvlJc w:val="left"/>
      <w:pPr>
        <w:ind w:left="3600" w:hanging="360"/>
      </w:pPr>
    </w:lvl>
    <w:lvl w:ilvl="4" w:tplc="BFF2343A">
      <w:start w:val="1"/>
      <w:numFmt w:val="lowerLetter"/>
      <w:lvlText w:val="%5."/>
      <w:lvlJc w:val="left"/>
      <w:pPr>
        <w:ind w:left="4320" w:hanging="360"/>
      </w:pPr>
    </w:lvl>
    <w:lvl w:ilvl="5" w:tplc="E2402EEC">
      <w:start w:val="1"/>
      <w:numFmt w:val="lowerRoman"/>
      <w:lvlText w:val="%6."/>
      <w:lvlJc w:val="right"/>
      <w:pPr>
        <w:ind w:left="5040" w:hanging="180"/>
      </w:pPr>
    </w:lvl>
    <w:lvl w:ilvl="6" w:tplc="7CAC2F08">
      <w:start w:val="1"/>
      <w:numFmt w:val="decimal"/>
      <w:lvlText w:val="%7."/>
      <w:lvlJc w:val="left"/>
      <w:pPr>
        <w:ind w:left="5760" w:hanging="360"/>
      </w:pPr>
    </w:lvl>
    <w:lvl w:ilvl="7" w:tplc="B16E6B78">
      <w:start w:val="1"/>
      <w:numFmt w:val="lowerLetter"/>
      <w:lvlText w:val="%8."/>
      <w:lvlJc w:val="left"/>
      <w:pPr>
        <w:ind w:left="6480" w:hanging="360"/>
      </w:pPr>
    </w:lvl>
    <w:lvl w:ilvl="8" w:tplc="3C48205C">
      <w:start w:val="1"/>
      <w:numFmt w:val="lowerRoman"/>
      <w:lvlText w:val="%9."/>
      <w:lvlJc w:val="right"/>
      <w:pPr>
        <w:ind w:left="7200" w:hanging="180"/>
      </w:pPr>
    </w:lvl>
  </w:abstractNum>
  <w:abstractNum w:abstractNumId="6" w15:restartNumberingAfterBreak="0">
    <w:nsid w:val="1F757AF5"/>
    <w:multiLevelType w:val="hybridMultilevel"/>
    <w:tmpl w:val="CCDC9BAC"/>
    <w:lvl w:ilvl="0" w:tplc="B944FD1C">
      <w:start w:val="1"/>
      <w:numFmt w:val="lowerLetter"/>
      <w:lvlText w:val="%1."/>
      <w:lvlJc w:val="left"/>
      <w:pPr>
        <w:ind w:left="1080" w:hanging="360"/>
      </w:pPr>
    </w:lvl>
    <w:lvl w:ilvl="1" w:tplc="B50C2AC6">
      <w:start w:val="1"/>
      <w:numFmt w:val="lowerLetter"/>
      <w:lvlText w:val="%2."/>
      <w:lvlJc w:val="left"/>
      <w:pPr>
        <w:ind w:left="1800" w:hanging="360"/>
      </w:pPr>
    </w:lvl>
    <w:lvl w:ilvl="2" w:tplc="48AA35F6">
      <w:start w:val="1"/>
      <w:numFmt w:val="lowerRoman"/>
      <w:lvlText w:val="%3."/>
      <w:lvlJc w:val="right"/>
      <w:pPr>
        <w:ind w:left="2520" w:hanging="180"/>
      </w:pPr>
    </w:lvl>
    <w:lvl w:ilvl="3" w:tplc="9BBABC9A">
      <w:start w:val="1"/>
      <w:numFmt w:val="decimal"/>
      <w:lvlText w:val="%4."/>
      <w:lvlJc w:val="left"/>
      <w:pPr>
        <w:ind w:left="3240" w:hanging="360"/>
      </w:pPr>
    </w:lvl>
    <w:lvl w:ilvl="4" w:tplc="F29A7D30">
      <w:start w:val="1"/>
      <w:numFmt w:val="lowerLetter"/>
      <w:lvlText w:val="%5."/>
      <w:lvlJc w:val="left"/>
      <w:pPr>
        <w:ind w:left="3960" w:hanging="360"/>
      </w:pPr>
    </w:lvl>
    <w:lvl w:ilvl="5" w:tplc="2E96B1B8">
      <w:start w:val="1"/>
      <w:numFmt w:val="lowerRoman"/>
      <w:lvlText w:val="%6."/>
      <w:lvlJc w:val="right"/>
      <w:pPr>
        <w:ind w:left="4680" w:hanging="180"/>
      </w:pPr>
    </w:lvl>
    <w:lvl w:ilvl="6" w:tplc="6D7EF1E2">
      <w:start w:val="1"/>
      <w:numFmt w:val="decimal"/>
      <w:lvlText w:val="%7."/>
      <w:lvlJc w:val="left"/>
      <w:pPr>
        <w:ind w:left="5400" w:hanging="360"/>
      </w:pPr>
    </w:lvl>
    <w:lvl w:ilvl="7" w:tplc="F92E1632">
      <w:start w:val="1"/>
      <w:numFmt w:val="lowerLetter"/>
      <w:lvlText w:val="%8."/>
      <w:lvlJc w:val="left"/>
      <w:pPr>
        <w:ind w:left="6120" w:hanging="360"/>
      </w:pPr>
    </w:lvl>
    <w:lvl w:ilvl="8" w:tplc="D178A9FC">
      <w:start w:val="1"/>
      <w:numFmt w:val="lowerRoman"/>
      <w:lvlText w:val="%9."/>
      <w:lvlJc w:val="right"/>
      <w:pPr>
        <w:ind w:left="6840" w:hanging="180"/>
      </w:pPr>
    </w:lvl>
  </w:abstractNum>
  <w:abstractNum w:abstractNumId="7" w15:restartNumberingAfterBreak="0">
    <w:nsid w:val="276339B0"/>
    <w:multiLevelType w:val="hybridMultilevel"/>
    <w:tmpl w:val="CDBEAD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231C89"/>
    <w:multiLevelType w:val="hybridMultilevel"/>
    <w:tmpl w:val="B5724D32"/>
    <w:lvl w:ilvl="0" w:tplc="015A1F9A">
      <w:start w:val="1"/>
      <w:numFmt w:val="lowerLetter"/>
      <w:lvlText w:val="%1."/>
      <w:lvlJc w:val="left"/>
      <w:pPr>
        <w:ind w:left="1080" w:hanging="360"/>
      </w:pPr>
    </w:lvl>
    <w:lvl w:ilvl="1" w:tplc="D95AD144">
      <w:start w:val="1"/>
      <w:numFmt w:val="lowerLetter"/>
      <w:lvlText w:val="%2."/>
      <w:lvlJc w:val="left"/>
      <w:pPr>
        <w:ind w:left="1800" w:hanging="360"/>
      </w:pPr>
    </w:lvl>
    <w:lvl w:ilvl="2" w:tplc="CD4C80A0">
      <w:start w:val="1"/>
      <w:numFmt w:val="lowerRoman"/>
      <w:lvlText w:val="%3."/>
      <w:lvlJc w:val="right"/>
      <w:pPr>
        <w:ind w:left="2520" w:hanging="180"/>
      </w:pPr>
    </w:lvl>
    <w:lvl w:ilvl="3" w:tplc="E4EE297C">
      <w:start w:val="1"/>
      <w:numFmt w:val="decimal"/>
      <w:lvlText w:val="%4."/>
      <w:lvlJc w:val="left"/>
      <w:pPr>
        <w:ind w:left="3240" w:hanging="360"/>
      </w:pPr>
    </w:lvl>
    <w:lvl w:ilvl="4" w:tplc="E3689668">
      <w:start w:val="1"/>
      <w:numFmt w:val="lowerLetter"/>
      <w:lvlText w:val="%5."/>
      <w:lvlJc w:val="left"/>
      <w:pPr>
        <w:ind w:left="3960" w:hanging="360"/>
      </w:pPr>
    </w:lvl>
    <w:lvl w:ilvl="5" w:tplc="BB507450">
      <w:start w:val="1"/>
      <w:numFmt w:val="lowerRoman"/>
      <w:lvlText w:val="%6."/>
      <w:lvlJc w:val="right"/>
      <w:pPr>
        <w:ind w:left="4680" w:hanging="180"/>
      </w:pPr>
    </w:lvl>
    <w:lvl w:ilvl="6" w:tplc="80802ECC">
      <w:start w:val="1"/>
      <w:numFmt w:val="decimal"/>
      <w:lvlText w:val="%7."/>
      <w:lvlJc w:val="left"/>
      <w:pPr>
        <w:ind w:left="5400" w:hanging="360"/>
      </w:pPr>
    </w:lvl>
    <w:lvl w:ilvl="7" w:tplc="C7489D12">
      <w:start w:val="1"/>
      <w:numFmt w:val="lowerLetter"/>
      <w:lvlText w:val="%8."/>
      <w:lvlJc w:val="left"/>
      <w:pPr>
        <w:ind w:left="6120" w:hanging="360"/>
      </w:pPr>
    </w:lvl>
    <w:lvl w:ilvl="8" w:tplc="67A47E5A">
      <w:start w:val="1"/>
      <w:numFmt w:val="lowerRoman"/>
      <w:lvlText w:val="%9."/>
      <w:lvlJc w:val="right"/>
      <w:pPr>
        <w:ind w:left="6840" w:hanging="180"/>
      </w:pPr>
    </w:lvl>
  </w:abstractNum>
  <w:abstractNum w:abstractNumId="9" w15:restartNumberingAfterBreak="0">
    <w:nsid w:val="2D8F10A9"/>
    <w:multiLevelType w:val="hybridMultilevel"/>
    <w:tmpl w:val="7D0A810E"/>
    <w:lvl w:ilvl="0" w:tplc="284C4230">
      <w:numFmt w:val="bullet"/>
      <w:lvlText w:val="-"/>
      <w:lvlJc w:val="left"/>
      <w:pPr>
        <w:ind w:left="720" w:hanging="360"/>
      </w:pPr>
      <w:rPr>
        <w:rFonts w:hint="default" w:ascii="Aptos" w:hAnsi="Aptos" w:eastAsia="Times New Roman" w:cs="Times New Roman"/>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3BD876F9"/>
    <w:multiLevelType w:val="hybridMultilevel"/>
    <w:tmpl w:val="9FA4DAA8"/>
    <w:lvl w:ilvl="0" w:tplc="FDE017D6">
      <w:start w:val="1"/>
      <w:numFmt w:val="lowerLetter"/>
      <w:lvlText w:val="%1."/>
      <w:lvlJc w:val="left"/>
      <w:pPr>
        <w:ind w:left="720" w:hanging="360"/>
      </w:pPr>
    </w:lvl>
    <w:lvl w:ilvl="1" w:tplc="DBE0C2CE">
      <w:start w:val="1"/>
      <w:numFmt w:val="lowerLetter"/>
      <w:lvlText w:val="%2."/>
      <w:lvlJc w:val="left"/>
      <w:pPr>
        <w:ind w:left="1440" w:hanging="360"/>
      </w:pPr>
    </w:lvl>
    <w:lvl w:ilvl="2" w:tplc="D4C07438">
      <w:start w:val="1"/>
      <w:numFmt w:val="lowerRoman"/>
      <w:lvlText w:val="%3."/>
      <w:lvlJc w:val="right"/>
      <w:pPr>
        <w:ind w:left="2160" w:hanging="180"/>
      </w:pPr>
    </w:lvl>
    <w:lvl w:ilvl="3" w:tplc="E4DECF1C">
      <w:start w:val="1"/>
      <w:numFmt w:val="decimal"/>
      <w:lvlText w:val="%4."/>
      <w:lvlJc w:val="left"/>
      <w:pPr>
        <w:ind w:left="2880" w:hanging="360"/>
      </w:pPr>
    </w:lvl>
    <w:lvl w:ilvl="4" w:tplc="EA508A10">
      <w:start w:val="1"/>
      <w:numFmt w:val="lowerLetter"/>
      <w:lvlText w:val="%5."/>
      <w:lvlJc w:val="left"/>
      <w:pPr>
        <w:ind w:left="3600" w:hanging="360"/>
      </w:pPr>
    </w:lvl>
    <w:lvl w:ilvl="5" w:tplc="2248ADD6">
      <w:start w:val="1"/>
      <w:numFmt w:val="lowerRoman"/>
      <w:lvlText w:val="%6."/>
      <w:lvlJc w:val="right"/>
      <w:pPr>
        <w:ind w:left="4320" w:hanging="180"/>
      </w:pPr>
    </w:lvl>
    <w:lvl w:ilvl="6" w:tplc="63A65CF8">
      <w:start w:val="1"/>
      <w:numFmt w:val="decimal"/>
      <w:lvlText w:val="%7."/>
      <w:lvlJc w:val="left"/>
      <w:pPr>
        <w:ind w:left="5040" w:hanging="360"/>
      </w:pPr>
    </w:lvl>
    <w:lvl w:ilvl="7" w:tplc="F93ACA86">
      <w:start w:val="1"/>
      <w:numFmt w:val="lowerLetter"/>
      <w:lvlText w:val="%8."/>
      <w:lvlJc w:val="left"/>
      <w:pPr>
        <w:ind w:left="5760" w:hanging="360"/>
      </w:pPr>
    </w:lvl>
    <w:lvl w:ilvl="8" w:tplc="F8FC7878">
      <w:start w:val="1"/>
      <w:numFmt w:val="lowerRoman"/>
      <w:lvlText w:val="%9."/>
      <w:lvlJc w:val="right"/>
      <w:pPr>
        <w:ind w:left="6480" w:hanging="180"/>
      </w:pPr>
    </w:lvl>
  </w:abstractNum>
  <w:abstractNum w:abstractNumId="11" w15:restartNumberingAfterBreak="0">
    <w:nsid w:val="3E7D2F4F"/>
    <w:multiLevelType w:val="hybridMultilevel"/>
    <w:tmpl w:val="7E4C9A5E"/>
    <w:lvl w:ilvl="0" w:tplc="ACCED25E">
      <w:start w:val="1"/>
      <w:numFmt w:val="lowerLetter"/>
      <w:lvlText w:val="%1."/>
      <w:lvlJc w:val="left"/>
      <w:pPr>
        <w:ind w:left="1080" w:hanging="360"/>
      </w:pPr>
    </w:lvl>
    <w:lvl w:ilvl="1" w:tplc="1924E676">
      <w:start w:val="1"/>
      <w:numFmt w:val="lowerLetter"/>
      <w:lvlText w:val="%2."/>
      <w:lvlJc w:val="left"/>
      <w:pPr>
        <w:ind w:left="1800" w:hanging="360"/>
      </w:pPr>
    </w:lvl>
    <w:lvl w:ilvl="2" w:tplc="BB2CF864">
      <w:start w:val="1"/>
      <w:numFmt w:val="lowerRoman"/>
      <w:lvlText w:val="%3."/>
      <w:lvlJc w:val="right"/>
      <w:pPr>
        <w:ind w:left="2520" w:hanging="180"/>
      </w:pPr>
    </w:lvl>
    <w:lvl w:ilvl="3" w:tplc="AAC00418">
      <w:start w:val="1"/>
      <w:numFmt w:val="decimal"/>
      <w:lvlText w:val="%4."/>
      <w:lvlJc w:val="left"/>
      <w:pPr>
        <w:ind w:left="3240" w:hanging="360"/>
      </w:pPr>
    </w:lvl>
    <w:lvl w:ilvl="4" w:tplc="5E984E9A">
      <w:start w:val="1"/>
      <w:numFmt w:val="lowerLetter"/>
      <w:lvlText w:val="%5."/>
      <w:lvlJc w:val="left"/>
      <w:pPr>
        <w:ind w:left="3960" w:hanging="360"/>
      </w:pPr>
    </w:lvl>
    <w:lvl w:ilvl="5" w:tplc="BAF6E562">
      <w:start w:val="1"/>
      <w:numFmt w:val="lowerRoman"/>
      <w:lvlText w:val="%6."/>
      <w:lvlJc w:val="right"/>
      <w:pPr>
        <w:ind w:left="4680" w:hanging="180"/>
      </w:pPr>
    </w:lvl>
    <w:lvl w:ilvl="6" w:tplc="6CB6FFF8">
      <w:start w:val="1"/>
      <w:numFmt w:val="decimal"/>
      <w:lvlText w:val="%7."/>
      <w:lvlJc w:val="left"/>
      <w:pPr>
        <w:ind w:left="5400" w:hanging="360"/>
      </w:pPr>
    </w:lvl>
    <w:lvl w:ilvl="7" w:tplc="645CAAAC">
      <w:start w:val="1"/>
      <w:numFmt w:val="lowerLetter"/>
      <w:lvlText w:val="%8."/>
      <w:lvlJc w:val="left"/>
      <w:pPr>
        <w:ind w:left="6120" w:hanging="360"/>
      </w:pPr>
    </w:lvl>
    <w:lvl w:ilvl="8" w:tplc="24205700">
      <w:start w:val="1"/>
      <w:numFmt w:val="lowerRoman"/>
      <w:lvlText w:val="%9."/>
      <w:lvlJc w:val="right"/>
      <w:pPr>
        <w:ind w:left="6840" w:hanging="180"/>
      </w:pPr>
    </w:lvl>
  </w:abstractNum>
  <w:abstractNum w:abstractNumId="12" w15:restartNumberingAfterBreak="0">
    <w:nsid w:val="3F1EEDC5"/>
    <w:multiLevelType w:val="hybridMultilevel"/>
    <w:tmpl w:val="1598D270"/>
    <w:lvl w:ilvl="0" w:tplc="9634F290">
      <w:start w:val="1"/>
      <w:numFmt w:val="lowerLetter"/>
      <w:lvlText w:val="%1."/>
      <w:lvlJc w:val="left"/>
      <w:pPr>
        <w:ind w:left="1080" w:hanging="360"/>
      </w:pPr>
    </w:lvl>
    <w:lvl w:ilvl="1" w:tplc="27846C2A">
      <w:start w:val="1"/>
      <w:numFmt w:val="lowerLetter"/>
      <w:lvlText w:val="%2."/>
      <w:lvlJc w:val="left"/>
      <w:pPr>
        <w:ind w:left="1800" w:hanging="360"/>
      </w:pPr>
    </w:lvl>
    <w:lvl w:ilvl="2" w:tplc="14CC26C4">
      <w:start w:val="1"/>
      <w:numFmt w:val="lowerRoman"/>
      <w:lvlText w:val="%3."/>
      <w:lvlJc w:val="right"/>
      <w:pPr>
        <w:ind w:left="2520" w:hanging="180"/>
      </w:pPr>
    </w:lvl>
    <w:lvl w:ilvl="3" w:tplc="7A6292A6">
      <w:start w:val="1"/>
      <w:numFmt w:val="decimal"/>
      <w:lvlText w:val="%4."/>
      <w:lvlJc w:val="left"/>
      <w:pPr>
        <w:ind w:left="3240" w:hanging="360"/>
      </w:pPr>
    </w:lvl>
    <w:lvl w:ilvl="4" w:tplc="881AF436">
      <w:start w:val="1"/>
      <w:numFmt w:val="lowerLetter"/>
      <w:lvlText w:val="%5."/>
      <w:lvlJc w:val="left"/>
      <w:pPr>
        <w:ind w:left="3960" w:hanging="360"/>
      </w:pPr>
    </w:lvl>
    <w:lvl w:ilvl="5" w:tplc="439E5C68">
      <w:start w:val="1"/>
      <w:numFmt w:val="lowerRoman"/>
      <w:lvlText w:val="%6."/>
      <w:lvlJc w:val="right"/>
      <w:pPr>
        <w:ind w:left="4680" w:hanging="180"/>
      </w:pPr>
    </w:lvl>
    <w:lvl w:ilvl="6" w:tplc="8D822CD6">
      <w:start w:val="1"/>
      <w:numFmt w:val="decimal"/>
      <w:lvlText w:val="%7."/>
      <w:lvlJc w:val="left"/>
      <w:pPr>
        <w:ind w:left="5400" w:hanging="360"/>
      </w:pPr>
    </w:lvl>
    <w:lvl w:ilvl="7" w:tplc="83C0BB48">
      <w:start w:val="1"/>
      <w:numFmt w:val="lowerLetter"/>
      <w:lvlText w:val="%8."/>
      <w:lvlJc w:val="left"/>
      <w:pPr>
        <w:ind w:left="6120" w:hanging="360"/>
      </w:pPr>
    </w:lvl>
    <w:lvl w:ilvl="8" w:tplc="5D782952">
      <w:start w:val="1"/>
      <w:numFmt w:val="lowerRoman"/>
      <w:lvlText w:val="%9."/>
      <w:lvlJc w:val="right"/>
      <w:pPr>
        <w:ind w:left="6840" w:hanging="180"/>
      </w:pPr>
    </w:lvl>
  </w:abstractNum>
  <w:abstractNum w:abstractNumId="13" w15:restartNumberingAfterBreak="0">
    <w:nsid w:val="4C37A7C7"/>
    <w:multiLevelType w:val="hybridMultilevel"/>
    <w:tmpl w:val="A4920D26"/>
    <w:lvl w:ilvl="0" w:tplc="D9CE7798">
      <w:start w:val="1"/>
      <w:numFmt w:val="lowerLetter"/>
      <w:lvlText w:val="%1."/>
      <w:lvlJc w:val="left"/>
      <w:pPr>
        <w:ind w:left="1080" w:hanging="360"/>
      </w:pPr>
    </w:lvl>
    <w:lvl w:ilvl="1" w:tplc="986296E4">
      <w:start w:val="1"/>
      <w:numFmt w:val="lowerLetter"/>
      <w:lvlText w:val="%2."/>
      <w:lvlJc w:val="left"/>
      <w:pPr>
        <w:ind w:left="1800" w:hanging="360"/>
      </w:pPr>
    </w:lvl>
    <w:lvl w:ilvl="2" w:tplc="2F58B5A2">
      <w:start w:val="1"/>
      <w:numFmt w:val="lowerRoman"/>
      <w:lvlText w:val="%3."/>
      <w:lvlJc w:val="right"/>
      <w:pPr>
        <w:ind w:left="2520" w:hanging="180"/>
      </w:pPr>
    </w:lvl>
    <w:lvl w:ilvl="3" w:tplc="A4083886">
      <w:start w:val="1"/>
      <w:numFmt w:val="decimal"/>
      <w:lvlText w:val="%4."/>
      <w:lvlJc w:val="left"/>
      <w:pPr>
        <w:ind w:left="3240" w:hanging="360"/>
      </w:pPr>
    </w:lvl>
    <w:lvl w:ilvl="4" w:tplc="E94A668A">
      <w:start w:val="1"/>
      <w:numFmt w:val="lowerLetter"/>
      <w:lvlText w:val="%5."/>
      <w:lvlJc w:val="left"/>
      <w:pPr>
        <w:ind w:left="3960" w:hanging="360"/>
      </w:pPr>
    </w:lvl>
    <w:lvl w:ilvl="5" w:tplc="492A25AC">
      <w:start w:val="1"/>
      <w:numFmt w:val="lowerRoman"/>
      <w:lvlText w:val="%6."/>
      <w:lvlJc w:val="right"/>
      <w:pPr>
        <w:ind w:left="4680" w:hanging="180"/>
      </w:pPr>
    </w:lvl>
    <w:lvl w:ilvl="6" w:tplc="A7C6E474">
      <w:start w:val="1"/>
      <w:numFmt w:val="decimal"/>
      <w:lvlText w:val="%7."/>
      <w:lvlJc w:val="left"/>
      <w:pPr>
        <w:ind w:left="5400" w:hanging="360"/>
      </w:pPr>
    </w:lvl>
    <w:lvl w:ilvl="7" w:tplc="C700D24E">
      <w:start w:val="1"/>
      <w:numFmt w:val="lowerLetter"/>
      <w:lvlText w:val="%8."/>
      <w:lvlJc w:val="left"/>
      <w:pPr>
        <w:ind w:left="6120" w:hanging="360"/>
      </w:pPr>
    </w:lvl>
    <w:lvl w:ilvl="8" w:tplc="9BBE5A76">
      <w:start w:val="1"/>
      <w:numFmt w:val="lowerRoman"/>
      <w:lvlText w:val="%9."/>
      <w:lvlJc w:val="right"/>
      <w:pPr>
        <w:ind w:left="6840" w:hanging="180"/>
      </w:pPr>
    </w:lvl>
  </w:abstractNum>
  <w:abstractNum w:abstractNumId="14" w15:restartNumberingAfterBreak="0">
    <w:nsid w:val="4E444216"/>
    <w:multiLevelType w:val="hybridMultilevel"/>
    <w:tmpl w:val="5A2A8FE8"/>
    <w:lvl w:ilvl="0" w:tplc="191A560C">
      <w:start w:val="1"/>
      <w:numFmt w:val="lowerLetter"/>
      <w:lvlText w:val="%1."/>
      <w:lvlJc w:val="left"/>
      <w:pPr>
        <w:ind w:left="1080" w:hanging="360"/>
      </w:pPr>
    </w:lvl>
    <w:lvl w:ilvl="1" w:tplc="78086770">
      <w:start w:val="1"/>
      <w:numFmt w:val="lowerLetter"/>
      <w:lvlText w:val="%2."/>
      <w:lvlJc w:val="left"/>
      <w:pPr>
        <w:ind w:left="1800" w:hanging="360"/>
      </w:pPr>
    </w:lvl>
    <w:lvl w:ilvl="2" w:tplc="9DDEF06C">
      <w:start w:val="1"/>
      <w:numFmt w:val="lowerRoman"/>
      <w:lvlText w:val="%3."/>
      <w:lvlJc w:val="right"/>
      <w:pPr>
        <w:ind w:left="2520" w:hanging="180"/>
      </w:pPr>
    </w:lvl>
    <w:lvl w:ilvl="3" w:tplc="201293EC">
      <w:start w:val="1"/>
      <w:numFmt w:val="decimal"/>
      <w:lvlText w:val="%4."/>
      <w:lvlJc w:val="left"/>
      <w:pPr>
        <w:ind w:left="3240" w:hanging="360"/>
      </w:pPr>
    </w:lvl>
    <w:lvl w:ilvl="4" w:tplc="48426B0A">
      <w:start w:val="1"/>
      <w:numFmt w:val="lowerLetter"/>
      <w:lvlText w:val="%5."/>
      <w:lvlJc w:val="left"/>
      <w:pPr>
        <w:ind w:left="3960" w:hanging="360"/>
      </w:pPr>
    </w:lvl>
    <w:lvl w:ilvl="5" w:tplc="CAA4B270">
      <w:start w:val="1"/>
      <w:numFmt w:val="lowerRoman"/>
      <w:lvlText w:val="%6."/>
      <w:lvlJc w:val="right"/>
      <w:pPr>
        <w:ind w:left="4680" w:hanging="180"/>
      </w:pPr>
    </w:lvl>
    <w:lvl w:ilvl="6" w:tplc="22AA3DDE">
      <w:start w:val="1"/>
      <w:numFmt w:val="decimal"/>
      <w:lvlText w:val="%7."/>
      <w:lvlJc w:val="left"/>
      <w:pPr>
        <w:ind w:left="5400" w:hanging="360"/>
      </w:pPr>
    </w:lvl>
    <w:lvl w:ilvl="7" w:tplc="F39AE6A2">
      <w:start w:val="1"/>
      <w:numFmt w:val="lowerLetter"/>
      <w:lvlText w:val="%8."/>
      <w:lvlJc w:val="left"/>
      <w:pPr>
        <w:ind w:left="6120" w:hanging="360"/>
      </w:pPr>
    </w:lvl>
    <w:lvl w:ilvl="8" w:tplc="64466D30">
      <w:start w:val="1"/>
      <w:numFmt w:val="lowerRoman"/>
      <w:lvlText w:val="%9."/>
      <w:lvlJc w:val="right"/>
      <w:pPr>
        <w:ind w:left="6840" w:hanging="180"/>
      </w:pPr>
    </w:lvl>
  </w:abstractNum>
  <w:abstractNum w:abstractNumId="15" w15:restartNumberingAfterBreak="0">
    <w:nsid w:val="61A77387"/>
    <w:multiLevelType w:val="hybridMultilevel"/>
    <w:tmpl w:val="4650B6EA"/>
    <w:lvl w:ilvl="0" w:tplc="9D9CF000">
      <w:start w:val="1"/>
      <w:numFmt w:val="lowerLetter"/>
      <w:lvlText w:val="%1."/>
      <w:lvlJc w:val="left"/>
      <w:pPr>
        <w:ind w:left="1080" w:hanging="360"/>
      </w:pPr>
    </w:lvl>
    <w:lvl w:ilvl="1" w:tplc="D242DBAA">
      <w:start w:val="1"/>
      <w:numFmt w:val="lowerLetter"/>
      <w:lvlText w:val="%2."/>
      <w:lvlJc w:val="left"/>
      <w:pPr>
        <w:ind w:left="1800" w:hanging="360"/>
      </w:pPr>
    </w:lvl>
    <w:lvl w:ilvl="2" w:tplc="8B18B46E">
      <w:start w:val="1"/>
      <w:numFmt w:val="lowerRoman"/>
      <w:lvlText w:val="%3."/>
      <w:lvlJc w:val="right"/>
      <w:pPr>
        <w:ind w:left="2520" w:hanging="180"/>
      </w:pPr>
    </w:lvl>
    <w:lvl w:ilvl="3" w:tplc="5C6E5C00">
      <w:start w:val="1"/>
      <w:numFmt w:val="decimal"/>
      <w:lvlText w:val="%4."/>
      <w:lvlJc w:val="left"/>
      <w:pPr>
        <w:ind w:left="3240" w:hanging="360"/>
      </w:pPr>
    </w:lvl>
    <w:lvl w:ilvl="4" w:tplc="DFD46092">
      <w:start w:val="1"/>
      <w:numFmt w:val="lowerLetter"/>
      <w:lvlText w:val="%5."/>
      <w:lvlJc w:val="left"/>
      <w:pPr>
        <w:ind w:left="3960" w:hanging="360"/>
      </w:pPr>
    </w:lvl>
    <w:lvl w:ilvl="5" w:tplc="2B9ECA94">
      <w:start w:val="1"/>
      <w:numFmt w:val="lowerRoman"/>
      <w:lvlText w:val="%6."/>
      <w:lvlJc w:val="right"/>
      <w:pPr>
        <w:ind w:left="4680" w:hanging="180"/>
      </w:pPr>
    </w:lvl>
    <w:lvl w:ilvl="6" w:tplc="37785E86">
      <w:start w:val="1"/>
      <w:numFmt w:val="decimal"/>
      <w:lvlText w:val="%7."/>
      <w:lvlJc w:val="left"/>
      <w:pPr>
        <w:ind w:left="5400" w:hanging="360"/>
      </w:pPr>
    </w:lvl>
    <w:lvl w:ilvl="7" w:tplc="9A8421FC">
      <w:start w:val="1"/>
      <w:numFmt w:val="lowerLetter"/>
      <w:lvlText w:val="%8."/>
      <w:lvlJc w:val="left"/>
      <w:pPr>
        <w:ind w:left="6120" w:hanging="360"/>
      </w:pPr>
    </w:lvl>
    <w:lvl w:ilvl="8" w:tplc="2E166A50">
      <w:start w:val="1"/>
      <w:numFmt w:val="lowerRoman"/>
      <w:lvlText w:val="%9."/>
      <w:lvlJc w:val="right"/>
      <w:pPr>
        <w:ind w:left="6840" w:hanging="180"/>
      </w:pPr>
    </w:lvl>
  </w:abstractNum>
  <w:abstractNum w:abstractNumId="16" w15:restartNumberingAfterBreak="0">
    <w:nsid w:val="61C69403"/>
    <w:multiLevelType w:val="hybridMultilevel"/>
    <w:tmpl w:val="0A408C96"/>
    <w:lvl w:ilvl="0" w:tplc="D97AD682">
      <w:start w:val="1"/>
      <w:numFmt w:val="lowerLetter"/>
      <w:lvlText w:val="%1."/>
      <w:lvlJc w:val="left"/>
      <w:pPr>
        <w:ind w:left="1080" w:hanging="360"/>
      </w:pPr>
    </w:lvl>
    <w:lvl w:ilvl="1" w:tplc="D0AE3532">
      <w:start w:val="1"/>
      <w:numFmt w:val="lowerLetter"/>
      <w:lvlText w:val="%2."/>
      <w:lvlJc w:val="left"/>
      <w:pPr>
        <w:ind w:left="1800" w:hanging="360"/>
      </w:pPr>
    </w:lvl>
    <w:lvl w:ilvl="2" w:tplc="288E1B06">
      <w:start w:val="1"/>
      <w:numFmt w:val="lowerRoman"/>
      <w:lvlText w:val="%3."/>
      <w:lvlJc w:val="right"/>
      <w:pPr>
        <w:ind w:left="2520" w:hanging="180"/>
      </w:pPr>
    </w:lvl>
    <w:lvl w:ilvl="3" w:tplc="2C62049E">
      <w:start w:val="1"/>
      <w:numFmt w:val="decimal"/>
      <w:lvlText w:val="%4."/>
      <w:lvlJc w:val="left"/>
      <w:pPr>
        <w:ind w:left="3240" w:hanging="360"/>
      </w:pPr>
    </w:lvl>
    <w:lvl w:ilvl="4" w:tplc="8FC4B82C">
      <w:start w:val="1"/>
      <w:numFmt w:val="lowerLetter"/>
      <w:lvlText w:val="%5."/>
      <w:lvlJc w:val="left"/>
      <w:pPr>
        <w:ind w:left="3960" w:hanging="360"/>
      </w:pPr>
    </w:lvl>
    <w:lvl w:ilvl="5" w:tplc="09429C54">
      <w:start w:val="1"/>
      <w:numFmt w:val="lowerRoman"/>
      <w:lvlText w:val="%6."/>
      <w:lvlJc w:val="right"/>
      <w:pPr>
        <w:ind w:left="4680" w:hanging="180"/>
      </w:pPr>
    </w:lvl>
    <w:lvl w:ilvl="6" w:tplc="D4B488E0">
      <w:start w:val="1"/>
      <w:numFmt w:val="decimal"/>
      <w:lvlText w:val="%7."/>
      <w:lvlJc w:val="left"/>
      <w:pPr>
        <w:ind w:left="5400" w:hanging="360"/>
      </w:pPr>
    </w:lvl>
    <w:lvl w:ilvl="7" w:tplc="7364375C">
      <w:start w:val="1"/>
      <w:numFmt w:val="lowerLetter"/>
      <w:lvlText w:val="%8."/>
      <w:lvlJc w:val="left"/>
      <w:pPr>
        <w:ind w:left="6120" w:hanging="360"/>
      </w:pPr>
    </w:lvl>
    <w:lvl w:ilvl="8" w:tplc="18A0291C">
      <w:start w:val="1"/>
      <w:numFmt w:val="lowerRoman"/>
      <w:lvlText w:val="%9."/>
      <w:lvlJc w:val="right"/>
      <w:pPr>
        <w:ind w:left="6840" w:hanging="180"/>
      </w:pPr>
    </w:lvl>
  </w:abstractNum>
  <w:abstractNum w:abstractNumId="17" w15:restartNumberingAfterBreak="0">
    <w:nsid w:val="7517D5C4"/>
    <w:multiLevelType w:val="hybridMultilevel"/>
    <w:tmpl w:val="14AC8E00"/>
    <w:lvl w:ilvl="0" w:tplc="FB9A0B52">
      <w:start w:val="1"/>
      <w:numFmt w:val="lowerLetter"/>
      <w:lvlText w:val="%1."/>
      <w:lvlJc w:val="left"/>
      <w:pPr>
        <w:ind w:left="1080" w:hanging="360"/>
      </w:pPr>
    </w:lvl>
    <w:lvl w:ilvl="1" w:tplc="8A1481A6">
      <w:start w:val="1"/>
      <w:numFmt w:val="lowerLetter"/>
      <w:lvlText w:val="%2."/>
      <w:lvlJc w:val="left"/>
      <w:pPr>
        <w:ind w:left="1800" w:hanging="360"/>
      </w:pPr>
    </w:lvl>
    <w:lvl w:ilvl="2" w:tplc="1C8EE156">
      <w:start w:val="1"/>
      <w:numFmt w:val="lowerRoman"/>
      <w:lvlText w:val="%3."/>
      <w:lvlJc w:val="right"/>
      <w:pPr>
        <w:ind w:left="2520" w:hanging="180"/>
      </w:pPr>
    </w:lvl>
    <w:lvl w:ilvl="3" w:tplc="5FF006D2">
      <w:start w:val="1"/>
      <w:numFmt w:val="decimal"/>
      <w:lvlText w:val="%4."/>
      <w:lvlJc w:val="left"/>
      <w:pPr>
        <w:ind w:left="3240" w:hanging="360"/>
      </w:pPr>
    </w:lvl>
    <w:lvl w:ilvl="4" w:tplc="FDEA8ED0">
      <w:start w:val="1"/>
      <w:numFmt w:val="lowerLetter"/>
      <w:lvlText w:val="%5."/>
      <w:lvlJc w:val="left"/>
      <w:pPr>
        <w:ind w:left="3960" w:hanging="360"/>
      </w:pPr>
    </w:lvl>
    <w:lvl w:ilvl="5" w:tplc="601C94DC">
      <w:start w:val="1"/>
      <w:numFmt w:val="lowerRoman"/>
      <w:lvlText w:val="%6."/>
      <w:lvlJc w:val="right"/>
      <w:pPr>
        <w:ind w:left="4680" w:hanging="180"/>
      </w:pPr>
    </w:lvl>
    <w:lvl w:ilvl="6" w:tplc="300EF1D6">
      <w:start w:val="1"/>
      <w:numFmt w:val="decimal"/>
      <w:lvlText w:val="%7."/>
      <w:lvlJc w:val="left"/>
      <w:pPr>
        <w:ind w:left="5400" w:hanging="360"/>
      </w:pPr>
    </w:lvl>
    <w:lvl w:ilvl="7" w:tplc="4D563100">
      <w:start w:val="1"/>
      <w:numFmt w:val="lowerLetter"/>
      <w:lvlText w:val="%8."/>
      <w:lvlJc w:val="left"/>
      <w:pPr>
        <w:ind w:left="6120" w:hanging="360"/>
      </w:pPr>
    </w:lvl>
    <w:lvl w:ilvl="8" w:tplc="5B262322">
      <w:start w:val="1"/>
      <w:numFmt w:val="lowerRoman"/>
      <w:lvlText w:val="%9."/>
      <w:lvlJc w:val="right"/>
      <w:pPr>
        <w:ind w:left="6840" w:hanging="180"/>
      </w:pPr>
    </w:lvl>
  </w:abstractNum>
  <w:num w:numId="1" w16cid:durableId="1134329528">
    <w:abstractNumId w:val="13"/>
  </w:num>
  <w:num w:numId="2" w16cid:durableId="178979559">
    <w:abstractNumId w:val="10"/>
  </w:num>
  <w:num w:numId="3" w16cid:durableId="1478960911">
    <w:abstractNumId w:val="12"/>
  </w:num>
  <w:num w:numId="4" w16cid:durableId="2048988345">
    <w:abstractNumId w:val="16"/>
  </w:num>
  <w:num w:numId="5" w16cid:durableId="1704281683">
    <w:abstractNumId w:val="14"/>
  </w:num>
  <w:num w:numId="6" w16cid:durableId="1385786738">
    <w:abstractNumId w:val="6"/>
  </w:num>
  <w:num w:numId="7" w16cid:durableId="62991711">
    <w:abstractNumId w:val="1"/>
  </w:num>
  <w:num w:numId="8" w16cid:durableId="1803383456">
    <w:abstractNumId w:val="15"/>
  </w:num>
  <w:num w:numId="9" w16cid:durableId="1367869341">
    <w:abstractNumId w:val="0"/>
  </w:num>
  <w:num w:numId="10" w16cid:durableId="103771569">
    <w:abstractNumId w:val="4"/>
  </w:num>
  <w:num w:numId="11" w16cid:durableId="1136098460">
    <w:abstractNumId w:val="17"/>
  </w:num>
  <w:num w:numId="12" w16cid:durableId="360085884">
    <w:abstractNumId w:val="8"/>
  </w:num>
  <w:num w:numId="13" w16cid:durableId="1024328094">
    <w:abstractNumId w:val="11"/>
  </w:num>
  <w:num w:numId="14" w16cid:durableId="1494250945">
    <w:abstractNumId w:val="5"/>
  </w:num>
  <w:num w:numId="15" w16cid:durableId="1530951895">
    <w:abstractNumId w:val="3"/>
  </w:num>
  <w:num w:numId="16" w16cid:durableId="2026974200">
    <w:abstractNumId w:val="2"/>
  </w:num>
  <w:num w:numId="17" w16cid:durableId="1808889721">
    <w:abstractNumId w:val="7"/>
  </w:num>
  <w:num w:numId="18" w16cid:durableId="535241216">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898B07"/>
    <w:rsid w:val="00091472"/>
    <w:rsid w:val="000A5F42"/>
    <w:rsid w:val="000B2E67"/>
    <w:rsid w:val="000B64B0"/>
    <w:rsid w:val="000C31AE"/>
    <w:rsid w:val="000E644E"/>
    <w:rsid w:val="00115612"/>
    <w:rsid w:val="00164D36"/>
    <w:rsid w:val="0019028D"/>
    <w:rsid w:val="001C0802"/>
    <w:rsid w:val="001C2A03"/>
    <w:rsid w:val="001D76D0"/>
    <w:rsid w:val="001F1701"/>
    <w:rsid w:val="00201474"/>
    <w:rsid w:val="002076E0"/>
    <w:rsid w:val="00224F59"/>
    <w:rsid w:val="0023706C"/>
    <w:rsid w:val="00246C76"/>
    <w:rsid w:val="00254EF7"/>
    <w:rsid w:val="00260045"/>
    <w:rsid w:val="00266A41"/>
    <w:rsid w:val="00283E9B"/>
    <w:rsid w:val="002B1E37"/>
    <w:rsid w:val="00345D15"/>
    <w:rsid w:val="00374DB3"/>
    <w:rsid w:val="00396F88"/>
    <w:rsid w:val="003A1F08"/>
    <w:rsid w:val="003A401F"/>
    <w:rsid w:val="003A6F31"/>
    <w:rsid w:val="003B023B"/>
    <w:rsid w:val="003C2241"/>
    <w:rsid w:val="003C3109"/>
    <w:rsid w:val="003E0F96"/>
    <w:rsid w:val="003E22E9"/>
    <w:rsid w:val="003F56CE"/>
    <w:rsid w:val="00400B5F"/>
    <w:rsid w:val="00431027"/>
    <w:rsid w:val="00431587"/>
    <w:rsid w:val="00437A0C"/>
    <w:rsid w:val="00466AB7"/>
    <w:rsid w:val="00470CBA"/>
    <w:rsid w:val="00481133"/>
    <w:rsid w:val="00492804"/>
    <w:rsid w:val="00495A91"/>
    <w:rsid w:val="004A31FC"/>
    <w:rsid w:val="004B53D9"/>
    <w:rsid w:val="004B6C6A"/>
    <w:rsid w:val="004C3FAC"/>
    <w:rsid w:val="005107B8"/>
    <w:rsid w:val="005221E3"/>
    <w:rsid w:val="005573CD"/>
    <w:rsid w:val="00560268"/>
    <w:rsid w:val="0056207E"/>
    <w:rsid w:val="00577056"/>
    <w:rsid w:val="00582954"/>
    <w:rsid w:val="005E430F"/>
    <w:rsid w:val="005F23E2"/>
    <w:rsid w:val="006179CA"/>
    <w:rsid w:val="0063085B"/>
    <w:rsid w:val="00647C9A"/>
    <w:rsid w:val="00660465"/>
    <w:rsid w:val="00667E6F"/>
    <w:rsid w:val="006710A9"/>
    <w:rsid w:val="006711B7"/>
    <w:rsid w:val="006862FA"/>
    <w:rsid w:val="006877A5"/>
    <w:rsid w:val="006A23E7"/>
    <w:rsid w:val="006B2EFE"/>
    <w:rsid w:val="006D47F5"/>
    <w:rsid w:val="00700EC0"/>
    <w:rsid w:val="00747B62"/>
    <w:rsid w:val="00767A20"/>
    <w:rsid w:val="007B12C0"/>
    <w:rsid w:val="007D12DD"/>
    <w:rsid w:val="007E457A"/>
    <w:rsid w:val="008103B4"/>
    <w:rsid w:val="00833458"/>
    <w:rsid w:val="00844197"/>
    <w:rsid w:val="008523CE"/>
    <w:rsid w:val="008653EF"/>
    <w:rsid w:val="00865CAB"/>
    <w:rsid w:val="008774A8"/>
    <w:rsid w:val="008A0B63"/>
    <w:rsid w:val="008B6DB5"/>
    <w:rsid w:val="008B79D9"/>
    <w:rsid w:val="008C5370"/>
    <w:rsid w:val="008D4900"/>
    <w:rsid w:val="008E49F3"/>
    <w:rsid w:val="00900D3D"/>
    <w:rsid w:val="00905DA4"/>
    <w:rsid w:val="00940FBC"/>
    <w:rsid w:val="00945073"/>
    <w:rsid w:val="00946CAF"/>
    <w:rsid w:val="00955F47"/>
    <w:rsid w:val="0096452D"/>
    <w:rsid w:val="00971929"/>
    <w:rsid w:val="00986B56"/>
    <w:rsid w:val="009A14A0"/>
    <w:rsid w:val="009D3D6A"/>
    <w:rsid w:val="009DD31A"/>
    <w:rsid w:val="009E234A"/>
    <w:rsid w:val="009E42F1"/>
    <w:rsid w:val="00A0052F"/>
    <w:rsid w:val="00A113B2"/>
    <w:rsid w:val="00A12734"/>
    <w:rsid w:val="00A12A63"/>
    <w:rsid w:val="00A31B85"/>
    <w:rsid w:val="00A36E64"/>
    <w:rsid w:val="00A641CE"/>
    <w:rsid w:val="00A72902"/>
    <w:rsid w:val="00AC59AC"/>
    <w:rsid w:val="00AD2AEA"/>
    <w:rsid w:val="00AF05D7"/>
    <w:rsid w:val="00B00C1D"/>
    <w:rsid w:val="00B11E1D"/>
    <w:rsid w:val="00B32A0E"/>
    <w:rsid w:val="00B35979"/>
    <w:rsid w:val="00B43649"/>
    <w:rsid w:val="00B61C9F"/>
    <w:rsid w:val="00B933D0"/>
    <w:rsid w:val="00C021E4"/>
    <w:rsid w:val="00C20594"/>
    <w:rsid w:val="00C26E78"/>
    <w:rsid w:val="00C3116D"/>
    <w:rsid w:val="00C44EC7"/>
    <w:rsid w:val="00C5070D"/>
    <w:rsid w:val="00C809F9"/>
    <w:rsid w:val="00D14F57"/>
    <w:rsid w:val="00D16B48"/>
    <w:rsid w:val="00D32B9C"/>
    <w:rsid w:val="00D3562A"/>
    <w:rsid w:val="00D361C6"/>
    <w:rsid w:val="00D851EA"/>
    <w:rsid w:val="00DA243E"/>
    <w:rsid w:val="00DC059B"/>
    <w:rsid w:val="00DD7091"/>
    <w:rsid w:val="00DE5C8F"/>
    <w:rsid w:val="00E02A01"/>
    <w:rsid w:val="00E128C8"/>
    <w:rsid w:val="00E16AA6"/>
    <w:rsid w:val="00E2274C"/>
    <w:rsid w:val="00E40E9F"/>
    <w:rsid w:val="00E45159"/>
    <w:rsid w:val="00E71F8D"/>
    <w:rsid w:val="00E87367"/>
    <w:rsid w:val="00EA1AC5"/>
    <w:rsid w:val="00EB3035"/>
    <w:rsid w:val="00EC006B"/>
    <w:rsid w:val="00EC6B49"/>
    <w:rsid w:val="00ED0E82"/>
    <w:rsid w:val="00EE5404"/>
    <w:rsid w:val="00EF40A3"/>
    <w:rsid w:val="00F12D99"/>
    <w:rsid w:val="00F24E7F"/>
    <w:rsid w:val="00F37C43"/>
    <w:rsid w:val="00F426C8"/>
    <w:rsid w:val="00F51F3C"/>
    <w:rsid w:val="00F533D4"/>
    <w:rsid w:val="00F70C8D"/>
    <w:rsid w:val="00F86C90"/>
    <w:rsid w:val="00F951FF"/>
    <w:rsid w:val="00F9601F"/>
    <w:rsid w:val="00FC146C"/>
    <w:rsid w:val="01131365"/>
    <w:rsid w:val="02A79A59"/>
    <w:rsid w:val="03EA9679"/>
    <w:rsid w:val="043B9415"/>
    <w:rsid w:val="04783564"/>
    <w:rsid w:val="0487DFE4"/>
    <w:rsid w:val="04C4C0D2"/>
    <w:rsid w:val="0519F6C0"/>
    <w:rsid w:val="05515D54"/>
    <w:rsid w:val="0565A935"/>
    <w:rsid w:val="05898B07"/>
    <w:rsid w:val="06BD9522"/>
    <w:rsid w:val="06E320C3"/>
    <w:rsid w:val="076B9624"/>
    <w:rsid w:val="08495BF6"/>
    <w:rsid w:val="08BCE45B"/>
    <w:rsid w:val="08C1B7A7"/>
    <w:rsid w:val="0910C877"/>
    <w:rsid w:val="091A7A7C"/>
    <w:rsid w:val="098BD40A"/>
    <w:rsid w:val="0A1F0638"/>
    <w:rsid w:val="0A225959"/>
    <w:rsid w:val="0B793515"/>
    <w:rsid w:val="0B7A1640"/>
    <w:rsid w:val="0C0D4773"/>
    <w:rsid w:val="0DDD628C"/>
    <w:rsid w:val="0DF47AFD"/>
    <w:rsid w:val="0DF5DB42"/>
    <w:rsid w:val="0E129617"/>
    <w:rsid w:val="0E5DF06D"/>
    <w:rsid w:val="0E90F358"/>
    <w:rsid w:val="0ED2A1B8"/>
    <w:rsid w:val="0EE71EA8"/>
    <w:rsid w:val="0F2ECDE5"/>
    <w:rsid w:val="0FA2586F"/>
    <w:rsid w:val="10186052"/>
    <w:rsid w:val="10F267CB"/>
    <w:rsid w:val="11B60F01"/>
    <w:rsid w:val="11E64471"/>
    <w:rsid w:val="120220A5"/>
    <w:rsid w:val="127E2C7D"/>
    <w:rsid w:val="13A9DD72"/>
    <w:rsid w:val="15B7B342"/>
    <w:rsid w:val="15B8C5BF"/>
    <w:rsid w:val="164D4124"/>
    <w:rsid w:val="173DA8AE"/>
    <w:rsid w:val="17AB24EA"/>
    <w:rsid w:val="184785A5"/>
    <w:rsid w:val="18DA7D11"/>
    <w:rsid w:val="1A5B59E1"/>
    <w:rsid w:val="1AD45916"/>
    <w:rsid w:val="1B6DCB67"/>
    <w:rsid w:val="1D4A6754"/>
    <w:rsid w:val="1E0F31E8"/>
    <w:rsid w:val="1E4660C1"/>
    <w:rsid w:val="1F8A01D3"/>
    <w:rsid w:val="20EFEAE9"/>
    <w:rsid w:val="20FA8F0F"/>
    <w:rsid w:val="22C228B1"/>
    <w:rsid w:val="233711B1"/>
    <w:rsid w:val="23D65FFA"/>
    <w:rsid w:val="24135099"/>
    <w:rsid w:val="24A38180"/>
    <w:rsid w:val="25202F86"/>
    <w:rsid w:val="25BD2E17"/>
    <w:rsid w:val="25DF0499"/>
    <w:rsid w:val="264631BD"/>
    <w:rsid w:val="2662DA38"/>
    <w:rsid w:val="276B8505"/>
    <w:rsid w:val="29068679"/>
    <w:rsid w:val="29774CE5"/>
    <w:rsid w:val="29D24947"/>
    <w:rsid w:val="29E75296"/>
    <w:rsid w:val="2AA3005E"/>
    <w:rsid w:val="2AB246F6"/>
    <w:rsid w:val="2ABE3449"/>
    <w:rsid w:val="2AFBFB74"/>
    <w:rsid w:val="2B20BFBB"/>
    <w:rsid w:val="2C22AA96"/>
    <w:rsid w:val="2C8967A2"/>
    <w:rsid w:val="2CFEB219"/>
    <w:rsid w:val="2D198864"/>
    <w:rsid w:val="2D5AF1EA"/>
    <w:rsid w:val="2E2DB608"/>
    <w:rsid w:val="2E365F16"/>
    <w:rsid w:val="2F77DC30"/>
    <w:rsid w:val="30D3A2F1"/>
    <w:rsid w:val="310D33C6"/>
    <w:rsid w:val="31BDA9D2"/>
    <w:rsid w:val="333F483C"/>
    <w:rsid w:val="335370B4"/>
    <w:rsid w:val="3379D0B3"/>
    <w:rsid w:val="34C4B9D9"/>
    <w:rsid w:val="3514A839"/>
    <w:rsid w:val="36FB38C6"/>
    <w:rsid w:val="37A0E4A4"/>
    <w:rsid w:val="37F1B76F"/>
    <w:rsid w:val="3833089D"/>
    <w:rsid w:val="3918AF3F"/>
    <w:rsid w:val="3978941B"/>
    <w:rsid w:val="3978F889"/>
    <w:rsid w:val="3A2129DE"/>
    <w:rsid w:val="3AC0D0FC"/>
    <w:rsid w:val="3B07B47D"/>
    <w:rsid w:val="3B2C0368"/>
    <w:rsid w:val="3BD0A392"/>
    <w:rsid w:val="3C52B7C3"/>
    <w:rsid w:val="3CEB2DDE"/>
    <w:rsid w:val="3D2D6DE8"/>
    <w:rsid w:val="3DC1BB9B"/>
    <w:rsid w:val="3E835AEA"/>
    <w:rsid w:val="3F526746"/>
    <w:rsid w:val="40931097"/>
    <w:rsid w:val="40D881B8"/>
    <w:rsid w:val="42846B81"/>
    <w:rsid w:val="43051D53"/>
    <w:rsid w:val="430A9D21"/>
    <w:rsid w:val="434DE5A7"/>
    <w:rsid w:val="43AFBA98"/>
    <w:rsid w:val="44B39FEE"/>
    <w:rsid w:val="44EE5FF8"/>
    <w:rsid w:val="4537AA2D"/>
    <w:rsid w:val="456FA11D"/>
    <w:rsid w:val="4576E10F"/>
    <w:rsid w:val="457C6DB2"/>
    <w:rsid w:val="46407F7F"/>
    <w:rsid w:val="468027E5"/>
    <w:rsid w:val="476DA3E0"/>
    <w:rsid w:val="484356A2"/>
    <w:rsid w:val="4900DDC8"/>
    <w:rsid w:val="49AFE457"/>
    <w:rsid w:val="4A255CD1"/>
    <w:rsid w:val="4AEACDCC"/>
    <w:rsid w:val="4B2BCF5C"/>
    <w:rsid w:val="4BAF66DC"/>
    <w:rsid w:val="4BF90D12"/>
    <w:rsid w:val="4C013807"/>
    <w:rsid w:val="4C251466"/>
    <w:rsid w:val="4C38A27C"/>
    <w:rsid w:val="4D3A9A9E"/>
    <w:rsid w:val="4D726F5F"/>
    <w:rsid w:val="4E7ACC0A"/>
    <w:rsid w:val="4E8ECCAA"/>
    <w:rsid w:val="4F1A8F13"/>
    <w:rsid w:val="4FD2C7B3"/>
    <w:rsid w:val="4FF7EA45"/>
    <w:rsid w:val="5081DF34"/>
    <w:rsid w:val="517D7FAD"/>
    <w:rsid w:val="5194A4BA"/>
    <w:rsid w:val="51E29AA0"/>
    <w:rsid w:val="51F26CB3"/>
    <w:rsid w:val="522795D4"/>
    <w:rsid w:val="528E97C6"/>
    <w:rsid w:val="53714001"/>
    <w:rsid w:val="5388213E"/>
    <w:rsid w:val="547DB278"/>
    <w:rsid w:val="54840DE5"/>
    <w:rsid w:val="54AE5418"/>
    <w:rsid w:val="54C07D38"/>
    <w:rsid w:val="554440C7"/>
    <w:rsid w:val="556D0C26"/>
    <w:rsid w:val="559F492F"/>
    <w:rsid w:val="55B11642"/>
    <w:rsid w:val="55C510BC"/>
    <w:rsid w:val="55F444D6"/>
    <w:rsid w:val="5616B406"/>
    <w:rsid w:val="56475EF3"/>
    <w:rsid w:val="56BADAA4"/>
    <w:rsid w:val="571EA6E6"/>
    <w:rsid w:val="5787DE05"/>
    <w:rsid w:val="5851B17D"/>
    <w:rsid w:val="58838FBC"/>
    <w:rsid w:val="58E0F158"/>
    <w:rsid w:val="595369DD"/>
    <w:rsid w:val="5960CEF4"/>
    <w:rsid w:val="598663FF"/>
    <w:rsid w:val="5A8775B4"/>
    <w:rsid w:val="5AF9C67B"/>
    <w:rsid w:val="5B2F488D"/>
    <w:rsid w:val="5B2F488D"/>
    <w:rsid w:val="5B4AE490"/>
    <w:rsid w:val="5B616345"/>
    <w:rsid w:val="5C31FDC4"/>
    <w:rsid w:val="5DBBBC36"/>
    <w:rsid w:val="5E3A71B3"/>
    <w:rsid w:val="5F0735D3"/>
    <w:rsid w:val="5F14F779"/>
    <w:rsid w:val="5FB2EE0F"/>
    <w:rsid w:val="5FD93075"/>
    <w:rsid w:val="5FEAE764"/>
    <w:rsid w:val="637ED1E4"/>
    <w:rsid w:val="641E5258"/>
    <w:rsid w:val="649866EE"/>
    <w:rsid w:val="64A87AE5"/>
    <w:rsid w:val="6579DFC9"/>
    <w:rsid w:val="6620B821"/>
    <w:rsid w:val="66FA20C3"/>
    <w:rsid w:val="6708BF02"/>
    <w:rsid w:val="67AC30BF"/>
    <w:rsid w:val="67EEF83D"/>
    <w:rsid w:val="68AA7936"/>
    <w:rsid w:val="6944B00B"/>
    <w:rsid w:val="6A3A5A0D"/>
    <w:rsid w:val="6D40DD0A"/>
    <w:rsid w:val="6DF3DA15"/>
    <w:rsid w:val="6E73627D"/>
    <w:rsid w:val="6E88D83C"/>
    <w:rsid w:val="6FB48C67"/>
    <w:rsid w:val="703AC067"/>
    <w:rsid w:val="705509E6"/>
    <w:rsid w:val="70A29D66"/>
    <w:rsid w:val="713D196A"/>
    <w:rsid w:val="714D1508"/>
    <w:rsid w:val="715B6610"/>
    <w:rsid w:val="7252E259"/>
    <w:rsid w:val="73187BB6"/>
    <w:rsid w:val="73504E13"/>
    <w:rsid w:val="735BCC2F"/>
    <w:rsid w:val="73828BEF"/>
    <w:rsid w:val="7394CB56"/>
    <w:rsid w:val="748E0D6B"/>
    <w:rsid w:val="76A8E985"/>
    <w:rsid w:val="76C38851"/>
    <w:rsid w:val="778243F2"/>
    <w:rsid w:val="77D98576"/>
    <w:rsid w:val="78324E74"/>
    <w:rsid w:val="787BE792"/>
    <w:rsid w:val="78BDD07C"/>
    <w:rsid w:val="78E36918"/>
    <w:rsid w:val="7A5A7CF0"/>
    <w:rsid w:val="7B7A40C1"/>
    <w:rsid w:val="7B809550"/>
    <w:rsid w:val="7C3A3315"/>
    <w:rsid w:val="7CA11584"/>
    <w:rsid w:val="7D4C3911"/>
    <w:rsid w:val="7D8198B8"/>
    <w:rsid w:val="7E2642B0"/>
    <w:rsid w:val="7F035DA9"/>
    <w:rsid w:val="7F93CFE9"/>
    <w:rsid w:val="7FFBAB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8B07"/>
  <w15:chartTrackingRefBased/>
  <w15:docId w15:val="{74A9E5BC-4F54-40E9-BBD9-FD5C6EDDA3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2B1E37"/>
    <w:pPr>
      <w:ind w:left="720"/>
      <w:contextualSpacing/>
    </w:pPr>
  </w:style>
  <w:style w:type="character" w:styleId="Hyperlink">
    <w:name w:val="Hyperlink"/>
    <w:basedOn w:val="DefaultParagraphFont"/>
    <w:uiPriority w:val="99"/>
    <w:unhideWhenUsed/>
    <w:rsid w:val="003E0F96"/>
    <w:rPr>
      <w:color w:val="467886" w:themeColor="hyperlink"/>
      <w:u w:val="single"/>
    </w:rPr>
  </w:style>
  <w:style w:type="character" w:styleId="UnresolvedMention">
    <w:name w:val="Unresolved Mention"/>
    <w:basedOn w:val="DefaultParagraphFont"/>
    <w:uiPriority w:val="99"/>
    <w:semiHidden/>
    <w:unhideWhenUsed/>
    <w:rsid w:val="003E0F96"/>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4B53D9"/>
    <w:rPr>
      <w:color w:val="96607D" w:themeColor="followedHyperlink"/>
      <w:u w:val="single"/>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b964864346b14b8c" /><Relationship Type="http://schemas.openxmlformats.org/officeDocument/2006/relationships/footer" Target="footer.xml" Id="R01c13cad807a48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Merlyn Febriany</dc:creator>
  <keywords/>
  <dc:description/>
  <lastModifiedBy>Tashi Wangmo</lastModifiedBy>
  <revision>125</revision>
  <dcterms:created xsi:type="dcterms:W3CDTF">2024-09-13T18:51:00.0000000Z</dcterms:created>
  <dcterms:modified xsi:type="dcterms:W3CDTF">2024-10-26T02:03:25.5291039Z</dcterms:modified>
</coreProperties>
</file>