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color w:val="1F4E79"/>
          <w:sz w:val="42"/>
          <w:szCs w:val="42"/>
        </w:rPr>
        <w:t xml:space="preserve">Compliance Gap Analysis — PPSL PPI Wallet</w:t>
      </w:r>
    </w:p>
    <w:p>
      <w:pPr>
        <w:spacing w:after="60"/>
      </w:pPr>
      <w:r>
        <w:rPr>
          <w:b w:val="false"/>
          <w:bCs w:val="false"/>
          <w:i w:val="false"/>
          <w:iCs w:val="false"/>
          <w:color w:val="444444"/>
          <w:sz w:val="22"/>
          <w:szCs w:val="22"/>
        </w:rPr>
        <w:t xml:space="preserve">Version 2.0  |  Based on PRD v1.1 (Compliance-Updated)  |  Paytm Payment Services Limited  |  March 2026</w:t>
      </w:r>
    </w:p>
    <w:p>
      <w:pPr>
        <w:spacing w:after="60"/>
      </w:pPr>
      <w:r>
        <w:rPr>
          <w:b w:val="false"/>
          <w:bCs w:val="false"/>
          <w:i/>
          <w:iCs/>
          <w:color w:val="666666"/>
          <w:sz w:val="20"/>
          <w:szCs w:val="20"/>
        </w:rPr>
        <w:t xml:space="preserve">Cross-reference: PRD v1.1 vs RBI PPI Master Directions (Oct 2023) · RBI PA-PG Guidelines (Mar 2022/2025) · PMLA 2002 · RBI KYC-MD (Oct 2023) · NPCI UPI Guidelines · Dec 2024 RBI PPI Amendment</w:t>
      </w:r>
    </w:p>
    <w:p>
      <w:pPr>
        <w:spacing w:after="160"/>
      </w:pPr>
      <w:r>
        <w:rPr>
          <w:b w:val="false"/>
          <w:bCs w:val="false"/>
          <w:i w:val="false"/>
          <w:iCs w:val="false"/>
          <w:color w:val="444444"/>
          <w:sz w:val="20"/>
          <w:szCs w:val="20"/>
        </w:rPr>
        <w:t xml:space="preserve">This version reflects the updated PRD v1.1, which incorporated all gaps identified in the original Compliance Gap Analysis (v1.0). Items previously marked CRITICAL or GAP are reassessed below. Remaining open items are flagged for legal action or product decisions.</w:t>
      </w:r>
    </w:p>
    <w:p>
      <w:pPr>
        <w:pStyle w:val="Heading2"/>
      </w:pPr>
      <w:r>
        <w:rPr>
          <w:b/>
          <w:bCs/>
          <w:i w:val="false"/>
          <w:iCs w:val="false"/>
          <w:color w:val="2E75B6"/>
          <w:sz w:val="27"/>
          <w:szCs w:val="27"/>
        </w:rPr>
        <w:t xml:space="preserve">Legend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1200"/>
        <w:gridCol w:w="4300"/>
        <w:gridCol w:w="1200"/>
        <w:gridCol w:w="2040"/>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pPr>
              <w:spacing w:after="55"/>
            </w:pPr>
            <w:r>
              <w:rPr>
                <w:b/>
                <w:bCs/>
                <w:i w:val="false"/>
                <w:iCs w:val="false"/>
                <w:color w:val="375623"/>
                <w:sz w:val="18"/>
                <w:szCs w:val="18"/>
              </w:rPr>
              <w:t xml:space="preserve">✓ Resolved</w:t>
            </w:r>
          </w:p>
        </w:tc>
        <w:tc>
          <w:tcPr>
            <w:tcW w:type="dxa" w:w="43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pPr>
              <w:spacing w:after="55"/>
            </w:pPr>
            <w:r>
              <w:rPr>
                <w:b w:val="false"/>
                <w:bCs w:val="false"/>
                <w:i w:val="false"/>
                <w:iCs w:val="false"/>
                <w:color w:val="000000"/>
                <w:sz w:val="18"/>
                <w:szCs w:val="18"/>
              </w:rPr>
              <w:t xml:space="preserve">Requirement fully addressed in PRD v1.1. Verification or action step may still apply.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8"/>
                <w:szCs w:val="18"/>
              </w:rPr>
              <w:t xml:space="preserve">GAP</w:t>
            </w:r>
          </w:p>
        </w:tc>
        <w:tc>
          <w:tcPr>
            <w:tcW w:type="dxa" w:w="43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val="false"/>
                <w:bCs w:val="false"/>
                <w:i w:val="false"/>
                <w:iCs w:val="false"/>
                <w:color w:val="000000"/>
                <w:sz w:val="18"/>
                <w:szCs w:val="18"/>
              </w:rPr>
              <w:t xml:space="preserve">Partial coverage or product/technical decision still open. Must be resolved before or during build.</w:t>
            </w:r>
          </w:p>
        </w:tc>
        <w:tc>
          <w:tcPr>
            <w:tcW w:type="dxa" w:w="1200"/>
            <w:tcBorders>
              <w:top w:val="single" w:color="CCCCCC" w:sz="1"/>
              <w:left w:val="single" w:color="CCCCCC" w:sz="1"/>
              <w:bottom w:val="single" w:color="CCCCCC" w:sz="1"/>
              <w:right w:val="single" w:color="CCCCCC" w:sz="1"/>
            </w:tcBorders>
            <w:shd w:fill="EAE8F0" w:val="clear"/>
            <w:tcMar>
              <w:top w:type="dxa" w:w="80"/>
              <w:left w:type="dxa" w:w="130"/>
              <w:bottom w:type="dxa" w:w="80"/>
              <w:right w:type="dxa" w:w="130"/>
            </w:tcMar>
            <w:vAlign w:val="top"/>
          </w:tcPr>
          <w:p>
            <w:pPr>
              <w:spacing w:after="55"/>
            </w:pPr>
            <w:r>
              <w:rPr>
                <w:b/>
                <w:bCs/>
                <w:i w:val="false"/>
                <w:iCs w:val="false"/>
                <w:color w:val="4B0082"/>
                <w:sz w:val="18"/>
                <w:szCs w:val="18"/>
              </w:rPr>
              <w:t xml:space="preserve">⚖ Legal / RBI</w:t>
            </w:r>
          </w:p>
        </w:tc>
        <w:tc>
          <w:tcPr>
            <w:tcW w:type="dxa" w:w="2040"/>
            <w:tcBorders>
              <w:top w:val="single" w:color="CCCCCC" w:sz="1"/>
              <w:left w:val="single" w:color="CCCCCC" w:sz="1"/>
              <w:bottom w:val="single" w:color="CCCCCC" w:sz="1"/>
              <w:right w:val="single" w:color="CCCCCC" w:sz="1"/>
            </w:tcBorders>
            <w:shd w:fill="EAE8F0" w:val="clear"/>
            <w:tcMar>
              <w:top w:type="dxa" w:w="80"/>
              <w:left w:type="dxa" w:w="130"/>
              <w:bottom w:type="dxa" w:w="80"/>
              <w:right w:type="dxa" w:w="130"/>
            </w:tcMar>
            <w:vAlign w:val="top"/>
          </w:tcPr>
          <w:p>
            <w:pPr>
              <w:spacing w:after="55"/>
            </w:pPr>
            <w:r>
              <w:rPr>
                <w:b w:val="false"/>
                <w:bCs w:val="false"/>
                <w:i w:val="false"/>
                <w:iCs w:val="false"/>
                <w:color w:val="000000"/>
                <w:sz w:val="18"/>
                <w:szCs w:val="18"/>
              </w:rPr>
              <w:t xml:space="preserve">Requires legal opinion or RBI/NPCI engagement before action. Pre-build gate.</w:t>
            </w:r>
          </w:p>
        </w:tc>
      </w:tr>
    </w:tbl>
    <w:p>
      <w:pPr>
        <w:spacing w:after="20" w:before="60"/>
      </w:pPr>
      <w:r>
        <w:rPr>
          <w:b w:val="false"/>
          <w:bCs w:val="false"/>
          <w:i/>
          <w:iCs/>
          <w:color w:val="C00000"/>
          <w:sz w:val="18"/>
          <w:szCs w:val="18"/>
        </w:rPr>
        <w:t xml:space="preserve">⚠ CRITICAL items from v1.0 are now either Resolved or Legal/RBI. All 4 original CRITICAL items have been incorporated into PRD v1.1. Remaining open items are process/legal gates, product decisions, or verification checks.</w:t>
      </w:r>
    </w:p>
    <w:p>
      <w:pPr>
        <w:pStyle w:val="Heading2"/>
        <w:spacing w:after="120" w:before="200"/>
      </w:pPr>
      <w:r>
        <w:rPr>
          <w:b/>
          <w:bCs/>
          <w:i w:val="false"/>
          <w:iCs w:val="false"/>
          <w:color w:val="2E75B6"/>
          <w:sz w:val="27"/>
          <w:szCs w:val="27"/>
        </w:rPr>
        <w:t xml:space="preserve">Compliance Gap Table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1000"/>
        <w:gridCol w:w="2800"/>
        <w:gridCol w:w="3000"/>
        <w:gridCol w:w="700"/>
      </w:tblGrid>
      <w:tr>
        <w:trPr>
          <w:tblHeader/>
        </w:trPr>
        <w:tc>
          <w:tcPr>
            <w:tcW w:type="dxa" w:w="105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Category</w:t>
            </w:r>
          </w:p>
        </w:tc>
        <w:tc>
          <w:tcPr>
            <w:tcW w:type="dxa" w:w="245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Regulatory Requirement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Clause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PRD v1.1 Coverage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Remaining 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Status</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A. Licensing &amp; Authorization</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PPSL must hold valid RBI PPI authorization as PPI issuer before any wallet issuance.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§4 flags as P0 blocker: 'Confirm PPSL holds a valid PPI license from RBI (or initiate application — 3–6 months lead time).'</w:t>
            </w:r>
          </w:p>
          <w:p>
            <w:pPr>
              <w:spacing w:after="55"/>
            </w:pPr>
            <w:r>
              <w:rPr>
                <w:b w:val="false"/>
                <w:bCs w:val="false"/>
                <w:i w:val="false"/>
                <w:iCs w:val="false"/>
                <w:color w:val="000000"/>
                <w:sz w:val="17"/>
                <w:szCs w:val="17"/>
              </w:rPr>
              <w:t xml:space="preserve">Gap Resolved note confirms PA-PG license ≠ PPI license and specifies 3–6 month lead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7"/>
                <w:szCs w:val="17"/>
              </w:rPr>
              <w:t xml:space="preserve">➜ Action: Obtain written legal opinion confirming current license status.</w:t>
            </w:r>
          </w:p>
          <w:p>
            <w:pPr>
              <w:spacing w:after="55"/>
            </w:pPr>
            <w:r>
              <w:rPr>
                <w:b w:val="false"/>
                <w:bCs w:val="false"/>
                <w:i w:val="false"/>
                <w:iCs w:val="false"/>
                <w:color w:val="333333"/>
                <w:sz w:val="17"/>
                <w:szCs w:val="17"/>
              </w:rPr>
              <w:t xml:space="preserve">Until written confirmation is in hand this remains an open pre-build gate. Legal sign-off required before Sprint 1.</w:t>
            </w:r>
          </w:p>
        </w:tc>
        <w:tc>
          <w:tcPr>
            <w:tcW w:type="dxa" w:w="700"/>
            <w:tcBorders>
              <w:top w:val="single" w:color="CCCCCC" w:sz="1"/>
              <w:left w:val="single" w:color="CCCCCC" w:sz="1"/>
              <w:bottom w:val="single" w:color="CCCCCC" w:sz="1"/>
              <w:right w:val="single" w:color="CCCCCC" w:sz="1"/>
            </w:tcBorders>
            <w:shd w:fill="EAE8F0" w:val="clear"/>
            <w:tcMar>
              <w:top w:type="dxa" w:w="80"/>
              <w:left w:type="dxa" w:w="80"/>
              <w:bottom w:type="dxa" w:w="80"/>
              <w:right w:type="dxa" w:w="80"/>
            </w:tcMar>
            <w:vAlign w:val="center"/>
          </w:tcPr>
          <w:p>
            <w:pPr>
              <w:jc w:val="center"/>
            </w:pPr>
            <w:r>
              <w:rPr>
                <w:b/>
                <w:bCs/>
                <w:i w:val="false"/>
                <w:iCs w:val="false"/>
                <w:color w:val="4B0082"/>
                <w:sz w:val="17"/>
                <w:szCs w:val="17"/>
              </w:rPr>
              <w:t xml:space="preserve">⚖ Legal / RBI</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A. Licensing &amp; Authorization</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Minimum net worth: ₹15 Cr at authorization; ₹25 Cr by end of 3rd FY post-authorization.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§4 Gap Resolved note: 'obtain CFO certification that PPSL net worth is ₹15 Cr at authorization and on track for ₹25 Cr by end of 3rd FY.'</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7"/>
                <w:szCs w:val="17"/>
              </w:rPr>
              <w:t xml:space="preserve">➜ Action: CFO to provide formal net-worth certificate before license application is filed.</w:t>
            </w:r>
          </w:p>
          <w:p>
            <w:pPr>
              <w:spacing w:after="55"/>
            </w:pPr>
            <w:r>
              <w:rPr>
                <w:b w:val="false"/>
                <w:bCs w:val="false"/>
                <w:i w:val="false"/>
                <w:iCs w:val="false"/>
                <w:color w:val="333333"/>
                <w:sz w:val="17"/>
                <w:szCs w:val="17"/>
              </w:rPr>
              <w:t xml:space="preserve">Clarify whether parent-entity guarantee (One97 Communications) is accepted by RBI in lieu of direct PPSL net worth.</w:t>
            </w:r>
          </w:p>
        </w:tc>
        <w:tc>
          <w:tcPr>
            <w:tcW w:type="dxa" w:w="700"/>
            <w:tcBorders>
              <w:top w:val="single" w:color="CCCCCC" w:sz="1"/>
              <w:left w:val="single" w:color="CCCCCC" w:sz="1"/>
              <w:bottom w:val="single" w:color="CCCCCC" w:sz="1"/>
              <w:right w:val="single" w:color="CCCCCC" w:sz="1"/>
            </w:tcBorders>
            <w:shd w:fill="EAE8F0" w:val="clear"/>
            <w:tcMar>
              <w:top w:type="dxa" w:w="80"/>
              <w:left w:type="dxa" w:w="80"/>
              <w:bottom w:type="dxa" w:w="80"/>
              <w:right w:type="dxa" w:w="80"/>
            </w:tcMar>
            <w:vAlign w:val="center"/>
          </w:tcPr>
          <w:p>
            <w:pPr>
              <w:jc w:val="center"/>
            </w:pPr>
            <w:r>
              <w:rPr>
                <w:b/>
                <w:bCs/>
                <w:i w:val="false"/>
                <w:iCs w:val="false"/>
                <w:color w:val="4B0082"/>
                <w:sz w:val="17"/>
                <w:szCs w:val="17"/>
              </w:rPr>
              <w:t xml:space="preserve">⚖ Legal / RBI</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A. Licensing &amp; Authorization</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Only RBI-authorized non-bank entities (or scheduled commercial banks) may issue PPIs. PA license does not confer PPI issuance rights.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explicitly states: 'PA-PG license held by PPSL does NOT automatically confer PPI issuance rights. These are separate authorizations.'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PRD coverage is now adequate.</w:t>
            </w:r>
          </w:p>
          <w:p>
            <w:pPr>
              <w:spacing w:after="55"/>
            </w:pPr>
            <w:r>
              <w:rPr>
                <w:b w:val="false"/>
                <w:bCs w:val="false"/>
                <w:i w:val="false"/>
                <w:iCs w:val="false"/>
                <w:color w:val="333333"/>
                <w:sz w:val="17"/>
                <w:szCs w:val="17"/>
              </w:rPr>
              <w:t xml:space="preserve">➜ Action: Verify with legal that PPSL as a non-bank entity is eligible and that no FEMA/FDI restrictions affect a fresh PPI authorization.</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Min-KYC wallet: mobile number + self-declaration of name + unique ID. Balance cap ₹10,000. Monthly load ₹10,000. Annual load ₹1.2L. Validity 12 months.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07 covers ₹10,000 balance cap and monthly load limit.</w:t>
            </w:r>
          </w:p>
          <w:p>
            <w:pPr>
              <w:spacing w:after="55"/>
            </w:pPr>
            <w:r>
              <w:rPr>
                <w:b w:val="false"/>
                <w:bCs w:val="false"/>
                <w:i w:val="false"/>
                <w:iCs w:val="false"/>
                <w:color w:val="000000"/>
                <w:sz w:val="17"/>
                <w:szCs w:val="17"/>
              </w:rPr>
              <w:t xml:space="preserve">Gap Resolved note (Block 12): wallet_expiry_date = created_at + 12 months implemented in sprint plan. Pre-expiry notifications at 30d/7d/1d wired to Block 13.</w:t>
            </w:r>
          </w:p>
          <w:p>
            <w:pPr>
              <w:spacing w:after="55"/>
            </w:pPr>
            <w:r>
              <w:rPr>
                <w:b w:val="false"/>
                <w:bCs w:val="false"/>
                <w:i w:val="false"/>
                <w:iCs w:val="false"/>
                <w:color w:val="000000"/>
                <w:sz w:val="17"/>
                <w:szCs w:val="17"/>
              </w:rPr>
              <w:t xml:space="preserve">EXPIRED state added as distinct lifecycle state in sprint plan.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Annual load cap of ₹1.2 lakh (≠ monthly ₹10,000 × 12, as RBI states it as separate annual cap) not explicitly called out in limits config.</w:t>
            </w:r>
          </w:p>
          <w:p>
            <w:pPr>
              <w:spacing w:after="55"/>
            </w:pPr>
            <w:r>
              <w:rPr>
                <w:b w:val="false"/>
                <w:bCs w:val="false"/>
                <w:i w:val="false"/>
                <w:iCs w:val="false"/>
                <w:color w:val="333333"/>
                <w:sz w:val="17"/>
                <w:szCs w:val="17"/>
              </w:rPr>
              <w:t xml:space="preserve">➜ Action: Confirm with RBI counsel whether ₹1.2L annual cap is tracked on a rolling 12-month basis or calendar year; implement accordingly in Block 07 limit configs.</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Full-KYC: Aadhaar OTP/biometric or Video KYC. Balance cap ₹2 lakh. Monthly load ₹1 lakh (post Apr 2024 amendment). Must comply with RBI KYC-MD.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03: Aadhaar OTP, PAN, Video KYC covered.</w:t>
            </w:r>
          </w:p>
          <w:p>
            <w:pPr>
              <w:spacing w:after="55"/>
            </w:pPr>
            <w:r>
              <w:rPr>
                <w:b w:val="false"/>
                <w:bCs w:val="false"/>
                <w:i w:val="false"/>
                <w:iCs w:val="false"/>
                <w:color w:val="000000"/>
                <w:sz w:val="17"/>
                <w:szCs w:val="17"/>
              </w:rPr>
              <w:t xml:space="preserve">Block 07 Gap Resolved: April 2024 amendment limits explicitly called out (₹2L balance cap, ₹1L monthly 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Coverage is now comprehensive.</w:t>
            </w:r>
          </w:p>
          <w:p>
            <w:pPr>
              <w:spacing w:after="55"/>
            </w:pPr>
            <w:r>
              <w:rPr>
                <w:b w:val="false"/>
                <w:bCs w:val="false"/>
                <w:i w:val="false"/>
                <w:iCs w:val="false"/>
                <w:color w:val="333333"/>
                <w:sz w:val="17"/>
                <w:szCs w:val="17"/>
              </w:rPr>
              <w:t xml:space="preserve">➜ Verification: Confirm limit configs in Block 07 are seeded with post-Apr 2024 values before coding begins.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CKYC registry: lookup mandatory before Video KYC; upload of KYC record to CERSAI mandatory post-Full-KYC.</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KYC-MD Oct 2023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03 Gap Resolved note: CKYC lookup before Video KYC, CKYC record upload on Full-KYC completion, CERSAI API integration, PPSL CKYC institution registration — all added to Sprint 4.</w:t>
            </w:r>
          </w:p>
          <w:p>
            <w:pPr>
              <w:spacing w:after="55"/>
            </w:pPr>
            <w:r>
              <w:rPr>
                <w:b w:val="false"/>
                <w:bCs w:val="false"/>
                <w:i w:val="false"/>
                <w:iCs w:val="false"/>
                <w:color w:val="000000"/>
                <w:sz w:val="17"/>
                <w:szCs w:val="17"/>
              </w:rPr>
              <w:t xml:space="preserve">Regulatory pre-conditions section also flags CERSAI registration as a lead-time item.</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 coverage.</w:t>
            </w:r>
          </w:p>
          <w:p>
            <w:pPr>
              <w:spacing w:after="55"/>
            </w:pPr>
            <w:r>
              <w:rPr>
                <w:b w:val="false"/>
                <w:bCs w:val="false"/>
                <w:i w:val="false"/>
                <w:iCs w:val="false"/>
                <w:color w:val="333333"/>
                <w:sz w:val="17"/>
                <w:szCs w:val="17"/>
              </w:rPr>
              <w:t xml:space="preserve">➜ Action: PPSL must formally register as a CKYC-compliant institution with CERSAI before Sprint 4 of Block 03. Initiate registration alongside UIDAI KUA registration.</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Gift / Corporate PPIs: distinct issuance rules; no KYC on recipient if load ≤ ₹10,000; issuer must maintain issuance records.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02: Gift/Corporate wallet type listed in PPI type registry. No specific Gift PPI issuance rules defined.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Gift PPI issuance rules remain undocumented in PRD.</w:t>
            </w:r>
          </w:p>
          <w:p>
            <w:pPr>
              <w:spacing w:after="55"/>
            </w:pPr>
            <w:r>
              <w:rPr>
                <w:b w:val="false"/>
                <w:bCs w:val="false"/>
                <w:i w:val="false"/>
                <w:iCs w:val="false"/>
                <w:color w:val="333333"/>
                <w:sz w:val="17"/>
                <w:szCs w:val="17"/>
              </w:rPr>
              <w:t xml:space="preserve">➜ Action: Define Gift PPI rules before build — max load, no-KYC-on-recipient threshold, issuer record-keeping, expiry of gift wallet balance. Legal review required before Gift PPI feature is scoped.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KYC artefacts (Aadhaar, PAN, Video KYC recordings) must be retained for 10 years under PMLA Section 12.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PMLA Sec. 12; PPI-MD Cl. 17</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03 Technical Notes: 'Retain KYC artefacts for 10 years per PMLA.'</w:t>
            </w:r>
          </w:p>
          <w:p>
            <w:pPr>
              <w:spacing w:after="55"/>
            </w:pPr>
            <w:r>
              <w:rPr>
                <w:b w:val="false"/>
                <w:bCs w:val="false"/>
                <w:i w:val="false"/>
                <w:iCs w:val="false"/>
                <w:color w:val="000000"/>
                <w:sz w:val="17"/>
                <w:szCs w:val="17"/>
              </w:rPr>
              <w:t xml:space="preserve">Block 15 Gap Resolved: differentiates 5-year ledger/admin log retention from 10-year KYC artefact retention.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 coverage.</w:t>
            </w:r>
          </w:p>
          <w:p>
            <w:pPr>
              <w:spacing w:after="55"/>
            </w:pPr>
            <w:r>
              <w:rPr>
                <w:b w:val="false"/>
                <w:bCs w:val="false"/>
                <w:i w:val="false"/>
                <w:iCs w:val="false"/>
                <w:color w:val="333333"/>
                <w:sz w:val="17"/>
                <w:szCs w:val="17"/>
              </w:rPr>
              <w:t xml:space="preserve">➜ Verification: Confirm Block 18 (Infrastructure) enforces separate data lifecycle policies for 5-year vs 10-year retention at the storage layer.</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C. Transaction Limits</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Min-KYC: balance ≤ ₹10,000 at any time; monthly load ≤ ₹10,000; P2P transfers PROHIBITED.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9.2, 15.1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07: ₹10,000 balance cap and monthly load covered.</w:t>
            </w:r>
          </w:p>
          <w:p>
            <w:pPr>
              <w:spacing w:after="55"/>
            </w:pPr>
            <w:r>
              <w:rPr>
                <w:b w:val="false"/>
                <w:bCs w:val="false"/>
                <w:i w:val="false"/>
                <w:iCs w:val="false"/>
                <w:color w:val="000000"/>
                <w:sz w:val="17"/>
                <w:szCs w:val="17"/>
              </w:rPr>
              <w:t xml:space="preserve">Block 04 Gap Resolved: P2P prohibition for Min-KYC wallets explicitly added — 'POST /money/transfer-p2p returns HTTP 403 with error PPI_P2P_NOT_ALLOWED if initiating wallet is Min-KYC 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P2P prohibition is now explicitly in PRD.</w:t>
            </w:r>
          </w:p>
          <w:p>
            <w:pPr>
              <w:spacing w:after="55"/>
            </w:pPr>
            <w:r>
              <w:rPr>
                <w:b w:val="false"/>
                <w:bCs w:val="false"/>
                <w:i w:val="false"/>
                <w:iCs w:val="false"/>
                <w:color w:val="333333"/>
                <w:sz w:val="17"/>
                <w:szCs w:val="17"/>
              </w:rPr>
              <w:t xml:space="preserve">➜ Verification: Confirm Block 07 limits engine enforces P2P prohibition at the API layer, not just in the frontend.</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C. Transaction Limits</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Full-KYC: balance ≤ ₹2 lakh; monthly load ≤ ₹1 lakh (post Apr 2024); monthly P2P ≤ ₹1 lakh.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9.3 (Apr 2024 amendment)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07 Gap Resolved: April 2024 amendment explicitly referenced; ₹2L balance cap, ₹1L monthly load, ₹1L P2P all specified.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Action: Double-check that the monthly P2P limit (₹1 lakh) is tracked separately from monthly load and spend — they are independent counters in Block 07.</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C. Transaction Limits</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Cash withdrawal via ATM/PoS for Full-KYC semi-closed PPI: ≤ ₹2,000/transaction; ≤ ₹10,000/month.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10.3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07 Gap Resolved: 'If PPSL intends to enable cash withdrawal (requires card-form PPI), limits are ₹2,000/txn and ₹10,000/month. If cash withdrawal is NOT in scope, document explicitly in the compliance 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Cash withdrawal scope decision still open — card-form PPI issuance not confirmed in PRD.</w:t>
            </w:r>
          </w:p>
          <w:p>
            <w:pPr>
              <w:spacing w:after="55"/>
            </w:pPr>
            <w:r>
              <w:rPr>
                <w:b w:val="false"/>
                <w:bCs w:val="false"/>
                <w:i w:val="false"/>
                <w:iCs w:val="false"/>
                <w:color w:val="333333"/>
                <w:sz w:val="17"/>
                <w:szCs w:val="17"/>
              </w:rPr>
              <w:t xml:space="preserve">➜ Action: Product decision required: (a) If cash withdrawal in scope → add card BIN partnership and ATM network to PRD. (b) If out of scope → record formal decision in compliance register before go-live.</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D. Escrow &amp; Nodal</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All outstanding e-money must be held in escrow with a scheduled commercial bank at all times.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7.1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05: escrow integration covered as P0. Partner Bank Evaluation document (separate) identifies Yes Bank (primary) and IndusInd (secondary).</w:t>
            </w:r>
          </w:p>
          <w:p>
            <w:pPr>
              <w:spacing w:after="55"/>
            </w:pPr>
            <w:r>
              <w:rPr>
                <w:b w:val="false"/>
                <w:bCs w:val="false"/>
                <w:i w:val="false"/>
                <w:iCs w:val="false"/>
                <w:color w:val="000000"/>
                <w:sz w:val="17"/>
                <w:szCs w:val="17"/>
              </w:rPr>
              <w:t xml:space="preserve">Escrow agreement must follow RBI-prescribed format — noted in PRD.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 design intent.</w:t>
            </w:r>
          </w:p>
          <w:p>
            <w:pPr>
              <w:spacing w:after="55"/>
            </w:pPr>
            <w:r>
              <w:rPr>
                <w:b w:val="false"/>
                <w:bCs w:val="false"/>
                <w:i w:val="false"/>
                <w:iCs w:val="false"/>
                <w:color w:val="333333"/>
                <w:sz w:val="17"/>
                <w:szCs w:val="17"/>
              </w:rPr>
              <w:t xml:space="preserve">➜ Action: Escrow agreement must be reviewed by external PPI-specialist legal counsel before execution. Confirm scheduled commercial bank classification of shortlisted banks.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D. Escrow &amp; Nodal</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PPI escrow and PA-PG escrow accounts must be separate bank accounts. Commingling of PA merchant float and PPI e-money is a regulatory violation.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7; PA-PG Guidelines 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05 Gap Resolved (Critical): 'PPSL PA-PG escrow account and PPI nodal/escrow account must be SEPARATE bank accounts. Commingling = regulatory violation. Obtain written legal opinion before contracting with partner bank.'</w:t>
            </w:r>
          </w:p>
          <w:p>
            <w:pPr>
              <w:spacing w:after="55"/>
            </w:pPr>
            <w:r>
              <w:rPr>
                <w:b w:val="false"/>
                <w:bCs w:val="false"/>
                <w:i w:val="false"/>
                <w:iCs w:val="false"/>
                <w:color w:val="000000"/>
                <w:sz w:val="17"/>
                <w:szCs w:val="17"/>
              </w:rPr>
              <w:t xml:space="preserve">Added as P0 Blocker #7 in Executive Summary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Action: Written legal opinion on separation must be obtained before any bank account is opened. This is a pre-Sprint 1 gate.</w:t>
            </w:r>
          </w:p>
        </w:tc>
        <w:tc>
          <w:tcPr>
            <w:tcW w:type="dxa" w:w="700"/>
            <w:tcBorders>
              <w:top w:val="single" w:color="CCCCCC" w:sz="1"/>
              <w:left w:val="single" w:color="CCCCCC" w:sz="1"/>
              <w:bottom w:val="single" w:color="CCCCCC" w:sz="1"/>
              <w:right w:val="single" w:color="CCCCCC" w:sz="1"/>
            </w:tcBorders>
            <w:shd w:fill="EAE8F0" w:val="clear"/>
            <w:tcMar>
              <w:top w:type="dxa" w:w="80"/>
              <w:left w:type="dxa" w:w="80"/>
              <w:bottom w:type="dxa" w:w="80"/>
              <w:right w:type="dxa" w:w="80"/>
            </w:tcMar>
            <w:vAlign w:val="center"/>
          </w:tcPr>
          <w:p>
            <w:pPr>
              <w:jc w:val="center"/>
            </w:pPr>
            <w:r>
              <w:rPr>
                <w:b/>
                <w:bCs/>
                <w:i w:val="false"/>
                <w:iCs w:val="false"/>
                <w:color w:val="4B0082"/>
                <w:sz w:val="17"/>
                <w:szCs w:val="17"/>
              </w:rPr>
              <w:t xml:space="preserve">⚖ Legal / RBI</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D. Escrow &amp; Nodal</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Float (total outstanding e-money) must always equal or be less than escrow balance. Daily reconciliation mandatory.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7.2, 7.3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05 Gap Resolved: Float breach SOP defined — 90% alert, 95% Add Money block, 100% emergency killswitch + PagerDuty.</w:t>
            </w:r>
          </w:p>
          <w:p>
            <w:pPr>
              <w:spacing w:after="55"/>
            </w:pPr>
            <w:r>
              <w:rPr>
                <w:b w:val="false"/>
                <w:bCs w:val="false"/>
                <w:i w:val="false"/>
                <w:iCs w:val="false"/>
                <w:color w:val="000000"/>
                <w:sz w:val="17"/>
                <w:szCs w:val="17"/>
              </w:rPr>
              <w:t xml:space="preserve">Block 08: daily automated reconciliation engine covered.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Float ≤ escrow enforcement and breach SOP are now in PRD.</w:t>
            </w:r>
          </w:p>
          <w:p>
            <w:pPr>
              <w:spacing w:after="55"/>
            </w:pPr>
            <w:r>
              <w:rPr>
                <w:b w:val="false"/>
                <w:bCs w:val="false"/>
                <w:i w:val="false"/>
                <w:iCs w:val="false"/>
                <w:color w:val="333333"/>
                <w:sz w:val="17"/>
                <w:szCs w:val="17"/>
              </w:rPr>
              <w:t xml:space="preserve">➜ Verification: Confirm the 95% 'block Add Money' trigger is tested in load-test scenarios before go-live.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D. Escrow &amp; Nodal</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Interest on PPI escrow: direct interest on escrow account not permitted under PA guidelines. 'Core portion' interest arrangement may be available.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PA-PG Guidelines 2022; PPI-MD Cl.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05 Gap Resolved: 'Clarify core-portion interest arrangement with partner bank during RFP. Obtain legal opinion on permissibility for PPSL PPI escrow.'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Legal opinion on core-portion interest not yet obtained — open item.</w:t>
            </w:r>
          </w:p>
          <w:p>
            <w:pPr>
              <w:spacing w:after="55"/>
            </w:pPr>
            <w:r>
              <w:rPr>
                <w:b w:val="false"/>
                <w:bCs w:val="false"/>
                <w:i w:val="false"/>
                <w:iCs w:val="false"/>
                <w:color w:val="333333"/>
                <w:sz w:val="17"/>
                <w:szCs w:val="17"/>
              </w:rPr>
              <w:t xml:space="preserve">➜ Action: RFP to Yes Bank / IndusInd must include specific question on core-portion interest arrangement. Legal sign-off required before escrow agreement is signed.</w:t>
            </w:r>
          </w:p>
        </w:tc>
        <w:tc>
          <w:tcPr>
            <w:tcW w:type="dxa" w:w="700"/>
            <w:tcBorders>
              <w:top w:val="single" w:color="CCCCCC" w:sz="1"/>
              <w:left w:val="single" w:color="CCCCCC" w:sz="1"/>
              <w:bottom w:val="single" w:color="CCCCCC" w:sz="1"/>
              <w:right w:val="single" w:color="CCCCCC" w:sz="1"/>
            </w:tcBorders>
            <w:shd w:fill="EAE8F0" w:val="clear"/>
            <w:tcMar>
              <w:top w:type="dxa" w:w="80"/>
              <w:left w:type="dxa" w:w="80"/>
              <w:bottom w:type="dxa" w:w="80"/>
              <w:right w:type="dxa" w:w="80"/>
            </w:tcMar>
            <w:vAlign w:val="center"/>
          </w:tcPr>
          <w:p>
            <w:pPr>
              <w:jc w:val="center"/>
            </w:pPr>
            <w:r>
              <w:rPr>
                <w:b/>
                <w:bCs/>
                <w:i w:val="false"/>
                <w:iCs w:val="false"/>
                <w:color w:val="4B0082"/>
                <w:sz w:val="17"/>
                <w:szCs w:val="17"/>
              </w:rPr>
              <w:t xml:space="preserve">⚖ Legal / RBI</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E. Interoperability</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Full-KYC semi-closed PPIs must be UPI-interoperable from day of Full-KYC upgrade.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6.5, 10</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11: UPI integration and VPA issuance covered.</w:t>
            </w:r>
          </w:p>
          <w:p>
            <w:pPr>
              <w:spacing w:after="55"/>
            </w:pPr>
            <w:r>
              <w:rPr>
                <w:b w:val="false"/>
                <w:bCs w:val="false"/>
                <w:i w:val="false"/>
                <w:iCs w:val="false"/>
                <w:color w:val="000000"/>
                <w:sz w:val="17"/>
                <w:szCs w:val="17"/>
              </w:rPr>
              <w:t xml:space="preserve">Block 02 Gap Resolved: 'Full-KYC wallets must be interoperable via UPI from Day 1 of Full-KYC upgrade.'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for native UPI integration.</w:t>
            </w:r>
          </w:p>
          <w:p>
            <w:pPr>
              <w:spacing w:after="55"/>
            </w:pPr>
            <w:r>
              <w:rPr>
                <w:b w:val="false"/>
                <w:bCs w:val="false"/>
                <w:i w:val="false"/>
                <w:iCs w:val="false"/>
                <w:color w:val="333333"/>
                <w:sz w:val="17"/>
                <w:szCs w:val="17"/>
              </w:rPr>
              <w:t xml:space="preserve">➜ Dependency: NPCI TPAP membership (6–12 month lead time) is the hard constraint. If TPAP is not granted before Full-KYC launch, interoperability cannot be delivered.</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E. Interoperability</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Full-KYC PPI wallet must be linkable as a funding source in any third-party UPI application (Google Pay, PhonePe, BHIM, etc.) via NPCI inter-PSP protocol.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Dec 2024 amendment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 this is one of the most substantially expanded sections:</w:t>
            </w:r>
          </w:p>
          <w:p>
            <w:pPr>
              <w:spacing w:after="55"/>
            </w:pPr>
            <w:r>
              <w:rPr>
                <w:b w:val="false"/>
                <w:bCs w:val="false"/>
                <w:i w:val="false"/>
                <w:iCs w:val="false"/>
                <w:color w:val="000000"/>
                <w:sz w:val="17"/>
                <w:szCs w:val="17"/>
              </w:rPr>
              <w:t xml:space="preserve">Block 11 Gap Resolved (Critical): inter-PSP UPI wallet linking added to Sprint 3; inter-PSP NPCI certification added to Sprint 4; UAT verification in Google Pay and PhonePe added as launch blocker.</w:t>
            </w:r>
          </w:p>
          <w:p>
            <w:pPr>
              <w:spacing w:after="55"/>
            </w:pPr>
            <w:r>
              <w:rPr>
                <w:b w:val="false"/>
                <w:bCs w:val="false"/>
                <w:i w:val="false"/>
                <w:iCs w:val="false"/>
                <w:color w:val="000000"/>
                <w:sz w:val="17"/>
                <w:szCs w:val="17"/>
              </w:rPr>
              <w:t xml:space="preserve">Regulatory pre-conditions: 'NPCI TPAP membership has a 6–12 month lead time — initiate immediately.'</w:t>
            </w:r>
          </w:p>
          <w:p>
            <w:pPr>
              <w:spacing w:after="55"/>
            </w:pPr>
            <w:r>
              <w:rPr>
                <w:b w:val="false"/>
                <w:bCs w:val="false"/>
                <w:i w:val="false"/>
                <w:iCs w:val="false"/>
                <w:color w:val="000000"/>
                <w:sz w:val="17"/>
                <w:szCs w:val="17"/>
              </w:rPr>
              <w:t xml:space="preserve">Block 02 Gap Resolved: detailed explanation of inter-PSP requirements.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PRD coverage is now comprehensive — this was the largest gap in v1.0.</w:t>
            </w:r>
          </w:p>
          <w:p>
            <w:pPr>
              <w:spacing w:after="55"/>
            </w:pPr>
            <w:r>
              <w:rPr>
                <w:b w:val="false"/>
                <w:bCs w:val="false"/>
                <w:i w:val="false"/>
                <w:iCs w:val="false"/>
                <w:color w:val="333333"/>
                <w:sz w:val="17"/>
                <w:szCs w:val="17"/>
              </w:rPr>
              <w:t xml:space="preserve">➜ Action: NPCI TPAP engagement must begin immediately (today). This is the longest lead-time item and the single biggest launch risk for Full-KYC wallets.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E. Interoperability</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Card-form PPI interoperability via Visa/Mastercard authorized card networks (if card-form PPI is issued).</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6.5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does not address card-form PPI issuance. Block 07 Gap Resolved notes cash withdrawal requires 'card-form PPI' but no card partnership is defined.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Card-form PPI issuance not in PRD scope — interoperability via card networks therefore out of scope.</w:t>
            </w:r>
          </w:p>
          <w:p>
            <w:pPr>
              <w:spacing w:after="55"/>
            </w:pPr>
            <w:r>
              <w:rPr>
                <w:b w:val="false"/>
                <w:bCs w:val="false"/>
                <w:i w:val="false"/>
                <w:iCs w:val="false"/>
                <w:color w:val="333333"/>
                <w:sz w:val="17"/>
                <w:szCs w:val="17"/>
              </w:rPr>
              <w:t xml:space="preserve">➜ Action: If card-form PPI is added to roadmap, Visa/Mastercard BIN sponsorship and card-network certification must be added to PRD before development begins.</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F. AML / CFT</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PPSL must register as Reporting Entity with FIU-IND under PMLA before commencing PPI issuance.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PMLA 2002 Sec. 12; FIU-IND Guidelines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§4 Regulatory Pre-conditions: 'Register PPSL as Reporting Entity with FIU-IND.'</w:t>
            </w:r>
          </w:p>
          <w:p>
            <w:pPr>
              <w:spacing w:after="55"/>
            </w:pPr>
            <w:r>
              <w:rPr>
                <w:b w:val="false"/>
                <w:bCs w:val="false"/>
                <w:i w:val="false"/>
                <w:iCs w:val="false"/>
                <w:color w:val="000000"/>
                <w:sz w:val="17"/>
                <w:szCs w:val="17"/>
              </w:rPr>
              <w:t xml:space="preserve">Gap Resolved note: registration process steps detailed — FINNET 2.0 portal, compliance officer appointment, draft AML/CFT policy. Lead time: 4–6 weeks. Flagged as pre-go-live blocker.</w:t>
            </w:r>
          </w:p>
          <w:p>
            <w:pPr>
              <w:spacing w:after="55"/>
            </w:pPr>
            <w:r>
              <w:rPr>
                <w:b w:val="false"/>
                <w:bCs w:val="false"/>
                <w:i w:val="false"/>
                <w:iCs w:val="false"/>
                <w:color w:val="000000"/>
                <w:sz w:val="17"/>
                <w:szCs w:val="17"/>
              </w:rPr>
              <w:t xml:space="preserve">Added as P0 Blocker #6 in Executive Summary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Action: Compliance team must initiate FIU-IND registration immediately — not during build, not during go-live prep. Own this as Sprint 0 task.</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F. AML / CFT</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STR filing within 7 days of suspicion arising. CTR for cash transactions &gt; ₹10 lakh.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PMLA Sec. 12A; FIU-IND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09: STR 7-day SLA covered. AML flagging for loads &gt; ₹50,000/month covered.</w:t>
            </w:r>
          </w:p>
          <w:p>
            <w:pPr>
              <w:spacing w:after="55"/>
            </w:pPr>
            <w:r>
              <w:rPr>
                <w:b w:val="false"/>
                <w:bCs w:val="false"/>
                <w:i w:val="false"/>
                <w:iCs w:val="false"/>
                <w:color w:val="000000"/>
                <w:sz w:val="17"/>
                <w:szCs w:val="17"/>
              </w:rPr>
              <w:t xml:space="preserve">Block 09 Gap Resolved: CTR scope clarified — CTRs apply only if cash loading is enabled. If cash loading is not enabled at launch, document explicitly.</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CTR scope decision depends on whether cash loading is in scope (linked to C.3 cash withdrawal decision).</w:t>
            </w:r>
          </w:p>
          <w:p>
            <w:pPr>
              <w:spacing w:after="55"/>
            </w:pPr>
            <w:r>
              <w:rPr>
                <w:b w:val="false"/>
                <w:bCs w:val="false"/>
                <w:i w:val="false"/>
                <w:iCs w:val="false"/>
                <w:color w:val="333333"/>
                <w:sz w:val="17"/>
                <w:szCs w:val="17"/>
              </w:rPr>
              <w:t xml:space="preserve">➜ Action: Formally decide cash loading scope. If out of scope, add to compliance register. If in scope, build CTR pipeline before enabling feature.</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F. AML / CFT</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Enhanced Due Diligence (EDD) for wallets with cumulative load &gt; ₹50,000/month.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09: '₹50,000/month load flag for enhanced due diligence.' AML monitoring dashboard included.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EDD flag implemented as dashboard indicator — confirm it triggers an ops review queue action, not just a visual flag.</w:t>
            </w:r>
          </w:p>
          <w:p>
            <w:pPr>
              <w:spacing w:after="55"/>
            </w:pPr>
            <w:r>
              <w:rPr>
                <w:b w:val="false"/>
                <w:bCs w:val="false"/>
                <w:i w:val="false"/>
                <w:iCs w:val="false"/>
                <w:color w:val="333333"/>
                <w:sz w:val="17"/>
                <w:szCs w:val="17"/>
              </w:rPr>
              <w:t xml:space="preserve">➜ Action: Define EDD workflow — what ops action is required when a wallet crosses ₹50K/month load? Document SLA for review.</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G. Security &amp; Data</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Two-factor authentication mandatory for all wallet transactions.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14; CERT-In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06: OTP/2FA via CPaaS covered. ATO detection (device change + high-value transaction) covered.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Verification: Confirm CERT-In OTP delivery channel guidelines are implemented — specifically channel fallback (SMS → WhatsApp → voice) and delivery confirmation tracking.</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G. Security &amp; Data</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Continuous fraud monitoring; escalation mechanism to Law Enforcement Agency (LEA) for confirmed fraud.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06 Gap Resolved: 'LEA escalation workflow: when a wallet is blocked for confirmed fraud, case must be escalatable to LEA via compliance team with transaction records, KYC data, device fingerprint.'</w:t>
            </w:r>
          </w:p>
          <w:p>
            <w:pPr>
              <w:spacing w:after="55"/>
            </w:pPr>
            <w:r>
              <w:rPr>
                <w:b w:val="false"/>
                <w:bCs w:val="false"/>
                <w:i w:val="false"/>
                <w:iCs w:val="false"/>
                <w:color w:val="000000"/>
                <w:sz w:val="17"/>
                <w:szCs w:val="17"/>
              </w:rPr>
              <w:t xml:space="preserve">LEA_ESCALATION added as a dispute sub-type in Block 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Action: Define the LEA escalation SOP — which team initiates, what data pack is prepared, who approves. Document before go-live.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G. Security &amp; Data</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All payment system data must be stored exclusively in India. No cross-border replication or offshore analytics on unmasked transaction data.</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RBI Apr 2018 circular; PA-PG Guidelines 2022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03: 'Data residency: all nodal account data must be stored in India.'</w:t>
            </w:r>
          </w:p>
          <w:p>
            <w:pPr>
              <w:spacing w:after="55"/>
            </w:pPr>
            <w:r>
              <w:rPr>
                <w:b w:val="false"/>
                <w:bCs w:val="false"/>
                <w:i w:val="false"/>
                <w:iCs w:val="false"/>
                <w:color w:val="000000"/>
                <w:sz w:val="17"/>
                <w:szCs w:val="17"/>
              </w:rPr>
              <w:t xml:space="preserve">Block 18 Gap Resolved: scope expanded to ALL wallet data stores — ledger entries, KYC artefacts, transaction history, risk scores, notification logs, admin audit logs, UPI transaction data, reconciliation records.</w:t>
            </w:r>
          </w:p>
          <w:p>
            <w:pPr>
              <w:spacing w:after="55"/>
            </w:pPr>
            <w:r>
              <w:rPr>
                <w:b w:val="false"/>
                <w:bCs w:val="false"/>
                <w:i w:val="false"/>
                <w:iCs w:val="false"/>
                <w:color w:val="000000"/>
                <w:sz w:val="17"/>
                <w:szCs w:val="17"/>
              </w:rPr>
              <w:t xml:space="preserve">'Architecture constraint: no cross-border DB replication, no offshore analytics on unmasked data, wallet microservices zone-locked to India-only cloud regions.'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 scope definition.</w:t>
            </w:r>
          </w:p>
          <w:p>
            <w:pPr>
              <w:spacing w:after="55"/>
            </w:pPr>
            <w:r>
              <w:rPr>
                <w:b w:val="false"/>
                <w:bCs w:val="false"/>
                <w:i w:val="false"/>
                <w:iCs w:val="false"/>
                <w:color w:val="333333"/>
                <w:sz w:val="17"/>
                <w:szCs w:val="17"/>
              </w:rPr>
              <w:t xml:space="preserve">➜ Action: Infrastructure team (Block 18) to produce a data residency audit confirming each data store is India-only before go-live sign-off.</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G. Security &amp; Data</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PCI-DSS and PA-DSS compliance for card data handling.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PA-PG Guidelines 2022 Cl.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does not explicitly address PCI-DSS compliance. Cards are mentioned as an 'Add Money' channel reusing existing PPSL PA-PG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PCI-DSS scope for wallet-related card processing not addressed in PRD.</w:t>
            </w:r>
          </w:p>
          <w:p>
            <w:pPr>
              <w:spacing w:after="55"/>
            </w:pPr>
            <w:r>
              <w:rPr>
                <w:b w:val="false"/>
                <w:bCs w:val="false"/>
                <w:i w:val="false"/>
                <w:iCs w:val="false"/>
                <w:color w:val="333333"/>
                <w:sz w:val="17"/>
                <w:szCs w:val="17"/>
              </w:rPr>
              <w:t xml:space="preserve">➜ Action: Confirm whether wallet's 'Add Money via card' reuses existing PCI-DSS certified PPSL PA-PG card processing or introduces new card data flows. If new flows, PCI-DSS scope assessment required before build.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H. Reporting &amp; Audit</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RBI periodic reports (monthly / quarterly PPI transaction data) in RBI DPSS prescribed format.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Annex; RBI circular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09: RBI periodic report module included.</w:t>
            </w:r>
          </w:p>
          <w:p>
            <w:pPr>
              <w:spacing w:after="55"/>
            </w:pPr>
            <w:r>
              <w:rPr>
                <w:b w:val="false"/>
                <w:bCs w:val="false"/>
                <w:i w:val="false"/>
                <w:iCs w:val="false"/>
                <w:color w:val="000000"/>
                <w:sz w:val="17"/>
                <w:szCs w:val="17"/>
              </w:rPr>
              <w:t xml:space="preserve">Block 09 Gap Resolved: 'Before building Block 09, obtain exact report schema from RBI DPSS. Building against assumed format risks rework. Engage RBI DPSS/PPSL compliance before Sprint 3 of Phase 3.'</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RBI DPSS report format not yet confirmed — open pre-build dependency.</w:t>
            </w:r>
          </w:p>
          <w:p>
            <w:pPr>
              <w:spacing w:after="55"/>
            </w:pPr>
            <w:r>
              <w:rPr>
                <w:b w:val="false"/>
                <w:bCs w:val="false"/>
                <w:i w:val="false"/>
                <w:iCs w:val="false"/>
                <w:color w:val="333333"/>
                <w:sz w:val="17"/>
                <w:szCs w:val="17"/>
              </w:rPr>
              <w:t xml:space="preserve">➜ Action: Compliance team to obtain prescribed report format from RBI DPSS before Block 09 sprint begins. Do not build report module without this.</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H. Reporting &amp; Audit</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Transaction logs, admin action logs, and reconciliation records retained for 5 years. KYC artefacts retained for 10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8.4; PMLA Sec. 12; IT Act 2000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01: 5-year audit log retention for ledger.</w:t>
            </w:r>
          </w:p>
          <w:p>
            <w:pPr>
              <w:spacing w:after="55"/>
            </w:pPr>
            <w:r>
              <w:rPr>
                <w:b w:val="false"/>
                <w:bCs w:val="false"/>
                <w:i w:val="false"/>
                <w:iCs w:val="false"/>
                <w:color w:val="000000"/>
                <w:sz w:val="17"/>
                <w:szCs w:val="17"/>
              </w:rPr>
              <w:t xml:space="preserve">Block 15 Gap Resolved: differentiates retention policies — 5-year for transaction/admin/risk logs, 10-year for KYC artefacts (Aadhaar, PAN, Video KYC recordings). Separate data lifecycle rules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Action: Block 18 (Infrastructure) must implement two separate automated data lifecycle policies at the storage layer, not a single blanket TTL.</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H. Reporting &amp; Audit</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Customer transaction history must be viewable by customer at all times via the app.</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24</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17 Compliance: 'RBI PPI Directions Clause 24 — transaction history must be viewable by customer at all times.'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Verification: Confirm transaction history is accessible even during wallet SUSPENDED or DORMANT states (read-only access must remain available).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I. Wallet Lifecycle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Min-KYC wallet validity: 12 months. On expiry, wallet must be closed and balance returned to customer.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12 Gap Resolved: '12-month validity, wallet_expiry_date field, 30d/7d/1d pre-expiry notifications, EXPIRED state transition, 60-day grace period, balance retrieval before final closure.'</w:t>
            </w:r>
          </w:p>
          <w:p>
            <w:pPr>
              <w:spacing w:after="55"/>
            </w:pPr>
            <w:r>
              <w:rPr>
                <w:b w:val="false"/>
                <w:bCs w:val="false"/>
                <w:i w:val="false"/>
                <w:iCs w:val="false"/>
                <w:color w:val="000000"/>
                <w:sz w:val="17"/>
                <w:szCs w:val="17"/>
              </w:rPr>
              <w:t xml:space="preserve">Block 03 Gap Resolved KYC Sprint Additions: wallet_expiry_date = created_at + 12 months set on wallet creation.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Lifecycle logic now fully specified.</w:t>
            </w:r>
          </w:p>
          <w:p>
            <w:pPr>
              <w:spacing w:after="55"/>
            </w:pPr>
            <w:r>
              <w:rPr>
                <w:b w:val="false"/>
                <w:bCs w:val="false"/>
                <w:i w:val="false"/>
                <w:iCs w:val="false"/>
                <w:color w:val="333333"/>
                <w:sz w:val="17"/>
                <w:szCs w:val="17"/>
              </w:rPr>
              <w:t xml:space="preserve">➜ Verification: Confirm EXPIRED is distinct from DORMANT in the state machine implementation — different triggers, different balance-handling rules.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I. Wallet Lifecycle</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Dormant wallets (no transactions for 12 months): restrict load/P2P. Unclaimed balances after 24 months: transfer to suspense account and close wallet.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18, 19; RBI unclaimed PPI circular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12 Gap Resolved Lifecycle Sprint Additions: 'Wallets DORMANT &gt; 24 months: transfer balance to suspense account per RBI unclaimed PPI circular, then close.'</w:t>
            </w:r>
          </w:p>
          <w:p>
            <w:pPr>
              <w:spacing w:after="55"/>
            </w:pPr>
            <w:r>
              <w:rPr>
                <w:b w:val="false"/>
                <w:bCs w:val="false"/>
                <w:i w:val="false"/>
                <w:iCs w:val="false"/>
                <w:color w:val="000000"/>
                <w:sz w:val="17"/>
                <w:szCs w:val="17"/>
              </w:rPr>
              <w:t xml:space="preserve">Monthly dormancy report added to Sprint 4.</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Action: Confirm the RBI-prescribed process for remitting unclaimed PPI balances — the specific circular and account details for suspense account must be confirmed with compliance before implementing.</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I. Wallet Lifecycle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Wallet closure: balance must be transferred to linked bank account or refunded to source. Wallet closure records retained.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12: 'Wallet closure flow — ops/customer-initiated, remaining balance transfer, status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Balance transfer destination when no linked bank account is available not addressed.</w:t>
            </w:r>
          </w:p>
          <w:p>
            <w:pPr>
              <w:spacing w:after="55"/>
            </w:pPr>
            <w:r>
              <w:rPr>
                <w:b w:val="false"/>
                <w:bCs w:val="false"/>
                <w:i w:val="false"/>
                <w:iCs w:val="false"/>
                <w:color w:val="333333"/>
                <w:sz w:val="17"/>
                <w:szCs w:val="17"/>
              </w:rPr>
              <w:t xml:space="preserve">➜ Action: Define fallback for closure when user has no linked bank account — options: wallet-to-wallet transfer, cheque, or hold in suspense. Legal/compliance decision required.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J. Merchant &amp; Acceptance</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Full-KYC PPI wallets must be accepted at all merchant locations where QR/UPI is accepted.</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21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10 Compliance: 'PPIs must be accepted at all merchant locations where QR/UPI is accepted (for interoperable Full-KYC wallets).'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Dependency: Full-KYC wallet acceptance at third-party merchant QR depends on UPI interoperability (NPCI TPAP) being live.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J. Merchant &amp; Acceptance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Wallet-accepting merchants must complete KYC/AML due diligence per PA-PG Guidelines before wallet acceptance is enabled.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PA-PG Guidelines Cl.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10 Gap Resolved: 'Merchants enabled for PPSL PPI wallet acceptance must have completed PPSL PA-PG merchant onboarding KYC. New merchants must complete PA-level KYC before wallet-acceptance toggle is activated. Do not allow wallet acceptance for unverified merchants.'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w:t>
            </w:r>
          </w:p>
          <w:p>
            <w:pPr>
              <w:spacing w:after="55"/>
            </w:pPr>
            <w:r>
              <w:rPr>
                <w:b w:val="false"/>
                <w:bCs w:val="false"/>
                <w:i w:val="false"/>
                <w:iCs w:val="false"/>
                <w:color w:val="333333"/>
                <w:sz w:val="17"/>
                <w:szCs w:val="17"/>
              </w:rPr>
              <w:t xml:space="preserve">➜ Action: Confirm merchant KYC enforcement is at the API layer (wallet-acceptance toggle cannot be activated via admin panel without KYC completion flag = true on merchant profile).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J. Merchant &amp; Acceptance</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MDR for wallet-funded transactions: RBI direction on MDR for PPIs may mandate 0% MDR for specific categories.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RBI MDR Directions; PPI-MD Cl. 21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10 Technical Notes: 'Wallet MDR is often 0% for specific categories (as per RBI direction on MDR for PPIs). Ensure MDR config is separate from UPI MDR.'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MDR applicability for wallet-funded UPI transactions (PPI interchange) not fully defined.</w:t>
            </w:r>
          </w:p>
          <w:p>
            <w:pPr>
              <w:spacing w:after="55"/>
            </w:pPr>
            <w:r>
              <w:rPr>
                <w:b w:val="false"/>
                <w:bCs w:val="false"/>
                <w:i w:val="false"/>
                <w:iCs w:val="false"/>
                <w:color w:val="333333"/>
                <w:sz w:val="17"/>
                <w:szCs w:val="17"/>
              </w:rPr>
              <w:t xml:space="preserve">➜ Action: Post-Apr 2024 PPI interchange of 0.5–1.1% applies on wallet-funded UPI transactions &gt; ₹2,000 to merchants (charged to merchant, not customer). Confirm PPSL's MDR/interchange config reflects this. Legal/business decision on MDR pass-through to merchants.</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K. Dispute &amp; Grievance</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Grievance redressal mechanism mandatory for all PPI issuers. Response within 30 days. Escalation to RBI Integrated Ombudsman Scheme if unresolved.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PPI-MD Cl. 26; RBI IOS 2021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14: dispute management system, 30-day SLA, SLA auto-escalation, RBI Ombudsman case management — all covered.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Action: Define escalation process to RBI Ombudsman — what data is submitted, who is the PPSL nodal officer for Ombudsman cases, what is the response template. Create before go-live.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K. Dispute &amp; Grievance</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PPSL must designate a Nodal Officer responsible for customer complaints and regulatory compliance, with contact details published on PPSL website.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PA-PG Guidelines; PPI-MD Cl. 26</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does not mention Nodal Officer designation or website publication requirement.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Nodal Officer designation not covered in PRD — operational gap.</w:t>
            </w:r>
          </w:p>
          <w:p>
            <w:pPr>
              <w:spacing w:after="55"/>
            </w:pPr>
            <w:r>
              <w:rPr>
                <w:b w:val="false"/>
                <w:bCs w:val="false"/>
                <w:i w:val="false"/>
                <w:iCs w:val="false"/>
                <w:color w:val="333333"/>
                <w:sz w:val="17"/>
                <w:szCs w:val="17"/>
              </w:rPr>
              <w:t xml:space="preserve">➜ Action: Designate a Nodal Officer for PPSL PPI before launch. Publish name, designation, email, and phone on PPSL's public website and on the wallet app's 'Help / Contact Us' screen. This is a regulatory requirement, not optional.</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L. NPCI / UPI</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PPSL must obtain NPCI TPAP membership or PSP sponsorship to issue UPI handles and enable UPI payments from wallet.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NPCI UPI Procedural Guidelines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NPCI TPAP license identified as P0 blocker from v1.0.</w:t>
            </w:r>
          </w:p>
          <w:p>
            <w:pPr>
              <w:spacing w:after="55"/>
            </w:pPr>
            <w:r>
              <w:rPr>
                <w:b w:val="false"/>
                <w:bCs w:val="false"/>
                <w:i w:val="false"/>
                <w:iCs w:val="false"/>
                <w:color w:val="000000"/>
                <w:sz w:val="17"/>
                <w:szCs w:val="17"/>
              </w:rPr>
              <w:t xml:space="preserve">Gap Resolved: 6–12 month lead time explicitly called out. Initiation required immediately. Added to Regulatory Pre-conditions as urgent 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 in PRD — risk is execution timeline, not coverage.</w:t>
            </w:r>
          </w:p>
          <w:p>
            <w:pPr>
              <w:spacing w:after="55"/>
            </w:pPr>
            <w:r>
              <w:rPr>
                <w:b w:val="false"/>
                <w:bCs w:val="false"/>
                <w:i w:val="false"/>
                <w:iCs w:val="false"/>
                <w:color w:val="333333"/>
                <w:sz w:val="17"/>
                <w:szCs w:val="17"/>
              </w:rPr>
              <w:t xml:space="preserve">➜ Action: NPCI engagement must begin TODAY. Without TPAP membership, Full-KYC wallets cannot go live. No technical workaround.</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L. NPCI / UPI</w:t>
            </w:r>
          </w:p>
        </w:tc>
        <w:tc>
          <w:tcPr>
            <w:tcW w:type="dxa" w:w="24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NPCI UPI certification (functional test cases + security audit) required before live UPI transactions.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NPCI UPI Cert. Process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11: 'NPCI UPI certification process — functional test cases, security audit (run in parallel with dev)' in Sprint 1.</w:t>
            </w:r>
          </w:p>
          <w:p>
            <w:pPr>
              <w:spacing w:after="55"/>
            </w:pPr>
            <w:r>
              <w:rPr>
                <w:b w:val="false"/>
                <w:bCs w:val="false"/>
                <w:i w:val="false"/>
                <w:iCs w:val="false"/>
                <w:color w:val="000000"/>
                <w:sz w:val="17"/>
                <w:szCs w:val="17"/>
              </w:rPr>
              <w:t xml:space="preserve">Sprint 4: 'NPCI certification — submit test results, resolve audit findings.'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No remaining gap.</w:t>
            </w:r>
          </w:p>
          <w:p>
            <w:pPr>
              <w:spacing w:after="55"/>
            </w:pPr>
            <w:r>
              <w:rPr>
                <w:b w:val="false"/>
                <w:bCs w:val="false"/>
                <w:i w:val="false"/>
                <w:iCs w:val="false"/>
                <w:color w:val="333333"/>
                <w:sz w:val="17"/>
                <w:szCs w:val="17"/>
              </w:rPr>
              <w:t xml:space="preserve">➜ Verification: NPCI certification process runs in parallel with dev but has its own schedule. Assign a dedicated NPCI engagement manager to track milestones.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i w:val="false"/>
                <w:iCs w:val="false"/>
                <w:color w:val="375623"/>
                <w:sz w:val="17"/>
                <w:szCs w:val="17"/>
              </w:rPr>
              <w:t xml:space="preserve">✓ Resolved</w:t>
            </w:r>
          </w:p>
        </w:tc>
      </w:tr>
      <w:tr>
        <w:tc>
          <w:tcPr>
            <w:tcW w:type="dxa" w:w="105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L. NPCI / UPI</w:t>
            </w:r>
          </w:p>
        </w:tc>
        <w:tc>
          <w:tcPr>
            <w:tcW w:type="dxa" w:w="2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BBPS: PPSL must hold or leverage existing BBPOU (Bharat Bill Payment Operating Unit) status for bill payment via wallet.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666666"/>
                <w:sz w:val="16"/>
                <w:szCs w:val="16"/>
              </w:rPr>
              <w:t xml:space="preserve">NPCI BBPS Guidelines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PRD v1.1 Block 04: 'Bill Payment (BBPS) — use PPSL BBPOU status, debit wallet, initiate BBPS payment.'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33333"/>
                <w:sz w:val="17"/>
                <w:szCs w:val="17"/>
              </w:rPr>
              <w:t xml:space="preserve">PRD assumes PPSL BBPOU status exists. Not confirmed.</w:t>
            </w:r>
          </w:p>
          <w:p>
            <w:pPr>
              <w:spacing w:after="55"/>
            </w:pPr>
            <w:r>
              <w:rPr>
                <w:b w:val="false"/>
                <w:bCs w:val="false"/>
                <w:i w:val="false"/>
                <w:iCs w:val="false"/>
                <w:color w:val="333333"/>
                <w:sz w:val="17"/>
                <w:szCs w:val="17"/>
              </w:rPr>
              <w:t xml:space="preserve">➜ Action: Confirm PPSL independently holds BBPOU status. If BBPOU is held by a different group entity (e.g. TPAP/PCL), confirm whether PPSL can piggyback or needs separate registration. BBPS via wallet requires correct entity-level authorization.</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b/>
                <w:bCs/>
                <w:i w:val="false"/>
                <w:iCs w:val="false"/>
                <w:color w:val="7F6000"/>
                <w:sz w:val="17"/>
                <w:szCs w:val="17"/>
              </w:rPr>
              <w:t xml:space="preserve">GAP</w:t>
            </w:r>
          </w:p>
        </w:tc>
      </w:tr>
    </w:tbl>
    <w:p>
      <w:r>
        <w:br w:type="page"/>
      </w:r>
    </w:p>
    <w:p>
      <w:pPr>
        <w:pStyle w:val="Heading1"/>
      </w:pPr>
      <w:r>
        <w:rPr>
          <w:b/>
          <w:bCs/>
          <w:i w:val="false"/>
          <w:iCs w:val="false"/>
          <w:color w:val="1F4E79"/>
          <w:sz w:val="38"/>
          <w:szCs w:val="38"/>
        </w:rPr>
        <w:t xml:space="preserve">Pre-Build Action Checklist</w:t>
      </w:r>
    </w:p>
    <w:p>
      <w:pPr>
        <w:spacing w:after="80"/>
      </w:pPr>
      <w:r>
        <w:rPr>
          <w:b w:val="false"/>
          <w:bCs w:val="false"/>
          <w:i w:val="false"/>
          <w:iCs w:val="false"/>
          <w:color w:val="444444"/>
          <w:sz w:val="20"/>
          <w:szCs w:val="20"/>
        </w:rPr>
        <w:t xml:space="preserve">The following items must be resolved before or in parallel with development. Items marked ⚠ are hard pre-build gates — no code should be written against the affected blocks until they are closed.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00"/>
        <w:gridCol w:w="2200"/>
        <w:gridCol w:w="1640"/>
        <w:gridCol w:w="2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Item</w:t>
            </w:r>
          </w:p>
        </w:tc>
        <w:tc>
          <w:tcPr>
            <w:tcW w:type="dxa" w:w="5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Required Action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Owner</w:t>
            </w:r>
          </w:p>
        </w:tc>
        <w:tc>
          <w:tcPr>
            <w:tcW w:type="dxa" w:w="164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By When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PPI License Confirmation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Obtain written legal opinion confirming PPSL holds or has applied for standalone RBI PPI authorization. Gate for all build 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Legal / CEO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Pre-Sprint 1</w:t>
            </w:r>
          </w:p>
        </w:tc>
        <w:tc>
          <w:tcPr>
            <w:tcW w:type="dxa" w:w="2000"/>
            <w:tcBorders>
              <w:top w:val="single" w:color="CCCCCC" w:sz="1"/>
              <w:left w:val="single" w:color="CCCCCC" w:sz="1"/>
              <w:bottom w:val="single" w:color="CCCCCC" w:sz="1"/>
              <w:right w:val="single" w:color="CCCCCC" w:sz="1"/>
            </w:tcBorders>
            <w:shd w:fill="FFE6E6" w:val="clear"/>
            <w:tcMar>
              <w:top w:type="dxa" w:w="80"/>
              <w:left w:type="dxa" w:w="130"/>
              <w:bottom w:type="dxa" w:w="80"/>
              <w:right w:type="dxa" w:w="130"/>
            </w:tcMar>
            <w:vAlign w:val="top"/>
          </w:tcPr>
          <w:p>
            <w:pPr>
              <w:spacing w:after="55"/>
            </w:pPr>
            <w:r>
              <w:rPr>
                <w:b/>
                <w:bCs/>
                <w:i w:val="false"/>
                <w:iCs w:val="false"/>
                <w:color w:val="C00000"/>
                <w:sz w:val="17"/>
                <w:szCs w:val="17"/>
              </w:rPr>
              <w:t xml:space="preserve">⚠ Pre-Build Gate</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PA vs PPI Escrow Separation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Written legal opinion that separate bank accounts for PA merchant float and PPI outstanding e-money are maintained. Pre-condition for any escrow account opening.</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Legal / Finance</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Pre-Sprint 1</w:t>
            </w:r>
          </w:p>
        </w:tc>
        <w:tc>
          <w:tcPr>
            <w:tcW w:type="dxa" w:w="2000"/>
            <w:tcBorders>
              <w:top w:val="single" w:color="CCCCCC" w:sz="1"/>
              <w:left w:val="single" w:color="CCCCCC" w:sz="1"/>
              <w:bottom w:val="single" w:color="CCCCCC" w:sz="1"/>
              <w:right w:val="single" w:color="CCCCCC" w:sz="1"/>
            </w:tcBorders>
            <w:shd w:fill="FFE6E6" w:val="clear"/>
            <w:tcMar>
              <w:top w:type="dxa" w:w="80"/>
              <w:left w:type="dxa" w:w="130"/>
              <w:bottom w:type="dxa" w:w="80"/>
              <w:right w:type="dxa" w:w="130"/>
            </w:tcMar>
            <w:vAlign w:val="top"/>
          </w:tcPr>
          <w:p>
            <w:pPr>
              <w:spacing w:after="55"/>
            </w:pPr>
            <w:r>
              <w:rPr>
                <w:b/>
                <w:bCs/>
                <w:i w:val="false"/>
                <w:iCs w:val="false"/>
                <w:color w:val="C00000"/>
                <w:sz w:val="17"/>
                <w:szCs w:val="17"/>
              </w:rPr>
              <w:t xml:space="preserve">⚠ Pre-Build Gate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NPCI TPAP Membership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Initiate NPCI engagement for TPAP license TODAY. 6–12 month lead time. This is the single biggest launch risk for Full-KYC wallets.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Business / Tech Lead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Immediate</w:t>
            </w:r>
          </w:p>
        </w:tc>
        <w:tc>
          <w:tcPr>
            <w:tcW w:type="dxa" w:w="2000"/>
            <w:tcBorders>
              <w:top w:val="single" w:color="CCCCCC" w:sz="1"/>
              <w:left w:val="single" w:color="CCCCCC" w:sz="1"/>
              <w:bottom w:val="single" w:color="CCCCCC" w:sz="1"/>
              <w:right w:val="single" w:color="CCCCCC" w:sz="1"/>
            </w:tcBorders>
            <w:shd w:fill="FFE6E6" w:val="clear"/>
            <w:tcMar>
              <w:top w:type="dxa" w:w="80"/>
              <w:left w:type="dxa" w:w="130"/>
              <w:bottom w:type="dxa" w:w="80"/>
              <w:right w:type="dxa" w:w="130"/>
            </w:tcMar>
            <w:vAlign w:val="top"/>
          </w:tcPr>
          <w:p>
            <w:pPr>
              <w:spacing w:after="55"/>
            </w:pPr>
            <w:r>
              <w:rPr>
                <w:b/>
                <w:bCs/>
                <w:i w:val="false"/>
                <w:iCs w:val="false"/>
                <w:color w:val="C00000"/>
                <w:sz w:val="17"/>
                <w:szCs w:val="17"/>
              </w:rPr>
              <w:t xml:space="preserve">⚠ Pre-Build Gate</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FIU-IND Registration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Register PPSL as Reporting Entity with FIU-IND via FINNET 2.0 portal. Appoint Compliance Officer. Submit draft AML/CFT policy. Lead time: 4–6 weeks.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Compliance</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Sprint 0</w:t>
            </w:r>
          </w:p>
        </w:tc>
        <w:tc>
          <w:tcPr>
            <w:tcW w:type="dxa" w:w="2000"/>
            <w:tcBorders>
              <w:top w:val="single" w:color="CCCCCC" w:sz="1"/>
              <w:left w:val="single" w:color="CCCCCC" w:sz="1"/>
              <w:bottom w:val="single" w:color="CCCCCC" w:sz="1"/>
              <w:right w:val="single" w:color="CCCCCC" w:sz="1"/>
            </w:tcBorders>
            <w:shd w:fill="FFE6E6" w:val="clear"/>
            <w:tcMar>
              <w:top w:type="dxa" w:w="80"/>
              <w:left w:type="dxa" w:w="130"/>
              <w:bottom w:type="dxa" w:w="80"/>
              <w:right w:type="dxa" w:w="130"/>
            </w:tcMar>
            <w:vAlign w:val="top"/>
          </w:tcPr>
          <w:p>
            <w:pPr>
              <w:spacing w:after="55"/>
            </w:pPr>
            <w:r>
              <w:rPr>
                <w:b/>
                <w:bCs/>
                <w:i w:val="false"/>
                <w:iCs w:val="false"/>
                <w:color w:val="C00000"/>
                <w:sz w:val="17"/>
                <w:szCs w:val="17"/>
              </w:rPr>
              <w:t xml:space="preserve">⚠ Pre-Build Gate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CERSAI CKYC Registration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Register PPSL as CKYC-compliant institution with CERSAI alongside UIDAI KUA registration. Required before Full-KYC wallets can be issued.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Compliance / Legal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Pre-Block 03 Sprint 4</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Escrow Interest Legal Opinion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Obtain RBI/legal opinion confirming whether PPI escrow float can participate in core-portion interest arrangement. Document in escrow agreement.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Legal / Finance</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During Bank RFP</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RBI DPSS Report Format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Obtain prescribed PPI periodic report format from RBI DPSS before building Block 09 reporting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Compliance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Before Block 09 Sprint 3</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Nodal Officer Designation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Designate PPSL PPI Nodal Officer. Publish on PPSL website and wallet app Help screen. Mandatory regulatory requirement.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Compliance / Legal</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Pre Go-Live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Gift PPI Rules Definition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Define Gift PPI issuance rules (load cap, KYC exemption threshold, expiry, record-keeping) with legal review before Gift PPI feature is scoped.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Product / Legal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Before Gift PPI scoping</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10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BBPOU Status Confirmation</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Confirm PPSL holds BBPOU status for bill payment. If held by another group entity, confirm PPSL can use it or initiate separate BBPOU registration.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Business / Regulatory</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Pre-Block 04 Sprint 4</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000000"/>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1F4E79"/>
                <w:sz w:val="18"/>
                <w:szCs w:val="18"/>
              </w:rPr>
              <w:t xml:space="preserve">Cash Loading / Card-Form PPI Decision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Decide whether PPSL will issue card-form PPI and/or enable cash loading. If yes, scope must expand significantly (card BIN, ATM network, PCI-DSS, CTR pipeline). If no, formally document exclusion.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Product / Legal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bCs/>
                <w:i w:val="false"/>
                <w:iCs w:val="false"/>
                <w:color w:val="375623"/>
                <w:sz w:val="17"/>
                <w:szCs w:val="17"/>
              </w:rPr>
              <w:t xml:space="preserve">Pre-Sprint 1</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000000"/>
                <w:sz w:val="18"/>
                <w:szCs w:val="18"/>
              </w:rPr>
              <w:t xml:space="preserve">12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1F4E79"/>
                <w:sz w:val="18"/>
                <w:szCs w:val="18"/>
              </w:rPr>
              <w:t xml:space="preserve">Wallet Closure — No Bank Account Fallback</w:t>
            </w:r>
          </w:p>
        </w:tc>
        <w:tc>
          <w:tcPr>
            <w:tcW w:type="dxa" w:w="55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7"/>
                <w:szCs w:val="17"/>
              </w:rPr>
              <w:t xml:space="preserve">Define process when a wallet is closed but user has no linked bank account. Legal/compliance decision on fallback (suspense, cheque, wallet-to-wallet transfer).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1F4E79"/>
                <w:sz w:val="17"/>
                <w:szCs w:val="17"/>
              </w:rPr>
              <w:t xml:space="preserve">Product / Compliance</w:t>
            </w:r>
          </w:p>
        </w:tc>
        <w:tc>
          <w:tcPr>
            <w:tcW w:type="dxa" w:w="164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bCs/>
                <w:i w:val="false"/>
                <w:iCs w:val="false"/>
                <w:color w:val="375623"/>
                <w:sz w:val="17"/>
                <w:szCs w:val="17"/>
              </w:rPr>
              <w:t xml:space="preserve">Before Block 12 Sprint 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top"/>
          </w:tcPr>
          <w:p>
            <w:pPr>
              <w:spacing w:after="55"/>
            </w:pPr>
            <w:r>
              <w:rPr>
                <w:b/>
                <w:bCs/>
                <w:i w:val="false"/>
                <w:iCs w:val="false"/>
                <w:color w:val="7F6000"/>
                <w:sz w:val="17"/>
                <w:szCs w:val="17"/>
              </w:rPr>
              <w:t xml:space="preserve">Pre-Launch</w:t>
            </w:r>
          </w:p>
        </w:tc>
      </w:tr>
    </w:tbl>
    <w:p>
      <w:pPr>
        <w:pStyle w:val="Heading2"/>
        <w:spacing w:after="120" w:before="280"/>
      </w:pPr>
      <w:r>
        <w:rPr>
          <w:b/>
          <w:bCs/>
          <w:i w:val="false"/>
          <w:iCs w:val="false"/>
          <w:color w:val="2E75B6"/>
          <w:sz w:val="27"/>
          <w:szCs w:val="27"/>
        </w:rPr>
        <w:t xml:space="preserve">Status Summary — v1.0 vs v2.0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31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Category</w:t>
            </w:r>
          </w:p>
        </w:tc>
        <w:tc>
          <w:tcPr>
            <w:tcW w:type="dxa" w:w="155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v1.0 Status</w:t>
            </w:r>
          </w:p>
        </w:tc>
        <w:tc>
          <w:tcPr>
            <w:tcW w:type="dxa" w:w="155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v2.0 Status</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center"/>
          </w:tcPr>
          <w:p>
            <w:pPr>
              <w:jc w:val="center"/>
            </w:pPr>
            <w:r>
              <w:rPr>
                <w:b/>
                <w:bCs/>
                <w:color w:val="FFFFFF"/>
                <w:sz w:val="19"/>
                <w:szCs w:val="19"/>
              </w:rPr>
              <w:t xml:space="preserve">Change Summary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A. Licensing</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2 Critical, 1 Gap</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1 Resolved, 2 Legal/RBI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PA≠PPI license confirmed in PRD. Net worth and entity-type need legal opinion.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B. KYC &amp; CDD</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2 Critical, 2 Gap</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4 Resolved, 1 Gap, 1 Verified</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CKYC, 12-month validity, and PMLA retention all addressed. Gift PPI rules remain open.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C. Transaction Limits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2 Gap, 1 Gap</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P2P prohibition and Apr 2024 limits addressed. Cash withdrawal scope still a product decision.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D. Escrow &amp; Nodal</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2 Covered, 2 Gap</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3 Resolved, 1 Legal/RBI</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Float SOP and PA/PPI escrow separation addressed. Escrow interest structure needs legal opinion.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E. Interoperability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Critical, 1 Gap</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Dec 2024 mandate fully addressed. Card-form interoperability out of scope (product decision).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F. AML / CFT</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Critical, 2 Gap</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2 Gap</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FIU-IND registration addressed. EDD workflow and CTR scope linked to cash loading decision.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G. Security &amp; Data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Covered, 2 Gap</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3 Resolved, 1 Gap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LEA escalation and full data localisation addressed. PCI-DSS scope for card flows open.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H. Reporting &amp; Audit</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Gap, 2 Covered</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Retention differentiation addressed. RBI DPSS report format still to be confirmed.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I. Wallet Lifecycle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3 Gap</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EXPIRED/DORMANT states and unclaimed balance handling addressed. No-bank-account closure fallback open.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J. Merchant Acceptance</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Gap, 1 Gap</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Merchant KYC enforcement addressed. PPI interchange / MDR config still to be confirmed.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K. Dispute &amp; Grievance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Covered</w:t>
            </w:r>
          </w:p>
        </w:tc>
        <w:tc>
          <w:tcPr>
            <w:tcW w:type="dxa" w:w="1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1 Resolved, 1 Gap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SLA and Ombudsman covered. Nodal Officer designation not in PRD — new gap identified.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55"/>
            </w:pPr>
            <w:r>
              <w:rPr>
                <w:b/>
                <w:bCs/>
                <w:i w:val="false"/>
                <w:iCs w:val="false"/>
                <w:color w:val="1F4E79"/>
                <w:sz w:val="17"/>
                <w:szCs w:val="17"/>
              </w:rPr>
              <w:t xml:space="preserve">L. NPCI / UPI</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C00000"/>
                <w:sz w:val="17"/>
                <w:szCs w:val="17"/>
              </w:rPr>
              <w:t xml:space="preserve">1 Critical</w:t>
            </w:r>
          </w:p>
        </w:tc>
        <w:tc>
          <w:tcPr>
            <w:tcW w:type="dxa" w:w="155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375623"/>
                <w:sz w:val="17"/>
                <w:szCs w:val="17"/>
              </w:rPr>
              <w:t xml:space="preserve">2 Resolved, 1 Gap</w:t>
            </w:r>
          </w:p>
        </w:tc>
        <w:tc>
          <w:tcPr>
            <w:tcW w:type="dxa" w:w="3100"/>
            <w:tcBorders>
              <w:top w:val="single" w:color="CCCCCC" w:sz="1"/>
              <w:left w:val="single" w:color="CCCCCC" w:sz="1"/>
              <w:bottom w:val="single" w:color="CCCCCC" w:sz="1"/>
              <w:right w:val="single" w:color="CCCCCC" w:sz="1"/>
            </w:tcBorders>
            <w:shd w:fill="F5F9FF" w:val="clear"/>
            <w:tcMar>
              <w:top w:type="dxa" w:w="80"/>
              <w:left w:type="dxa" w:w="130"/>
              <w:bottom w:type="dxa" w:w="80"/>
              <w:right w:type="dxa" w:w="130"/>
            </w:tcMar>
            <w:vAlign w:val="top"/>
          </w:tcPr>
          <w:p>
            <w:pPr>
              <w:spacing w:after="55"/>
            </w:pPr>
            <w:r>
              <w:rPr>
                <w:b w:val="false"/>
                <w:bCs w:val="false"/>
                <w:i w:val="false"/>
                <w:iCs w:val="false"/>
                <w:color w:val="000000"/>
                <w:sz w:val="16"/>
                <w:szCs w:val="16"/>
              </w:rPr>
              <w:t xml:space="preserve">TPAP membership addressed. BBPOU status confirmation for bill payment still open.</w:t>
            </w:r>
          </w:p>
        </w:tc>
      </w:tr>
    </w:tbl>
    <w:p>
      <w:pPr>
        <w:spacing w:after="60" w:before="240"/>
      </w:pPr>
      <w:r>
        <w:rPr>
          <w:b w:val="false"/>
          <w:bCs w:val="false"/>
          <w:i/>
          <w:iCs/>
          <w:color w:val="888888"/>
          <w:sz w:val="17"/>
          <w:szCs w:val="17"/>
        </w:rPr>
        <w:t xml:space="preserve">Disclaimer: This analysis is based on RBI PPI Master Directions (Oct 2023), RBI PA-PG Guidelines (2022/2025 update), PMLA 2002, RBI KYC-MD (Oct 2023), NPCI UPI Guidelines, and PPSL PRD v1.1 (March 2026). This document does not constitute legal advice. All Legal/RBI-flagged items must be reviewed by qualified legal counsel and PPSL's compliance team before action.</w:t>
      </w:r>
    </w:p>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14040"/>
      </w:tabs>
      <w:spacing w:before="0"/>
    </w:pPr>
    <w:r>
      <w:rPr>
        <w:b w:val="false"/>
        <w:bCs w:val="false"/>
        <w:i w:val="false"/>
        <w:iCs w:val="false"/>
        <w:color w:val="888888"/>
        <w:sz w:val="16"/>
        <w:szCs w:val="16"/>
      </w:rPr>
      <w:t xml:space="preserve">RBI PPI Master Directions (Oct 2023)  |  RBI PA-PG Guidelines (Mar 2022/2025)  |  PMLA 2002  |  RBI KYC-MD (Oct 2023)  |  NPCI UPI Guidelines</w:t>
    </w:r>
    <w:r>
      <w:rPr>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4040"/>
      </w:tabs>
      <w:spacing w:after="0"/>
    </w:pPr>
    <w:r>
      <w:rPr>
        <w:b/>
        <w:bCs/>
        <w:i w:val="false"/>
        <w:iCs w:val="false"/>
        <w:color w:val="1F4E79"/>
        <w:sz w:val="18"/>
        <w:szCs w:val="18"/>
      </w:rPr>
      <w:t xml:space="preserve">PPSL PPI Wallet — Compliance Gap Analysis v2.0 (based on PRD v1.1)</w:t>
    </w:r>
    <w:r>
      <w:rPr>
        <w:color w:val="888888"/>
        <w:sz w:val="18"/>
        <w:szCs w:val="18"/>
      </w:rPr>
      <w:t xml:space="preserve">	Confidential — Internal Use Only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2026-03-31T10:14:35.704Z</dcterms:created>
  <dcterms:modified xsi:type="dcterms:W3CDTF">2026-03-31T10:14:35.713Z</dcterms:modified>
</cp:coreProperties>
</file>

<file path=docProps/custom.xml><?xml version="1.0" encoding="utf-8"?>
<Properties xmlns="http://schemas.openxmlformats.org/officeDocument/2006/custom-properties" xmlns:vt="http://schemas.openxmlformats.org/officeDocument/2006/docPropsVTypes"/>
</file>