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i w:val="false"/>
          <w:iCs w:val="false"/>
          <w:color w:val="1F4E79"/>
          <w:sz w:val="40"/>
          <w:szCs w:val="40"/>
        </w:rPr>
        <w:t xml:space="preserve">Partner Bank Evaluation Matrix — PPI Wallet Escrow / Nodal Account</w:t>
      </w:r>
    </w:p>
    <w:p>
      <w:pPr>
        <w:spacing w:after="80"/>
      </w:pPr>
      <w:r>
        <w:rPr>
          <w:b w:val="false"/>
          <w:bCs w:val="false"/>
          <w:i w:val="false"/>
          <w:iCs w:val="false"/>
          <w:color w:val="444444"/>
          <w:sz w:val="22"/>
          <w:szCs w:val="22"/>
        </w:rPr>
        <w:t xml:space="preserve">Candidates: Yes Bank | IndusInd Bank | RBL Bank | IDFC First Bank  |  Prepared: March 2026  |  Status: Draft</w:t>
      </w:r>
    </w:p>
    <w:p>
      <w:pPr>
        <w:spacing w:after="160"/>
      </w:pPr>
      <w:r>
        <w:rPr>
          <w:b w:val="false"/>
          <w:bCs w:val="false"/>
          <w:i w:val="false"/>
          <w:iCs w:val="false"/>
          <w:color w:val="666666"/>
          <w:sz w:val="20"/>
          <w:szCs w:val="20"/>
        </w:rPr>
        <w:t xml:space="preserve">Evaluation covers: (1) Existing PPI issuer partnerships, (2) API banking maturity, (3) Escrow/nodal account terms, (4) RBI compliance track record. Each dimension rated 1-5. Ratings based on publicly available information, RBI enforcement records, and industry intelligence.</w:t>
      </w:r>
    </w:p>
    <w:p>
      <w:pPr>
        <w:pStyle w:val="Heading2"/>
      </w:pPr>
      <w:r>
        <w:rPr>
          <w:b/>
          <w:bCs/>
          <w:i w:val="false"/>
          <w:iCs w:val="false"/>
          <w:color w:val="2E75B6"/>
          <w:sz w:val="28"/>
          <w:szCs w:val="28"/>
        </w:rPr>
        <w:t xml:space="preserve">Comparison Matrix</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80"/>
        <w:gridCol w:w="2850"/>
        <w:gridCol w:w="2850"/>
        <w:gridCol w:w="2850"/>
        <w:gridCol w:w="2850"/>
      </w:tblGrid>
      <w:tr>
        <w:trPr>
          <w:tblHeader/>
        </w:trPr>
        <w:tc>
          <w:tcPr>
            <w:tcW w:type="dxa" w:w="22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Evaluation Criteria</w:t>
            </w:r>
          </w:p>
        </w:tc>
        <w:tc>
          <w:tcPr>
            <w:tcW w:type="dxa" w:w="285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Yes Bank</w:t>
            </w:r>
          </w:p>
        </w:tc>
        <w:tc>
          <w:tcPr>
            <w:tcW w:type="dxa" w:w="285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IndusInd Bank</w:t>
            </w:r>
          </w:p>
        </w:tc>
        <w:tc>
          <w:tcPr>
            <w:tcW w:type="dxa" w:w="285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RBL Bank</w:t>
            </w:r>
          </w:p>
        </w:tc>
        <w:tc>
          <w:tcPr>
            <w:tcW w:type="dxa" w:w="285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IDFC First Bank</w:t>
            </w:r>
          </w:p>
        </w:tc>
      </w:tr>
      <w:tr>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000000"/>
                <w:sz w:val="18"/>
                <w:szCs w:val="18"/>
              </w:rPr>
              <w:t xml:space="preserve">Existing PPI Issuer Partnerships</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Strong track record — Yes Bank has been escrow/nodal partner for multiple PPI issuers including Ola Money, MobiKwik, and other semi-closed wallet players. Active PPI issuer partnerships since 2016.</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Active fintech banking partnerships (co-branded cards, BNPL). Some PPI issuer relationships but not as deep as Yes Bank. Increasingly active in BaaS / embedded finance segment since 2023.</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Historically active PPI and prepaid card issuer partnerships — issued co-branded and prepaid Visa/Mastercard through fintech partners. Deep card BIN issuance experience. Good for card-form PPI issuance if required.</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Limited PPI issuer partnership track record. Known more for retail banking and co-branded credit cards. Escrow used for fintech lending disbursals. Growing interest in BaaS but PPI-specific experience limited.</w:t>
            </w:r>
          </w:p>
        </w:tc>
      </w:tr>
      <w:tr>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000000"/>
                <w:sz w:val="18"/>
                <w:szCs w:val="18"/>
              </w:rPr>
              <w:t xml:space="preserve">API Banking Maturity &amp; Sandbox</w:t>
            </w:r>
          </w:p>
        </w:tc>
        <w:tc>
          <w:tcPr>
            <w:tcW w:type="dxa" w:w="28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Pioneer in API banking in India — launched India's largest API sandbox (50+ APIs). Yes Fintech Developer Portal with sandbox environment. Real-time balance APIs, inward/outward webhooks, MT940 statement delivery. High API maturity score.</w:t>
            </w:r>
          </w:p>
        </w:tc>
        <w:tc>
          <w:tcPr>
            <w:tcW w:type="dxa" w:w="28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Decent API capability with corporate banking API suite. Less comprehensive developer portal than Yes Bank. Webhooks available for transaction events. Sandbox available but smaller scope. Supports bulk credits and SFTP statements.</w:t>
            </w:r>
          </w:p>
        </w:tc>
        <w:tc>
          <w:tcPr>
            <w:tcW w:type="dxa" w:w="28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Among early movers in API banking (2013). Strong card-adjacent APIs. Transaction banking API suite available. Webhook support. API uptime historically lower than Yes/IndusInd. Sandbox available.</w:t>
            </w:r>
          </w:p>
        </w:tc>
        <w:tc>
          <w:tcPr>
            <w:tcW w:type="dxa" w:w="28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Good API suite for retail and corporate banking. API banking platform available. Developer portal exists. Less battle-tested on high-volume transaction banking (PPI-level TPS) vs Yes Bank.</w:t>
            </w:r>
          </w:p>
        </w:tc>
      </w:tr>
      <w:tr>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000000"/>
                <w:sz w:val="18"/>
                <w:szCs w:val="18"/>
              </w:rPr>
              <w:t xml:space="preserve">Escrow / Nodal Account Terms</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Offers dedicated nodal accounts for PPI issuers. Virtual account / sub-account capability available. Competitive interest on core-portion float. NEFT/RTGS/IMPS cut-offs well-documented. Separate relationship team for fintech clients.</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Offers escrow/nodal accounts. Good relationship management for large corporate accounts. Cut-off times standard. Virtual account capability exists but less mature than Yes Bank. Interest structure on core portion negotiable.</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Escrow/nodal account capability available. Less documentation publicly available on terms. Standard NEFT/RTGS cut-offs. Virtual account capability exists. Historically competitive on fee structures.</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Escrow capability available — primarily used for real estate and lending. PPI-specific escrow terms less documented. Willing to negotiate given bank's growth ambitions in digital segment. Virtual account support available.</w:t>
            </w:r>
          </w:p>
        </w:tc>
      </w:tr>
      <w:tr>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000000"/>
                <w:sz w:val="18"/>
                <w:szCs w:val="18"/>
              </w:rPr>
              <w:t xml:space="preserve">RBI Compliance Track Record</w:t>
            </w:r>
          </w:p>
        </w:tc>
        <w:tc>
          <w:tcPr>
            <w:tcW w:type="dxa" w:w="28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Previously placed under RBI Moratorium in 2020. SBI-led reconstruction completed. Under enhanced RBI oversight since 2020. No material PPI-specific penalties. Compliance posture significantly improved post-reconstruction. Independent board reconstituted.</w:t>
            </w:r>
          </w:p>
        </w:tc>
        <w:tc>
          <w:tcPr>
            <w:tcW w:type="dxa" w:w="28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Clean compliance record overall. Minor penalties in 2023 for customer service-related directions. No PPI-specific enforcement actions. Solid capital adequacy ratios. No moratorium history.</w:t>
            </w:r>
          </w:p>
        </w:tc>
        <w:tc>
          <w:tcPr>
            <w:tcW w:type="dxa" w:w="28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RBI imposed penalty for KYC compliance deficiencies in late 2024. Under increased supervisory scrutiny since 2023. Capital adequacy concerns raised by analysts. Senior management changes in 2022-23. Risk flag: heightened RBI oversight could affect escrow stability.</w:t>
            </w:r>
          </w:p>
        </w:tc>
        <w:tc>
          <w:tcPr>
            <w:tcW w:type="dxa" w:w="285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Two RBI penalties in 2024: (1) Rs 1 Cr penalty for Loans &amp; Advances non-compliance; (2) Rs 38.6 lakh KYC penalty in April 2025. Multiple penalties in short succession is a compliance concern for a partner bank role.</w:t>
            </w:r>
          </w:p>
        </w:tc>
      </w:tr>
      <w:tr>
        <w:tc>
          <w:tcPr>
            <w:tcW w:type="dxa" w:w="2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PPI Partnership Score</w:t>
            </w:r>
          </w:p>
        </w:tc>
        <w:tc>
          <w:tcPr>
            <w:tcW w:type="dxa" w:w="285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b/>
                <w:bCs/>
                <w:i w:val="false"/>
                <w:iCs w:val="false"/>
                <w:color w:val="375623"/>
                <w:sz w:val="18"/>
                <w:szCs w:val="18"/>
              </w:rPr>
              <w:t xml:space="preserve">★★★★★ (5/5)</w:t>
            </w:r>
          </w:p>
        </w:tc>
        <w:tc>
          <w:tcPr>
            <w:tcW w:type="dxa" w:w="285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c>
          <w:tcPr>
            <w:tcW w:type="dxa" w:w="285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b/>
                <w:bCs/>
                <w:i w:val="false"/>
                <w:iCs w:val="false"/>
                <w:color w:val="375623"/>
                <w:sz w:val="18"/>
                <w:szCs w:val="18"/>
              </w:rPr>
              <w:t xml:space="preserve">★★★★☆ (4/5)</w:t>
            </w:r>
          </w:p>
        </w:tc>
        <w:tc>
          <w:tcPr>
            <w:tcW w:type="dxa" w:w="285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b/>
                <w:bCs/>
                <w:i w:val="false"/>
                <w:iCs w:val="false"/>
                <w:color w:val="C00000"/>
                <w:sz w:val="18"/>
                <w:szCs w:val="18"/>
              </w:rPr>
              <w:t xml:space="preserve">★★☆☆☆ (2/5)</w:t>
            </w:r>
          </w:p>
        </w:tc>
      </w:tr>
      <w:tr>
        <w:tc>
          <w:tcPr>
            <w:tcW w:type="dxa" w:w="2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API Maturity Score</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375623"/>
                <w:sz w:val="18"/>
                <w:szCs w:val="18"/>
              </w:rPr>
              <w:t xml:space="preserve">★★★★★ (5/5)</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r>
      <w:tr>
        <w:tc>
          <w:tcPr>
            <w:tcW w:type="dxa" w:w="2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Operational Score</w:t>
            </w:r>
          </w:p>
        </w:tc>
        <w:tc>
          <w:tcPr>
            <w:tcW w:type="dxa" w:w="285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b/>
                <w:bCs/>
                <w:i w:val="false"/>
                <w:iCs w:val="false"/>
                <w:color w:val="375623"/>
                <w:sz w:val="18"/>
                <w:szCs w:val="18"/>
              </w:rPr>
              <w:t xml:space="preserve">★★★★☆ (4/5)</w:t>
            </w:r>
          </w:p>
        </w:tc>
        <w:tc>
          <w:tcPr>
            <w:tcW w:type="dxa" w:w="285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b/>
                <w:bCs/>
                <w:i w:val="false"/>
                <w:iCs w:val="false"/>
                <w:color w:val="375623"/>
                <w:sz w:val="18"/>
                <w:szCs w:val="18"/>
              </w:rPr>
              <w:t xml:space="preserve">★★★★☆ (4/5)</w:t>
            </w:r>
          </w:p>
        </w:tc>
        <w:tc>
          <w:tcPr>
            <w:tcW w:type="dxa" w:w="285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c>
          <w:tcPr>
            <w:tcW w:type="dxa" w:w="285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r>
      <w:tr>
        <w:tc>
          <w:tcPr>
            <w:tcW w:type="dxa" w:w="2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Commercial Score</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375623"/>
                <w:sz w:val="18"/>
                <w:szCs w:val="18"/>
              </w:rPr>
              <w:t xml:space="preserve">★★★★☆ (4/5)</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375623"/>
                <w:sz w:val="18"/>
                <w:szCs w:val="18"/>
              </w:rPr>
              <w:t xml:space="preserve">★★★★☆ (4/5)</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375623"/>
                <w:sz w:val="18"/>
                <w:szCs w:val="18"/>
              </w:rPr>
              <w:t xml:space="preserve">★★★★☆ (4/5)</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375623"/>
                <w:sz w:val="18"/>
                <w:szCs w:val="18"/>
              </w:rPr>
              <w:t xml:space="preserve">★★★★☆ (4/5)</w:t>
            </w:r>
          </w:p>
        </w:tc>
      </w:tr>
      <w:tr>
        <w:tc>
          <w:tcPr>
            <w:tcW w:type="dxa" w:w="2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RBI Compliance Score</w:t>
            </w:r>
          </w:p>
        </w:tc>
        <w:tc>
          <w:tcPr>
            <w:tcW w:type="dxa" w:w="285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c>
          <w:tcPr>
            <w:tcW w:type="dxa" w:w="285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b/>
                <w:bCs/>
                <w:i w:val="false"/>
                <w:iCs w:val="false"/>
                <w:color w:val="375623"/>
                <w:sz w:val="18"/>
                <w:szCs w:val="18"/>
              </w:rPr>
              <w:t xml:space="preserve">★★★★☆ (4/5)</w:t>
            </w:r>
          </w:p>
        </w:tc>
        <w:tc>
          <w:tcPr>
            <w:tcW w:type="dxa" w:w="285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b/>
                <w:bCs/>
                <w:i w:val="false"/>
                <w:iCs w:val="false"/>
                <w:color w:val="C00000"/>
                <w:sz w:val="18"/>
                <w:szCs w:val="18"/>
              </w:rPr>
              <w:t xml:space="preserve">★★☆☆☆ (2/5)</w:t>
            </w:r>
          </w:p>
        </w:tc>
        <w:tc>
          <w:tcPr>
            <w:tcW w:type="dxa" w:w="285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b/>
                <w:bCs/>
                <w:i w:val="false"/>
                <w:iCs w:val="false"/>
                <w:color w:val="C00000"/>
                <w:sz w:val="18"/>
                <w:szCs w:val="18"/>
              </w:rPr>
              <w:t xml:space="preserve">★★☆☆☆ (2/5)</w:t>
            </w:r>
          </w:p>
        </w:tc>
      </w:tr>
      <w:tr>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OVERALL RECOMMENDATION SCORE</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375623"/>
                <w:sz w:val="18"/>
                <w:szCs w:val="18"/>
              </w:rPr>
              <w:t xml:space="preserve">★★★★☆ (4/5)</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375623"/>
                <w:sz w:val="18"/>
                <w:szCs w:val="18"/>
              </w:rPr>
              <w:t xml:space="preserve">★★★★☆ (4/5)</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c>
          <w:tcPr>
            <w:tcW w:type="dxa" w:w="2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r>
      <w:tr>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Verdict</w:t>
            </w:r>
          </w:p>
        </w:tc>
        <w:tc>
          <w:tcPr>
            <w:tcW w:type="dxa" w:w="285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60"/>
            </w:pPr>
            <w:r>
              <w:rPr>
                <w:b/>
                <w:bCs/>
                <w:i w:val="false"/>
                <w:iCs w:val="false"/>
                <w:color w:val="375623"/>
                <w:sz w:val="17"/>
                <w:szCs w:val="17"/>
              </w:rPr>
              <w:t xml:space="preserve">SHORTLISTED — Recommended as Primary Partner</w:t>
            </w:r>
          </w:p>
        </w:tc>
        <w:tc>
          <w:tcPr>
            <w:tcW w:type="dxa" w:w="285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60"/>
            </w:pPr>
            <w:r>
              <w:rPr>
                <w:b/>
                <w:bCs/>
                <w:i w:val="false"/>
                <w:iCs w:val="false"/>
                <w:color w:val="1F4E79"/>
                <w:sz w:val="17"/>
                <w:szCs w:val="17"/>
              </w:rPr>
              <w:t xml:space="preserve">SHORTLISTED — Recommended as Secondary / Backup Partner</w:t>
            </w:r>
          </w:p>
        </w:tc>
        <w:tc>
          <w:tcPr>
            <w:tcW w:type="dxa" w:w="285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60"/>
            </w:pPr>
            <w:r>
              <w:rPr>
                <w:b/>
                <w:bCs/>
                <w:i w:val="false"/>
                <w:iCs w:val="false"/>
                <w:color w:val="7F6000"/>
                <w:sz w:val="17"/>
                <w:szCs w:val="17"/>
              </w:rPr>
              <w:t xml:space="preserve">CONDITIONAL — Consider only if card-form PPI issuance is prioritised. Monitor RBI supervisory developments.</w:t>
            </w:r>
          </w:p>
        </w:tc>
        <w:tc>
          <w:tcPr>
            <w:tcW w:type="dxa" w:w="285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bCs/>
                <w:i w:val="false"/>
                <w:iCs w:val="false"/>
                <w:color w:val="C00000"/>
                <w:sz w:val="17"/>
                <w:szCs w:val="17"/>
              </w:rPr>
              <w:t xml:space="preserve">NOT RECOMMENDED for primary/secondary escrow — RBI penalties in 2024-25 a significant risk. Revisit if compliance record improves.</w:t>
            </w:r>
          </w:p>
        </w:tc>
      </w:tr>
    </w:tbl>
    <w:p>
      <w:r>
        <w:br w:type="page"/>
      </w:r>
    </w:p>
    <w:p>
      <w:pPr>
        <w:pStyle w:val="Heading2"/>
      </w:pPr>
      <w:r>
        <w:rPr>
          <w:b/>
          <w:bCs/>
          <w:i w:val="false"/>
          <w:iCs w:val="false"/>
          <w:color w:val="2E75B6"/>
          <w:sz w:val="28"/>
          <w:szCs w:val="28"/>
        </w:rPr>
        <w:t xml:space="preserve">Detailed Bank Profiles</w:t>
      </w:r>
    </w:p>
    <w:p>
      <w:pPr>
        <w:pStyle w:val="Heading3"/>
      </w:pPr>
      <w:r>
        <w:rPr>
          <w:b/>
          <w:bCs/>
          <w:i w:val="false"/>
          <w:iCs w:val="false"/>
          <w:color w:val="1F4E79"/>
          <w:sz w:val="26"/>
          <w:szCs w:val="26"/>
        </w:rPr>
        <w:t xml:space="preserve">1. Yes Bank</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500"/>
        <w:gridCol w:w="5680"/>
        <w:gridCol w:w="55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Dimension</w:t>
            </w:r>
          </w:p>
        </w:tc>
        <w:tc>
          <w:tcPr>
            <w:tcW w:type="dxa" w:w="5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Score</w:t>
            </w:r>
          </w:p>
        </w:tc>
        <w:tc>
          <w:tcPr>
            <w:tcW w:type="dxa" w:w="5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Existing PPI Issuer Partnerships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375623"/>
                <w:sz w:val="18"/>
                <w:szCs w:val="18"/>
              </w:rPr>
              <w:t xml:space="preserve">★★★★★ (5/5)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Strong track record — Yes Bank has been escrow/nodal partner for multiple PPI issuers including Ola Money, MobiKwik, and other semi-closed wallet players. Active PPI issuer partnerships since 2016.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API Banking Maturity &amp; Sandbox</w:t>
            </w:r>
          </w:p>
        </w:tc>
        <w:tc>
          <w:tcPr>
            <w:tcW w:type="dxa" w:w="5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b/>
                <w:bCs/>
                <w:i w:val="false"/>
                <w:iCs w:val="false"/>
                <w:color w:val="375623"/>
                <w:sz w:val="18"/>
                <w:szCs w:val="18"/>
              </w:rPr>
              <w:t xml:space="preserve">★★★★★ (5/5)</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Pioneer in API banking in India — launched India's largest API sandbox (50+ APIs). Yes Fintech Developer Portal with sandbox environment. Real-time balance APIs, inward/outward webhooks, MT940 statement delivery. High API maturity score.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Escrow / Nodal Account Terms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375623"/>
                <w:sz w:val="18"/>
                <w:szCs w:val="18"/>
              </w:rPr>
              <w:t xml:space="preserve">★★★★☆ (4/5)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Offers dedicated nodal accounts for PPI issuers. Virtual account / sub-account capability available. Competitive interest on core-portion float. NEFT/RTGS/IMPS cut-offs well-documented. Separate relationship team for fintech clients.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RBI Compliance Track Record</w:t>
            </w:r>
          </w:p>
        </w:tc>
        <w:tc>
          <w:tcPr>
            <w:tcW w:type="dxa" w:w="5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Previously placed under RBI Moratorium in 2020. SBI-led reconstruction completed. Under enhanced RBI oversight since 2020. No material PPI-specific penalties. Compliance posture significantly improved post-reconstruction. Independent board reconstituted.</w:t>
            </w:r>
          </w:p>
        </w:tc>
      </w:tr>
    </w:tbl>
    <w:p>
      <w:pPr>
        <w:spacing w:after="60" w:before="120"/>
      </w:pPr>
      <w:r>
        <w:rPr>
          <w:b/>
          <w:bCs/>
          <w:i w:val="false"/>
          <w:iCs w:val="false"/>
          <w:color w:val="375623"/>
          <w:sz w:val="20"/>
          <w:szCs w:val="20"/>
        </w:rPr>
        <w:t xml:space="preserve">Strengths</w:t>
      </w:r>
    </w:p>
    <w:p>
      <w:pPr>
        <w:pStyle w:val="ListParagraph"/>
        <w:numPr>
          <w:ilvl w:val="0"/>
          <w:numId w:val="2"/>
        </w:numPr>
        <w:spacing w:after="40"/>
      </w:pPr>
      <w:r>
        <w:rPr>
          <w:b w:val="false"/>
          <w:bCs w:val="false"/>
          <w:i w:val="false"/>
          <w:iCs w:val="false"/>
          <w:color w:val="000000"/>
          <w:sz w:val="18"/>
          <w:szCs w:val="18"/>
        </w:rPr>
        <w:t xml:space="preserve">Deepest PPI escrow experience in mid-size private bank segment</w:t>
      </w:r>
    </w:p>
    <w:p>
      <w:pPr>
        <w:pStyle w:val="ListParagraph"/>
        <w:numPr>
          <w:ilvl w:val="0"/>
          <w:numId w:val="2"/>
        </w:numPr>
        <w:spacing w:after="40"/>
      </w:pPr>
      <w:r>
        <w:rPr>
          <w:b w:val="false"/>
          <w:bCs w:val="false"/>
          <w:i w:val="false"/>
          <w:iCs w:val="false"/>
          <w:color w:val="000000"/>
          <w:sz w:val="18"/>
          <w:szCs w:val="18"/>
        </w:rPr>
        <w:t xml:space="preserve">Best-in-class API sandbox and developer portal</w:t>
      </w:r>
    </w:p>
    <w:p>
      <w:pPr>
        <w:pStyle w:val="ListParagraph"/>
        <w:numPr>
          <w:ilvl w:val="0"/>
          <w:numId w:val="2"/>
        </w:numPr>
        <w:spacing w:after="40"/>
      </w:pPr>
      <w:r>
        <w:rPr>
          <w:b w:val="false"/>
          <w:bCs w:val="false"/>
          <w:i w:val="false"/>
          <w:iCs w:val="false"/>
          <w:color w:val="000000"/>
          <w:sz w:val="18"/>
          <w:szCs w:val="18"/>
        </w:rPr>
        <w:t xml:space="preserve">Virtual sub-account support for ring-fencing wallet types</w:t>
      </w:r>
    </w:p>
    <w:p>
      <w:pPr>
        <w:pStyle w:val="ListParagraph"/>
        <w:numPr>
          <w:ilvl w:val="0"/>
          <w:numId w:val="2"/>
        </w:numPr>
        <w:spacing w:after="40"/>
      </w:pPr>
      <w:r>
        <w:rPr>
          <w:b w:val="false"/>
          <w:bCs w:val="false"/>
          <w:i w:val="false"/>
          <w:iCs w:val="false"/>
          <w:color w:val="000000"/>
          <w:sz w:val="18"/>
          <w:szCs w:val="18"/>
        </w:rPr>
        <w:t xml:space="preserve">Existing relationship with Paytm ecosystem</w:t>
      </w:r>
    </w:p>
    <w:p>
      <w:pPr>
        <w:spacing w:after="60" w:before="100"/>
      </w:pPr>
      <w:r>
        <w:rPr>
          <w:b/>
          <w:bCs/>
          <w:i w:val="false"/>
          <w:iCs w:val="false"/>
          <w:color w:val="C00000"/>
          <w:sz w:val="20"/>
          <w:szCs w:val="20"/>
        </w:rPr>
        <w:t xml:space="preserve">Risks / Concerns</w:t>
      </w:r>
    </w:p>
    <w:p>
      <w:pPr>
        <w:pStyle w:val="ListParagraph"/>
        <w:numPr>
          <w:ilvl w:val="0"/>
          <w:numId w:val="2"/>
        </w:numPr>
        <w:spacing w:after="40"/>
      </w:pPr>
      <w:r>
        <w:rPr>
          <w:b w:val="false"/>
          <w:bCs w:val="false"/>
          <w:i w:val="false"/>
          <w:iCs w:val="false"/>
          <w:color w:val="000000"/>
          <w:sz w:val="18"/>
          <w:szCs w:val="18"/>
        </w:rPr>
        <w:t xml:space="preserve">Post-moratorium reputational overhang — requires additional RBI scrutiny for escrow agreement approval</w:t>
      </w:r>
    </w:p>
    <w:p>
      <w:pPr>
        <w:pStyle w:val="ListParagraph"/>
        <w:numPr>
          <w:ilvl w:val="0"/>
          <w:numId w:val="2"/>
        </w:numPr>
        <w:spacing w:after="40"/>
      </w:pPr>
      <w:r>
        <w:rPr>
          <w:b w:val="false"/>
          <w:bCs w:val="false"/>
          <w:i w:val="false"/>
          <w:iCs w:val="false"/>
          <w:color w:val="000000"/>
          <w:sz w:val="18"/>
          <w:szCs w:val="18"/>
        </w:rPr>
        <w:t xml:space="preserve">Higher account maintenance fees post-restructuring</w:t>
      </w:r>
    </w:p>
    <w:p>
      <w:pPr>
        <w:pStyle w:val="ListParagraph"/>
        <w:numPr>
          <w:ilvl w:val="0"/>
          <w:numId w:val="2"/>
        </w:numPr>
        <w:spacing w:after="40"/>
      </w:pPr>
      <w:r>
        <w:rPr>
          <w:b w:val="false"/>
          <w:bCs w:val="false"/>
          <w:i w:val="false"/>
          <w:iCs w:val="false"/>
          <w:color w:val="000000"/>
          <w:sz w:val="18"/>
          <w:szCs w:val="18"/>
        </w:rPr>
        <w:t xml:space="preserve">Under enhanced supervisory oversight — any RBI concern could impact operations</w:t>
      </w:r>
    </w:p>
    <w:p>
      <w:pPr>
        <w:spacing w:after="200" w:before="100"/>
      </w:pPr>
      <w:r>
        <w:rPr>
          <w:b/>
          <w:bCs/>
          <w:i w:val="false"/>
          <w:iCs w:val="false"/>
          <w:color w:val="1F4E79"/>
          <w:sz w:val="20"/>
          <w:szCs w:val="20"/>
        </w:rPr>
        <w:t xml:space="preserve">Verdict: </w:t>
      </w:r>
      <w:r>
        <w:rPr>
          <w:b w:val="false"/>
          <w:bCs w:val="false"/>
          <w:i w:val="false"/>
          <w:iCs w:val="false"/>
          <w:color w:val="444444"/>
          <w:sz w:val="20"/>
          <w:szCs w:val="20"/>
        </w:rPr>
        <w:t xml:space="preserve">SHORTLISTED — Recommended as Primary Partner</w:t>
      </w:r>
    </w:p>
    <w:p>
      <w:pPr>
        <w:pStyle w:val="Heading3"/>
      </w:pPr>
      <w:r>
        <w:rPr>
          <w:b/>
          <w:bCs/>
          <w:i w:val="false"/>
          <w:iCs w:val="false"/>
          <w:color w:val="1F4E79"/>
          <w:sz w:val="26"/>
          <w:szCs w:val="26"/>
        </w:rPr>
        <w:t xml:space="preserve">2. IndusInd Bank</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500"/>
        <w:gridCol w:w="5680"/>
        <w:gridCol w:w="55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Dimension</w:t>
            </w:r>
          </w:p>
        </w:tc>
        <w:tc>
          <w:tcPr>
            <w:tcW w:type="dxa" w:w="5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Score</w:t>
            </w:r>
          </w:p>
        </w:tc>
        <w:tc>
          <w:tcPr>
            <w:tcW w:type="dxa" w:w="5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Existing PPI Issuer Partnerships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Active fintech banking partnerships (co-branded cards, BNPL). Some PPI issuer relationships but not as deep as Yes Bank. Increasingly active in BaaS / embedded finance segment since 2023.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API Banking Maturity &amp; Sandbox</w:t>
            </w:r>
          </w:p>
        </w:tc>
        <w:tc>
          <w:tcPr>
            <w:tcW w:type="dxa" w:w="5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Decent API capability with corporate banking API suite. Less comprehensive developer portal than Yes Bank. Webhooks available for transaction events. Sandbox available but smaller scope. Supports bulk credits and SFTP statements.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Escrow / Nodal Account Terms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375623"/>
                <w:sz w:val="18"/>
                <w:szCs w:val="18"/>
              </w:rPr>
              <w:t xml:space="preserve">★★★★☆ (4/5)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Offers escrow/nodal accounts. Good relationship management for large corporate accounts. Cut-off times standard. Virtual account capability exists but less mature than Yes Bank. Interest structure on core portion negotiable.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RBI Compliance Track Record</w:t>
            </w:r>
          </w:p>
        </w:tc>
        <w:tc>
          <w:tcPr>
            <w:tcW w:type="dxa" w:w="5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b/>
                <w:bCs/>
                <w:i w:val="false"/>
                <w:iCs w:val="false"/>
                <w:color w:val="375623"/>
                <w:sz w:val="18"/>
                <w:szCs w:val="18"/>
              </w:rPr>
              <w:t xml:space="preserve">★★★★☆ (4/5)</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Clean compliance record overall. Minor penalties in 2023 for customer service-related directions. No PPI-specific enforcement actions. Solid capital adequacy ratios. No moratorium history.</w:t>
            </w:r>
          </w:p>
        </w:tc>
      </w:tr>
    </w:tbl>
    <w:p>
      <w:pPr>
        <w:spacing w:after="60" w:before="120"/>
      </w:pPr>
      <w:r>
        <w:rPr>
          <w:b/>
          <w:bCs/>
          <w:i w:val="false"/>
          <w:iCs w:val="false"/>
          <w:color w:val="375623"/>
          <w:sz w:val="20"/>
          <w:szCs w:val="20"/>
        </w:rPr>
        <w:t xml:space="preserve">Strengths</w:t>
      </w:r>
    </w:p>
    <w:p>
      <w:pPr>
        <w:pStyle w:val="ListParagraph"/>
        <w:numPr>
          <w:ilvl w:val="0"/>
          <w:numId w:val="2"/>
        </w:numPr>
        <w:spacing w:after="40"/>
      </w:pPr>
      <w:r>
        <w:rPr>
          <w:b w:val="false"/>
          <w:bCs w:val="false"/>
          <w:i w:val="false"/>
          <w:iCs w:val="false"/>
          <w:color w:val="000000"/>
          <w:sz w:val="18"/>
          <w:szCs w:val="18"/>
        </w:rPr>
        <w:t xml:space="preserve">Clean RBI compliance track record</w:t>
      </w:r>
    </w:p>
    <w:p>
      <w:pPr>
        <w:pStyle w:val="ListParagraph"/>
        <w:numPr>
          <w:ilvl w:val="0"/>
          <w:numId w:val="2"/>
        </w:numPr>
        <w:spacing w:after="40"/>
      </w:pPr>
      <w:r>
        <w:rPr>
          <w:b w:val="false"/>
          <w:bCs w:val="false"/>
          <w:i w:val="false"/>
          <w:iCs w:val="false"/>
          <w:color w:val="000000"/>
          <w:sz w:val="18"/>
          <w:szCs w:val="18"/>
        </w:rPr>
        <w:t xml:space="preserve">Good operational support infrastructure</w:t>
      </w:r>
    </w:p>
    <w:p>
      <w:pPr>
        <w:pStyle w:val="ListParagraph"/>
        <w:numPr>
          <w:ilvl w:val="0"/>
          <w:numId w:val="2"/>
        </w:numPr>
        <w:spacing w:after="40"/>
      </w:pPr>
      <w:r>
        <w:rPr>
          <w:b w:val="false"/>
          <w:bCs w:val="false"/>
          <w:i w:val="false"/>
          <w:iCs w:val="false"/>
          <w:color w:val="000000"/>
          <w:sz w:val="18"/>
          <w:szCs w:val="18"/>
        </w:rPr>
        <w:t xml:space="preserve">Competitive commercial terms historically</w:t>
      </w:r>
    </w:p>
    <w:p>
      <w:pPr>
        <w:pStyle w:val="ListParagraph"/>
        <w:numPr>
          <w:ilvl w:val="0"/>
          <w:numId w:val="2"/>
        </w:numPr>
        <w:spacing w:after="40"/>
      </w:pPr>
      <w:r>
        <w:rPr>
          <w:b w:val="false"/>
          <w:bCs w:val="false"/>
          <w:i w:val="false"/>
          <w:iCs w:val="false"/>
          <w:color w:val="000000"/>
          <w:sz w:val="18"/>
          <w:szCs w:val="18"/>
        </w:rPr>
        <w:t xml:space="preserve">Active in fintech/BaaS partnerships — growing appetite</w:t>
      </w:r>
    </w:p>
    <w:p>
      <w:pPr>
        <w:spacing w:after="60" w:before="100"/>
      </w:pPr>
      <w:r>
        <w:rPr>
          <w:b/>
          <w:bCs/>
          <w:i w:val="false"/>
          <w:iCs w:val="false"/>
          <w:color w:val="C00000"/>
          <w:sz w:val="20"/>
          <w:szCs w:val="20"/>
        </w:rPr>
        <w:t xml:space="preserve">Risks / Concerns</w:t>
      </w:r>
    </w:p>
    <w:p>
      <w:pPr>
        <w:pStyle w:val="ListParagraph"/>
        <w:numPr>
          <w:ilvl w:val="0"/>
          <w:numId w:val="2"/>
        </w:numPr>
        <w:spacing w:after="40"/>
      </w:pPr>
      <w:r>
        <w:rPr>
          <w:b w:val="false"/>
          <w:bCs w:val="false"/>
          <w:i w:val="false"/>
          <w:iCs w:val="false"/>
          <w:color w:val="000000"/>
          <w:sz w:val="18"/>
          <w:szCs w:val="18"/>
        </w:rPr>
        <w:t xml:space="preserve">Less established PPI issuer partnership track record vs Yes Bank</w:t>
      </w:r>
    </w:p>
    <w:p>
      <w:pPr>
        <w:pStyle w:val="ListParagraph"/>
        <w:numPr>
          <w:ilvl w:val="0"/>
          <w:numId w:val="2"/>
        </w:numPr>
        <w:spacing w:after="40"/>
      </w:pPr>
      <w:r>
        <w:rPr>
          <w:b w:val="false"/>
          <w:bCs w:val="false"/>
          <w:i w:val="false"/>
          <w:iCs w:val="false"/>
          <w:color w:val="000000"/>
          <w:sz w:val="18"/>
          <w:szCs w:val="18"/>
        </w:rPr>
        <w:t xml:space="preserve">API developer portal less mature</w:t>
      </w:r>
    </w:p>
    <w:p>
      <w:pPr>
        <w:pStyle w:val="ListParagraph"/>
        <w:numPr>
          <w:ilvl w:val="0"/>
          <w:numId w:val="2"/>
        </w:numPr>
        <w:spacing w:after="40"/>
      </w:pPr>
      <w:r>
        <w:rPr>
          <w:b w:val="false"/>
          <w:bCs w:val="false"/>
          <w:i w:val="false"/>
          <w:iCs w:val="false"/>
          <w:color w:val="000000"/>
          <w:sz w:val="18"/>
          <w:szCs w:val="18"/>
        </w:rPr>
        <w:t xml:space="preserve">Smaller technology team dedicated to fintech API support</w:t>
      </w:r>
    </w:p>
    <w:p>
      <w:pPr>
        <w:spacing w:after="200" w:before="100"/>
      </w:pPr>
      <w:r>
        <w:rPr>
          <w:b/>
          <w:bCs/>
          <w:i w:val="false"/>
          <w:iCs w:val="false"/>
          <w:color w:val="1F4E79"/>
          <w:sz w:val="20"/>
          <w:szCs w:val="20"/>
        </w:rPr>
        <w:t xml:space="preserve">Verdict: </w:t>
      </w:r>
      <w:r>
        <w:rPr>
          <w:b w:val="false"/>
          <w:bCs w:val="false"/>
          <w:i w:val="false"/>
          <w:iCs w:val="false"/>
          <w:color w:val="444444"/>
          <w:sz w:val="20"/>
          <w:szCs w:val="20"/>
        </w:rPr>
        <w:t xml:space="preserve">SHORTLISTED — Recommended as Secondary / Backup Partner</w:t>
      </w:r>
    </w:p>
    <w:p>
      <w:pPr>
        <w:pStyle w:val="Heading3"/>
      </w:pPr>
      <w:r>
        <w:rPr>
          <w:b/>
          <w:bCs/>
          <w:i w:val="false"/>
          <w:iCs w:val="false"/>
          <w:color w:val="1F4E79"/>
          <w:sz w:val="26"/>
          <w:szCs w:val="26"/>
        </w:rPr>
        <w:t xml:space="preserve">3. RBL Bank</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500"/>
        <w:gridCol w:w="5680"/>
        <w:gridCol w:w="55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Dimension</w:t>
            </w:r>
          </w:p>
        </w:tc>
        <w:tc>
          <w:tcPr>
            <w:tcW w:type="dxa" w:w="5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Score</w:t>
            </w:r>
          </w:p>
        </w:tc>
        <w:tc>
          <w:tcPr>
            <w:tcW w:type="dxa" w:w="5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Existing PPI Issuer Partnerships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375623"/>
                <w:sz w:val="18"/>
                <w:szCs w:val="18"/>
              </w:rPr>
              <w:t xml:space="preserve">★★★★☆ (4/5)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Historically active PPI and prepaid card issuer partnerships — issued co-branded and prepaid Visa/Mastercard through fintech partners. Deep card BIN issuance experience. Good for card-form PPI issuance if required.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API Banking Maturity &amp; Sandbox</w:t>
            </w:r>
          </w:p>
        </w:tc>
        <w:tc>
          <w:tcPr>
            <w:tcW w:type="dxa" w:w="5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Among early movers in API banking (2013). Strong card-adjacent APIs. Transaction banking API suite available. Webhook support. API uptime historically lower than Yes/IndusInd. Sandbox available.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Escrow / Nodal Account Terms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Escrow/nodal account capability available. Less documentation publicly available on terms. Standard NEFT/RTGS cut-offs. Virtual account capability exists. Historically competitive on fee structures.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RBI Compliance Track Record</w:t>
            </w:r>
          </w:p>
        </w:tc>
        <w:tc>
          <w:tcPr>
            <w:tcW w:type="dxa" w:w="5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b/>
                <w:bCs/>
                <w:i w:val="false"/>
                <w:iCs w:val="false"/>
                <w:color w:val="C00000"/>
                <w:sz w:val="18"/>
                <w:szCs w:val="18"/>
              </w:rPr>
              <w:t xml:space="preserve">★★☆☆☆ (2/5)</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RBI imposed penalty for KYC compliance deficiencies in late 2024. Under increased supervisory scrutiny since 2023. Capital adequacy concerns raised by analysts. Senior management changes in 2022-23. Risk flag: heightened RBI oversight could affect escrow stability.</w:t>
            </w:r>
          </w:p>
        </w:tc>
      </w:tr>
    </w:tbl>
    <w:p>
      <w:pPr>
        <w:spacing w:after="60" w:before="120"/>
      </w:pPr>
      <w:r>
        <w:rPr>
          <w:b/>
          <w:bCs/>
          <w:i w:val="false"/>
          <w:iCs w:val="false"/>
          <w:color w:val="375623"/>
          <w:sz w:val="20"/>
          <w:szCs w:val="20"/>
        </w:rPr>
        <w:t xml:space="preserve">Strengths</w:t>
      </w:r>
    </w:p>
    <w:p>
      <w:pPr>
        <w:pStyle w:val="ListParagraph"/>
        <w:numPr>
          <w:ilvl w:val="0"/>
          <w:numId w:val="2"/>
        </w:numPr>
        <w:spacing w:after="40"/>
      </w:pPr>
      <w:r>
        <w:rPr>
          <w:b w:val="false"/>
          <w:bCs w:val="false"/>
          <w:i w:val="false"/>
          <w:iCs w:val="false"/>
          <w:color w:val="000000"/>
          <w:sz w:val="18"/>
          <w:szCs w:val="18"/>
        </w:rPr>
        <w:t xml:space="preserve">Strong card BIN issuance / prepaid card experience</w:t>
      </w:r>
    </w:p>
    <w:p>
      <w:pPr>
        <w:pStyle w:val="ListParagraph"/>
        <w:numPr>
          <w:ilvl w:val="0"/>
          <w:numId w:val="2"/>
        </w:numPr>
        <w:spacing w:after="40"/>
      </w:pPr>
      <w:r>
        <w:rPr>
          <w:b w:val="false"/>
          <w:bCs w:val="false"/>
          <w:i w:val="false"/>
          <w:iCs w:val="false"/>
          <w:color w:val="000000"/>
          <w:sz w:val="18"/>
          <w:szCs w:val="18"/>
        </w:rPr>
        <w:t xml:space="preserve">Early API banking mover</w:t>
      </w:r>
    </w:p>
    <w:p>
      <w:pPr>
        <w:pStyle w:val="ListParagraph"/>
        <w:numPr>
          <w:ilvl w:val="0"/>
          <w:numId w:val="2"/>
        </w:numPr>
        <w:spacing w:after="40"/>
      </w:pPr>
      <w:r>
        <w:rPr>
          <w:b w:val="false"/>
          <w:bCs w:val="false"/>
          <w:i w:val="false"/>
          <w:iCs w:val="false"/>
          <w:color w:val="000000"/>
          <w:sz w:val="18"/>
          <w:szCs w:val="18"/>
        </w:rPr>
        <w:t xml:space="preserve">Competitive fee structures</w:t>
      </w:r>
    </w:p>
    <w:p>
      <w:pPr>
        <w:pStyle w:val="ListParagraph"/>
        <w:numPr>
          <w:ilvl w:val="0"/>
          <w:numId w:val="2"/>
        </w:numPr>
        <w:spacing w:after="40"/>
      </w:pPr>
      <w:r>
        <w:rPr>
          <w:b w:val="false"/>
          <w:bCs w:val="false"/>
          <w:i w:val="false"/>
          <w:iCs w:val="false"/>
          <w:color w:val="000000"/>
          <w:sz w:val="18"/>
          <w:szCs w:val="18"/>
        </w:rPr>
        <w:t xml:space="preserve">Good for card-form PPI if PPSL pursues that route</w:t>
      </w:r>
    </w:p>
    <w:p>
      <w:pPr>
        <w:spacing w:after="60" w:before="100"/>
      </w:pPr>
      <w:r>
        <w:rPr>
          <w:b/>
          <w:bCs/>
          <w:i w:val="false"/>
          <w:iCs w:val="false"/>
          <w:color w:val="C00000"/>
          <w:sz w:val="20"/>
          <w:szCs w:val="20"/>
        </w:rPr>
        <w:t xml:space="preserve">Risks / Concerns</w:t>
      </w:r>
    </w:p>
    <w:p>
      <w:pPr>
        <w:pStyle w:val="ListParagraph"/>
        <w:numPr>
          <w:ilvl w:val="0"/>
          <w:numId w:val="2"/>
        </w:numPr>
        <w:spacing w:after="40"/>
      </w:pPr>
      <w:r>
        <w:rPr>
          <w:b w:val="false"/>
          <w:bCs w:val="false"/>
          <w:i w:val="false"/>
          <w:iCs w:val="false"/>
          <w:color w:val="000000"/>
          <w:sz w:val="18"/>
          <w:szCs w:val="18"/>
        </w:rPr>
        <w:t xml:space="preserve">RBI KYC penalty in 2024 — compliance risk flag</w:t>
      </w:r>
    </w:p>
    <w:p>
      <w:pPr>
        <w:pStyle w:val="ListParagraph"/>
        <w:numPr>
          <w:ilvl w:val="0"/>
          <w:numId w:val="2"/>
        </w:numPr>
        <w:spacing w:after="40"/>
      </w:pPr>
      <w:r>
        <w:rPr>
          <w:b w:val="false"/>
          <w:bCs w:val="false"/>
          <w:i w:val="false"/>
          <w:iCs w:val="false"/>
          <w:color w:val="000000"/>
          <w:sz w:val="18"/>
          <w:szCs w:val="18"/>
        </w:rPr>
        <w:t xml:space="preserve">Capital adequacy concerns raised in public filings</w:t>
      </w:r>
    </w:p>
    <w:p>
      <w:pPr>
        <w:pStyle w:val="ListParagraph"/>
        <w:numPr>
          <w:ilvl w:val="0"/>
          <w:numId w:val="2"/>
        </w:numPr>
        <w:spacing w:after="40"/>
      </w:pPr>
      <w:r>
        <w:rPr>
          <w:b w:val="false"/>
          <w:bCs w:val="false"/>
          <w:i w:val="false"/>
          <w:iCs w:val="false"/>
          <w:color w:val="000000"/>
          <w:sz w:val="18"/>
          <w:szCs w:val="18"/>
        </w:rPr>
        <w:t xml:space="preserve">Less stable senior management / relationship continuity risk</w:t>
      </w:r>
    </w:p>
    <w:p>
      <w:pPr>
        <w:pStyle w:val="ListParagraph"/>
        <w:numPr>
          <w:ilvl w:val="0"/>
          <w:numId w:val="2"/>
        </w:numPr>
        <w:spacing w:after="40"/>
      </w:pPr>
      <w:r>
        <w:rPr>
          <w:b w:val="false"/>
          <w:bCs w:val="false"/>
          <w:i w:val="false"/>
          <w:iCs w:val="false"/>
          <w:color w:val="000000"/>
          <w:sz w:val="18"/>
          <w:szCs w:val="18"/>
        </w:rPr>
        <w:t xml:space="preserve">API uptime SLA historically below peers</w:t>
      </w:r>
    </w:p>
    <w:p>
      <w:pPr>
        <w:spacing w:after="200" w:before="100"/>
      </w:pPr>
      <w:r>
        <w:rPr>
          <w:b/>
          <w:bCs/>
          <w:i w:val="false"/>
          <w:iCs w:val="false"/>
          <w:color w:val="1F4E79"/>
          <w:sz w:val="20"/>
          <w:szCs w:val="20"/>
        </w:rPr>
        <w:t xml:space="preserve">Verdict: </w:t>
      </w:r>
      <w:r>
        <w:rPr>
          <w:b w:val="false"/>
          <w:bCs w:val="false"/>
          <w:i w:val="false"/>
          <w:iCs w:val="false"/>
          <w:color w:val="444444"/>
          <w:sz w:val="20"/>
          <w:szCs w:val="20"/>
        </w:rPr>
        <w:t xml:space="preserve">CONDITIONAL — Consider only if card-form PPI issuance is prioritised. Monitor RBI supervisory developments.</w:t>
      </w:r>
    </w:p>
    <w:p>
      <w:pPr>
        <w:pStyle w:val="Heading3"/>
      </w:pPr>
      <w:r>
        <w:rPr>
          <w:b/>
          <w:bCs/>
          <w:i w:val="false"/>
          <w:iCs w:val="false"/>
          <w:color w:val="1F4E79"/>
          <w:sz w:val="26"/>
          <w:szCs w:val="26"/>
        </w:rPr>
        <w:t xml:space="preserve">4. IDFC First Bank</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500"/>
        <w:gridCol w:w="5680"/>
        <w:gridCol w:w="55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Dimension</w:t>
            </w:r>
          </w:p>
        </w:tc>
        <w:tc>
          <w:tcPr>
            <w:tcW w:type="dxa" w:w="5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Score</w:t>
            </w:r>
          </w:p>
        </w:tc>
        <w:tc>
          <w:tcPr>
            <w:tcW w:type="dxa" w:w="5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Existing PPI Issuer Partnerships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C00000"/>
                <w:sz w:val="18"/>
                <w:szCs w:val="18"/>
              </w:rPr>
              <w:t xml:space="preserve">★★☆☆☆ (2/5)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Limited PPI issuer partnership track record. Known more for retail banking and co-branded credit cards. Escrow used for fintech lending disbursals. Growing interest in BaaS but PPI-specific experience limited.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API Banking Maturity &amp; Sandbox</w:t>
            </w:r>
          </w:p>
        </w:tc>
        <w:tc>
          <w:tcPr>
            <w:tcW w:type="dxa" w:w="5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Good API suite for retail and corporate banking. API banking platform available. Developer portal exists. Less battle-tested on high-volume transaction banking (PPI-level TPS) vs Yes Bank.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Escrow / Nodal Account Terms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i w:val="false"/>
                <w:iCs w:val="false"/>
                <w:color w:val="7F6000"/>
                <w:sz w:val="18"/>
                <w:szCs w:val="18"/>
              </w:rPr>
              <w:t xml:space="preserve">★★★☆☆ (3/5)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Escrow capability available — primarily used for real estate and lending. PPI-specific escrow terms less documented. Willing to negotiate given bank's growth ambitions in digital segment. Virtual account support available.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b/>
                <w:bCs/>
                <w:i w:val="false"/>
                <w:iCs w:val="false"/>
                <w:color w:val="1F4E79"/>
                <w:sz w:val="18"/>
                <w:szCs w:val="18"/>
              </w:rPr>
              <w:t xml:space="preserve">RBI Compliance Track Record</w:t>
            </w:r>
          </w:p>
        </w:tc>
        <w:tc>
          <w:tcPr>
            <w:tcW w:type="dxa" w:w="5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b/>
                <w:bCs/>
                <w:i w:val="false"/>
                <w:iCs w:val="false"/>
                <w:color w:val="C00000"/>
                <w:sz w:val="18"/>
                <w:szCs w:val="18"/>
              </w:rPr>
              <w:t xml:space="preserve">★★☆☆☆ (2/5)</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val="false"/>
                <w:bCs w:val="false"/>
                <w:i w:val="false"/>
                <w:iCs w:val="false"/>
                <w:color w:val="000000"/>
                <w:sz w:val="17"/>
                <w:szCs w:val="17"/>
              </w:rPr>
              <w:t xml:space="preserve">Two RBI penalties in 2024: (1) Rs 1 Cr penalty for Loans &amp; Advances non-compliance; (2) Rs 38.6 lakh KYC penalty in April 2025. Multiple penalties in short succession is a compliance concern for a partner bank role.</w:t>
            </w:r>
          </w:p>
        </w:tc>
      </w:tr>
    </w:tbl>
    <w:p>
      <w:pPr>
        <w:spacing w:after="60" w:before="120"/>
      </w:pPr>
      <w:r>
        <w:rPr>
          <w:b/>
          <w:bCs/>
          <w:i w:val="false"/>
          <w:iCs w:val="false"/>
          <w:color w:val="375623"/>
          <w:sz w:val="20"/>
          <w:szCs w:val="20"/>
        </w:rPr>
        <w:t xml:space="preserve">Strengths</w:t>
      </w:r>
    </w:p>
    <w:p>
      <w:pPr>
        <w:pStyle w:val="ListParagraph"/>
        <w:numPr>
          <w:ilvl w:val="0"/>
          <w:numId w:val="2"/>
        </w:numPr>
        <w:spacing w:after="40"/>
      </w:pPr>
      <w:r>
        <w:rPr>
          <w:b w:val="false"/>
          <w:bCs w:val="false"/>
          <w:i w:val="false"/>
          <w:iCs w:val="false"/>
          <w:color w:val="000000"/>
          <w:sz w:val="18"/>
          <w:szCs w:val="18"/>
        </w:rPr>
        <w:t xml:space="preserve">Strong brand and growing digital ambition</w:t>
      </w:r>
    </w:p>
    <w:p>
      <w:pPr>
        <w:pStyle w:val="ListParagraph"/>
        <w:numPr>
          <w:ilvl w:val="0"/>
          <w:numId w:val="2"/>
        </w:numPr>
        <w:spacing w:after="40"/>
      </w:pPr>
      <w:r>
        <w:rPr>
          <w:b w:val="false"/>
          <w:bCs w:val="false"/>
          <w:i w:val="false"/>
          <w:iCs w:val="false"/>
          <w:color w:val="000000"/>
          <w:sz w:val="18"/>
          <w:szCs w:val="18"/>
        </w:rPr>
        <w:t xml:space="preserve">Potentially aggressive on commercial terms (seeking fintech partnerships)</w:t>
      </w:r>
    </w:p>
    <w:p>
      <w:pPr>
        <w:pStyle w:val="ListParagraph"/>
        <w:numPr>
          <w:ilvl w:val="0"/>
          <w:numId w:val="2"/>
        </w:numPr>
        <w:spacing w:after="40"/>
      </w:pPr>
      <w:r>
        <w:rPr>
          <w:b w:val="false"/>
          <w:bCs w:val="false"/>
          <w:i w:val="false"/>
          <w:iCs w:val="false"/>
          <w:color w:val="000000"/>
          <w:sz w:val="18"/>
          <w:szCs w:val="18"/>
        </w:rPr>
        <w:t xml:space="preserve">Good retail banking infrastructure</w:t>
      </w:r>
    </w:p>
    <w:p>
      <w:pPr>
        <w:spacing w:after="60" w:before="100"/>
      </w:pPr>
      <w:r>
        <w:rPr>
          <w:b/>
          <w:bCs/>
          <w:i w:val="false"/>
          <w:iCs w:val="false"/>
          <w:color w:val="C00000"/>
          <w:sz w:val="20"/>
          <w:szCs w:val="20"/>
        </w:rPr>
        <w:t xml:space="preserve">Risks / Concerns</w:t>
      </w:r>
    </w:p>
    <w:p>
      <w:pPr>
        <w:pStyle w:val="ListParagraph"/>
        <w:numPr>
          <w:ilvl w:val="0"/>
          <w:numId w:val="2"/>
        </w:numPr>
        <w:spacing w:after="40"/>
      </w:pPr>
      <w:r>
        <w:rPr>
          <w:b w:val="false"/>
          <w:bCs w:val="false"/>
          <w:i w:val="false"/>
          <w:iCs w:val="false"/>
          <w:color w:val="000000"/>
          <w:sz w:val="18"/>
          <w:szCs w:val="18"/>
        </w:rPr>
        <w:t xml:space="preserve">Two RBI penalties in FY2024-25 — compliance risk for escrow partner role</w:t>
      </w:r>
    </w:p>
    <w:p>
      <w:pPr>
        <w:pStyle w:val="ListParagraph"/>
        <w:numPr>
          <w:ilvl w:val="0"/>
          <w:numId w:val="2"/>
        </w:numPr>
        <w:spacing w:after="40"/>
      </w:pPr>
      <w:r>
        <w:rPr>
          <w:b w:val="false"/>
          <w:bCs w:val="false"/>
          <w:i w:val="false"/>
          <w:iCs w:val="false"/>
          <w:color w:val="000000"/>
          <w:sz w:val="18"/>
          <w:szCs w:val="18"/>
        </w:rPr>
        <w:t xml:space="preserve">Limited PPI-specific escrow experience</w:t>
      </w:r>
    </w:p>
    <w:p>
      <w:pPr>
        <w:pStyle w:val="ListParagraph"/>
        <w:numPr>
          <w:ilvl w:val="0"/>
          <w:numId w:val="2"/>
        </w:numPr>
        <w:spacing w:after="40"/>
      </w:pPr>
      <w:r>
        <w:rPr>
          <w:b w:val="false"/>
          <w:bCs w:val="false"/>
          <w:i w:val="false"/>
          <w:iCs w:val="false"/>
          <w:color w:val="000000"/>
          <w:sz w:val="18"/>
          <w:szCs w:val="18"/>
        </w:rPr>
        <w:t xml:space="preserve">API platform not optimised for high-volume PPI transaction patterns</w:t>
      </w:r>
    </w:p>
    <w:p>
      <w:pPr>
        <w:pStyle w:val="ListParagraph"/>
        <w:numPr>
          <w:ilvl w:val="0"/>
          <w:numId w:val="2"/>
        </w:numPr>
        <w:spacing w:after="40"/>
      </w:pPr>
      <w:r>
        <w:rPr>
          <w:b w:val="false"/>
          <w:bCs w:val="false"/>
          <w:i w:val="false"/>
          <w:iCs w:val="false"/>
          <w:color w:val="000000"/>
          <w:sz w:val="18"/>
          <w:szCs w:val="18"/>
        </w:rPr>
        <w:t xml:space="preserve">Less established fintech nodal account practice</w:t>
      </w:r>
    </w:p>
    <w:p>
      <w:pPr>
        <w:spacing w:after="80" w:before="100"/>
      </w:pPr>
      <w:r>
        <w:rPr>
          <w:b/>
          <w:bCs/>
          <w:i w:val="false"/>
          <w:iCs w:val="false"/>
          <w:color w:val="1F4E79"/>
          <w:sz w:val="20"/>
          <w:szCs w:val="20"/>
        </w:rPr>
        <w:t xml:space="preserve">Verdict: </w:t>
      </w:r>
      <w:r>
        <w:rPr>
          <w:b w:val="false"/>
          <w:bCs w:val="false"/>
          <w:i w:val="false"/>
          <w:iCs w:val="false"/>
          <w:color w:val="444444"/>
          <w:sz w:val="20"/>
          <w:szCs w:val="20"/>
        </w:rPr>
        <w:t xml:space="preserve">NOT RECOMMENDED for primary/secondary escrow — RBI penalties in 2024-25 a significant risk. Revisit if compliance record improves.</w:t>
      </w:r>
    </w:p>
    <w:p>
      <w:r>
        <w:br w:type="page"/>
      </w:r>
    </w:p>
    <w:p>
      <w:pPr>
        <w:pStyle w:val="Heading2"/>
      </w:pPr>
      <w:r>
        <w:rPr>
          <w:b/>
          <w:bCs/>
          <w:i w:val="false"/>
          <w:iCs w:val="false"/>
          <w:color w:val="2E75B6"/>
          <w:sz w:val="28"/>
          <w:szCs w:val="28"/>
        </w:rPr>
        <w:t xml:space="preserve">Recommended Shortlist &amp; Next Steps</w:t>
      </w:r>
    </w:p>
    <w:p>
      <w:pPr>
        <w:spacing w:after="80"/>
      </w:pPr>
      <w:r>
        <w:rPr>
          <w:b w:val="false"/>
          <w:bCs w:val="false"/>
          <w:i w:val="false"/>
          <w:iCs w:val="false"/>
          <w:color w:val="444444"/>
          <w:sz w:val="20"/>
          <w:szCs w:val="20"/>
        </w:rPr>
        <w:t xml:space="preserve">Based on the evaluation, PPSL should pursue a dual-bank strategy: one primary partner for go-live, one secondary for redundancy and negotiation leverage.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100"/>
        <w:gridCol w:w="888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Rank</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Bank</w:t>
            </w:r>
          </w:p>
        </w:tc>
        <w:tc>
          <w:tcPr>
            <w:tcW w:type="dxa" w:w="2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Role</w:t>
            </w:r>
          </w:p>
        </w:tc>
        <w:tc>
          <w:tcPr>
            <w:tcW w:type="dxa" w:w="88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60"/>
            </w:pPr>
            <w:r>
              <w:rPr>
                <w:b/>
                <w:bCs/>
                <w:i w:val="false"/>
                <w:iCs w:val="false"/>
                <w:color w:val="375623"/>
                <w:sz w:val="20"/>
                <w:szCs w:val="20"/>
              </w:rPr>
              <w:t xml:space="preserve">#1</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60"/>
            </w:pPr>
            <w:r>
              <w:rPr>
                <w:b/>
                <w:bCs/>
                <w:i w:val="false"/>
                <w:iCs w:val="false"/>
                <w:color w:val="000000"/>
                <w:sz w:val="20"/>
                <w:szCs w:val="20"/>
              </w:rPr>
              <w:t xml:space="preserve">Yes Bank</w:t>
            </w:r>
          </w:p>
        </w:tc>
        <w:tc>
          <w:tcPr>
            <w:tcW w:type="dxa" w:w="2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60"/>
            </w:pPr>
            <w:r>
              <w:rPr>
                <w:b/>
                <w:bCs/>
                <w:i w:val="false"/>
                <w:iCs w:val="false"/>
                <w:color w:val="000000"/>
                <w:sz w:val="18"/>
                <w:szCs w:val="18"/>
              </w:rPr>
              <w:t xml:space="preserve">Primary Escrow Partner</w:t>
            </w:r>
          </w:p>
        </w:tc>
        <w:tc>
          <w:tcPr>
            <w:tcW w:type="dxa" w:w="8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Unmatched PPI issuer experience (Ola Money, MobiKwik precedents). Best API sandbox in class — critical for fast integration. Virtual sub-account support enables wallet-type ring-fencing. Existing Paytm ecosystem relationships reduce onboarding friction. Post-moratorium compliance posture significantly improved. Engage immediately for RFP.</w:t>
            </w:r>
          </w:p>
        </w:tc>
      </w:tr>
      <w:tr>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60"/>
            </w:pPr>
            <w:r>
              <w:rPr>
                <w:b/>
                <w:bCs/>
                <w:i w:val="false"/>
                <w:iCs w:val="false"/>
                <w:color w:val="1F4E79"/>
                <w:sz w:val="20"/>
                <w:szCs w:val="20"/>
              </w:rPr>
              <w:t xml:space="preserve">#2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60"/>
            </w:pPr>
            <w:r>
              <w:rPr>
                <w:b/>
                <w:bCs/>
                <w:i w:val="false"/>
                <w:iCs w:val="false"/>
                <w:color w:val="000000"/>
                <w:sz w:val="20"/>
                <w:szCs w:val="20"/>
              </w:rPr>
              <w:t xml:space="preserve">IndusInd Bank</w:t>
            </w:r>
          </w:p>
        </w:tc>
        <w:tc>
          <w:tcPr>
            <w:tcW w:type="dxa" w:w="2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60"/>
            </w:pPr>
            <w:r>
              <w:rPr>
                <w:b/>
                <w:bCs/>
                <w:i w:val="false"/>
                <w:iCs w:val="false"/>
                <w:color w:val="000000"/>
                <w:sz w:val="18"/>
                <w:szCs w:val="18"/>
              </w:rPr>
              <w:t xml:space="preserve">Secondary / Backup</w:t>
            </w:r>
          </w:p>
        </w:tc>
        <w:tc>
          <w:tcPr>
            <w:tcW w:type="dxa" w:w="8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Clean RBI compliance record — no material penalties. Good operational support. Growing BaaS appetite means competitive commercial terms. Provides redundancy if primary bank has outages or regulatory issues. Run parallel RFP to maintain negotiation leverage with Yes Bank.</w:t>
            </w:r>
          </w:p>
        </w:tc>
      </w:tr>
      <w:tr>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60"/>
            </w:pPr>
            <w:r>
              <w:rPr>
                <w:b/>
                <w:bCs/>
                <w:i w:val="false"/>
                <w:iCs w:val="false"/>
                <w:color w:val="7F6000"/>
                <w:sz w:val="20"/>
                <w:szCs w:val="20"/>
              </w:rPr>
              <w:t xml:space="preserve">Watch</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60"/>
            </w:pPr>
            <w:r>
              <w:rPr>
                <w:b/>
                <w:bCs/>
                <w:i w:val="false"/>
                <w:iCs w:val="false"/>
                <w:color w:val="000000"/>
                <w:sz w:val="20"/>
                <w:szCs w:val="20"/>
              </w:rPr>
              <w:t xml:space="preserve">RBL Bank</w:t>
            </w:r>
          </w:p>
        </w:tc>
        <w:tc>
          <w:tcPr>
            <w:tcW w:type="dxa" w:w="2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60"/>
            </w:pPr>
            <w:r>
              <w:rPr>
                <w:b/>
                <w:bCs/>
                <w:i w:val="false"/>
                <w:iCs w:val="false"/>
                <w:color w:val="000000"/>
                <w:sz w:val="18"/>
                <w:szCs w:val="18"/>
              </w:rPr>
              <w:t xml:space="preserve">Card-Form PPI Only</w:t>
            </w:r>
          </w:p>
        </w:tc>
        <w:tc>
          <w:tcPr>
            <w:tcW w:type="dxa" w:w="8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Re-engage only if PPSL decides to issue PPI in card form (Visa/Mastercard). Monitor RBI supervisory actions in 2026 before any commitment.</w:t>
            </w:r>
          </w:p>
        </w:tc>
      </w:tr>
    </w:tbl>
    <w:p>
      <w:pPr>
        <w:pStyle w:val="Heading2"/>
      </w:pPr>
      <w:r>
        <w:rPr>
          <w:b/>
          <w:bCs/>
          <w:i w:val="false"/>
          <w:iCs w:val="false"/>
          <w:color w:val="2E75B6"/>
          <w:sz w:val="28"/>
          <w:szCs w:val="28"/>
        </w:rPr>
        <w:t xml:space="preserve">Recommended RFP Process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7880"/>
        <w:gridCol w:w="26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Step</w:t>
            </w:r>
          </w:p>
        </w:tc>
        <w:tc>
          <w:tcPr>
            <w:tcW w:type="dxa" w:w="78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Details</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Timeline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bCs/>
                <w:i w:val="false"/>
                <w:i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bCs/>
                <w:i w:val="false"/>
                <w:iCs w:val="false"/>
                <w:color w:val="1F4E79"/>
                <w:sz w:val="18"/>
                <w:szCs w:val="18"/>
              </w:rPr>
              <w:t xml:space="preserve">Issue RFP to Yes Bank + IndusInd simultaneously</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Send structured RFP covering: API capabilities (real-time balance, webhooks, bulk credits), escrow/nodal terms (fee structure, virtual accounts, interest on core portion), compliance documentation (ISO 27001, RBI audit support), SLA commitments (99.9% uptime, &lt;2hr support SLA).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bCs/>
                <w:i w:val="false"/>
                <w:iCs w:val="false"/>
                <w:color w:val="375623"/>
                <w:sz w:val="18"/>
                <w:szCs w:val="18"/>
              </w:rPr>
              <w:t xml:space="preserve">Week 1</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bCs/>
                <w:i w:val="false"/>
                <w:i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bCs/>
                <w:i w:val="false"/>
                <w:iCs w:val="false"/>
                <w:color w:val="1F4E79"/>
                <w:sz w:val="18"/>
                <w:szCs w:val="18"/>
              </w:rPr>
              <w:t xml:space="preserve">Technical Deep-Dive &amp; Sandbox Access</w:t>
            </w:r>
          </w:p>
        </w:tc>
        <w:tc>
          <w:tcPr>
            <w:tcW w:type="dxa" w:w="7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Request sandbox credentials. Run integration POC for: UPI inward credit to nodal, NEFT/RTGS outward debit, bank statement ingestion (MT940 or API), real-time balance API call. Score actual API performance vs claims.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bCs/>
                <w:i w:val="false"/>
                <w:iCs w:val="false"/>
                <w:color w:val="375623"/>
                <w:sz w:val="18"/>
                <w:szCs w:val="18"/>
              </w:rPr>
              <w:t xml:space="preserve">Weeks 2-3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bCs/>
                <w:i w:val="false"/>
                <w:i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bCs/>
                <w:i w:val="false"/>
                <w:iCs w:val="false"/>
                <w:color w:val="1F4E79"/>
                <w:sz w:val="18"/>
                <w:szCs w:val="18"/>
              </w:rPr>
              <w:t xml:space="preserve">Commercial Negotiation</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Negotiate: account maintenance fees, per-transaction charges, API call pricing, interest rate on core portion float (target: 4-5% on float above Rs 50Cr threshold), virtual sub-account setup fees, SLA penalty clauses.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bCs/>
                <w:i w:val="false"/>
                <w:iCs w:val="false"/>
                <w:color w:val="375623"/>
                <w:sz w:val="18"/>
                <w:szCs w:val="18"/>
              </w:rPr>
              <w:t xml:space="preserve">Weeks 3-4</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bCs/>
                <w:i w:val="false"/>
                <w:iCs w:val="false"/>
                <w:color w:val="000000"/>
                <w:sz w:val="18"/>
                <w:szCs w:val="18"/>
              </w:rPr>
              <w:t xml:space="preserve">4</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bCs/>
                <w:i w:val="false"/>
                <w:iCs w:val="false"/>
                <w:color w:val="1F4E79"/>
                <w:sz w:val="18"/>
                <w:szCs w:val="18"/>
              </w:rPr>
              <w:t xml:space="preserve">Legal Review of Escrow Agreement</w:t>
            </w:r>
          </w:p>
        </w:tc>
        <w:tc>
          <w:tcPr>
            <w:tcW w:type="dxa" w:w="7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PPSL legal team to review draft escrow agreement against RBI-prescribed format for PPI issuers. Key clauses: fund ownership, termination, bank liability for failed credits, audit cooperation, data residency.</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60"/>
            </w:pPr>
            <w:r>
              <w:rPr>
                <w:b/>
                <w:bCs/>
                <w:i w:val="false"/>
                <w:iCs w:val="false"/>
                <w:color w:val="375623"/>
                <w:sz w:val="18"/>
                <w:szCs w:val="18"/>
              </w:rPr>
              <w:t xml:space="preserve">Weeks 4-5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bCs/>
                <w:i w:val="false"/>
                <w:iCs w:val="false"/>
                <w:color w:val="000000"/>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bCs/>
                <w:i w:val="false"/>
                <w:iCs w:val="false"/>
                <w:color w:val="1F4E79"/>
                <w:sz w:val="18"/>
                <w:szCs w:val="18"/>
              </w:rPr>
              <w:t xml:space="preserve">Sign Primary + Secondary</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Sign escrow agreement with primary bank. Execute MoU/LOI with secondary bank. Ensure escrow agreement reviewed by external legal counsel with PPI experience.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b/>
                <w:bCs/>
                <w:i w:val="false"/>
                <w:iCs w:val="false"/>
                <w:color w:val="375623"/>
                <w:sz w:val="18"/>
                <w:szCs w:val="18"/>
              </w:rPr>
              <w:t xml:space="preserve">Week 6</w:t>
            </w:r>
          </w:p>
        </w:tc>
      </w:tr>
    </w:tbl>
    <w:p>
      <w:pPr>
        <w:spacing w:after="80" w:before="200"/>
      </w:pPr>
      <w:r>
        <w:rPr>
          <w:b w:val="false"/>
          <w:bCs w:val="false"/>
          <w:i/>
          <w:iCs/>
          <w:color w:val="888888"/>
          <w:sz w:val="18"/>
          <w:szCs w:val="18"/>
        </w:rPr>
        <w:t xml:space="preserve">Disclaimer: Ratings are based on publicly available information including RBI enforcement records, bank annual reports, industry publications, and market intelligence as of March 2026. This document does not constitute financial or legal advice.</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13680"/>
      </w:tabs>
    </w:pPr>
    <w:r>
      <w:rPr>
        <w:b w:val="false"/>
        <w:bCs w:val="false"/>
        <w:i w:val="false"/>
        <w:iCs w:val="false"/>
        <w:color w:val="888888"/>
        <w:sz w:val="16"/>
        <w:szCs w:val="16"/>
      </w:rPr>
      <w:t xml:space="preserve">Paytm Payment Services Limited  |  For Internal Use Only  |  March 2026</w:t>
    </w:r>
    <w:r>
      <w:rPr>
        <w:color w:val="88888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13680"/>
      </w:tabs>
    </w:pPr>
    <w:r>
      <w:rPr>
        <w:b/>
        <w:bCs/>
        <w:i w:val="false"/>
        <w:iCs w:val="false"/>
        <w:color w:val="1F4E79"/>
        <w:sz w:val="18"/>
        <w:szCs w:val="18"/>
      </w:rPr>
      <w:t xml:space="preserve">PPSL PPI Wallet — Partner Bank Evaluation Matrix</w:t>
    </w:r>
    <w:r>
      <w:rPr>
        <w:color w:val="888888"/>
        <w:sz w:val="18"/>
        <w:szCs w:val="18"/>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2026-03-31T09:20:39.732Z</dcterms:created>
  <dcterms:modified xsi:type="dcterms:W3CDTF">2026-03-31T09:20:39.733Z</dcterms:modified>
</cp:coreProperties>
</file>

<file path=docProps/custom.xml><?xml version="1.0" encoding="utf-8"?>
<Properties xmlns="http://schemas.openxmlformats.org/officeDocument/2006/custom-properties" xmlns:vt="http://schemas.openxmlformats.org/officeDocument/2006/docPropsVTypes"/>
</file>