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40.png" ContentType="image/png"/>
  <Override PartName="/word/media/rId45.png" ContentType="image/png"/>
  <Override PartName="/word/media/rId28.png" ContentType="image/png"/>
  <Override PartName="/word/media/rId34.png" ContentType="image/png"/>
  <Override PartName="/word/media/rId55.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smallCaps/>
        </w:rPr>
        <w:t xml:space="preserve">Trace</w:t>
      </w:r>
      <w:r>
        <w:t xml:space="preserve">: Trust-Constrained, Category-Aware Request Routing for AI Inference in Edge-Cloud Collaborative Systems</w:t>
      </w:r>
    </w:p>
    <w:p>
      <w:pPr>
        <w:pStyle w:val="Author"/>
      </w:pPr>
      <w:r>
        <w:t xml:space="preserve">[First Author Name], [Student Member, IEEE]</w:t>
      </w:r>
    </w:p>
    <w:p>
      <w:pPr>
        <w:pStyle w:val="Author"/>
      </w:pPr>
      <w:r>
        <w:t xml:space="preserve">[Second Author Name], [Member, IEEE]</w:t>
      </w:r>
    </w:p>
    <w:p>
      <w:pPr>
        <w:pStyle w:val="Date"/>
      </w:pPr>
      <w:r>
        <w:t xml:space="preserve">[First Author Name] and [Second Author Name] are with the [Department], [University], [City], [Country] (e-mail: [first.author@university.edu]; [second.author@university.edu]). Manuscript received [Month Day, Year]; revised [Month Day, Year].</w:t>
      </w:r>
    </w:p>
    <w:p>
      <w:pPr>
        <w:pStyle w:val="AbstractTitle"/>
      </w:pPr>
      <w:r>
        <w:t xml:space="preserve">Abstract</w:t>
      </w:r>
    </w:p>
    <w:p>
      <w:pPr>
        <w:pStyle w:val="Abstract"/>
      </w:pPr>
      <w:r>
        <w:t xml:space="preserve">Edge-cloud collaborative systems increasingly serve AI inference—from image classification to large language models—on fragmented, heterogeneous edge servers. Recent frameworks such as EPARA raise edge goodput by categorizing requests by latency/frequency sensitivity and GPU demand and by offloading requests to peers in proportion to their idle capacity. These request handlers, however, treat every server that hosts a model as a valid destination and ignore the energy budgets of power-capped or battery-backed sites. We study what changes when both constraints are made explicit. We formalize trust-constrained routing, in which a request’s sensitivity restricts it to servers of sufficient clearance and, for the most sensitive data, to the origin’s trust domain, and we define</w:t>
      </w:r>
      <w:r>
        <w:t xml:space="preserve"> </w:t>
      </w:r>
      <w:r>
        <w:rPr>
          <w:i/>
          <w:iCs/>
        </w:rPr>
        <w:t xml:space="preserve">compliant goodput</w:t>
      </w:r>
      <w:r>
        <w:t xml:space="preserve"> </w:t>
      </w:r>
      <w:r>
        <w:t xml:space="preserve">as the rate of requests that are both timely and served lawfully. We propose</w:t>
      </w:r>
      <w:r>
        <w:t xml:space="preserve"> </w:t>
      </w:r>
      <w:r>
        <w:rPr>
          <w:smallCaps/>
        </w:rPr>
        <w:t xml:space="preserve">Trace</w:t>
      </w:r>
      <w:r>
        <w:t xml:space="preserve">, a decentralized request router that adds a hard trust filter and a best-fit clearance preference to capacity-proportional offloading at a cost of tens of microseconds per decision. In an event-driven simulation of 30 heterogeneous edge servers serving the four EPARA request categories, trust-oblivious routers serve 17–20% of requests outside their trust boundary at every load.</w:t>
      </w:r>
      <w:r>
        <w:t xml:space="preserve"> </w:t>
      </w:r>
      <w:r>
        <w:rPr>
          <w:smallCaps/>
        </w:rPr>
        <w:t xml:space="preserve">Trace</w:t>
      </w:r>
      <w:r>
        <w:t xml:space="preserve"> </w:t>
      </w:r>
      <w:r>
        <w:t xml:space="preserve">eliminates these violations and raises compliant goodput by 22% over an EPARA-style router at 80% load, while staying within 2.3% of that router’s raw, partly unlawful, goodput. Best-fit clearance adds up to 5.1 percentage points of compliant SLO attainment when 40–60% of traffic is sensitive. We also report a negative result: weighting offload decisions by energy headroom, our original hypothesis, never significantly improves compliant SLO attainment and reduces it by 10–28 points under a hard-outage battery model. We show that this is not caused by stale information but by energy-aware routing being non-work-conserving. All parameters are documented assumptions, and the simulator is provided for reproduction.</w:t>
      </w:r>
    </w:p>
    <w:p>
      <w:pPr>
        <w:pStyle w:val="FirstParagraph"/>
      </w:pPr>
      <w:r>
        <w:rPr>
          <w:b/>
          <w:bCs/>
          <w:i/>
          <w:iCs/>
        </w:rPr>
        <w:t xml:space="preserve">Index Terms</w:t>
      </w:r>
      <w:r>
        <w:t xml:space="preserve">—Edge-cloud collaborative computing, AI inference serving, request offloading, privacy, trust domains, energy-aware scheduling, stale load information.</w:t>
      </w:r>
    </w:p>
    <w:bookmarkStart w:id="9" w:name="i.-introduction"/>
    <w:p>
      <w:pPr>
        <w:pStyle w:val="Heading1"/>
      </w:pPr>
      <w:r>
        <w:t xml:space="preserve">I. Introduction</w:t>
      </w:r>
    </w:p>
    <w:p>
      <w:pPr>
        <w:pStyle w:val="FirstParagraph"/>
      </w:pPr>
      <w:r>
        <w:t xml:space="preserve">AI inference is moving toward the network edge. Video analytics, interactive assistants and robot control need responses within tens to hundreds of milliseconds, and the data they process—camera frames, medical signals, voice—is increasingly subject to privacy regulation. Edge-cloud collaborative computing (ECCC) answers with a three-tier architecture in which nearby edge servers absorb most of the work and offload to peers or the cloud when they are overloaded </w:t>
      </w:r>
      <w:r>
        <w:t xml:space="preserve">[1]</w:t>
      </w:r>
      <w:r>
        <w:t xml:space="preserve">. Individually, edge servers are small and heterogeneous; collectively, their scattered capacity is substantial if requests can be routed to it quickly.</w:t>
      </w:r>
    </w:p>
    <w:p>
      <w:pPr>
        <w:pStyle w:val="BodyText"/>
      </w:pPr>
      <w:r>
        <w:t xml:space="preserve">EPARA </w:t>
      </w:r>
      <w:r>
        <w:t xml:space="preserve">[2]</w:t>
      </w:r>
      <w:r>
        <w:t xml:space="preserve"> </w:t>
      </w:r>
      <w:r>
        <w:t xml:space="preserve">is a recent and representative design for this setting. It categorizes inference tasks along two axes—latency- versus frequency-sensitive, and needing less versus more than one GPU—and applies batching, multi-task co-location, model parallelism, multi-frame batching and request-level data parallelism accordingly. A decentralized request handler then serves each request locally or offloads it to a peer with probability proportional to that peer’s idle goodput, and a periodic, submodular service-placement step keeps models where demand is. EPARA reports up to</w:t>
      </w:r>
      <w:r>
        <w:t xml:space="preserve"> </w:t>
      </w:r>
      <m:oMath>
        <m:r>
          <m:t>2.1</m:t>
        </m:r>
        <m:r>
          <m:rPr>
            <m:sty m:val="p"/>
          </m:rPr>
          <m:t>×</m:t>
        </m:r>
      </m:oMath>
      <w:r>
        <w:t xml:space="preserve"> </w:t>
      </w:r>
      <w:r>
        <w:t xml:space="preserve">the goodput of prior edge and datacenter serving systems </w:t>
      </w:r>
      <w:r>
        <w:t xml:space="preserve">[2]</w:t>
      </w:r>
      <w:r>
        <w:t xml:space="preserve">.</w:t>
      </w:r>
    </w:p>
    <w:p>
      <w:pPr>
        <w:pStyle w:val="BodyText"/>
      </w:pPr>
      <w:r>
        <w:t xml:space="preserve">Like the systems it is compared against </w:t>
      </w:r>
      <w:r>
        <w:t xml:space="preserve">[3], [4], [5], [6], [7]</w:t>
      </w:r>
      <w:r>
        <w:t xml:space="preserve">, EPARA’s handler assumes that any server hosting the requested model is an acceptable destination. In practice this is often false. A hospital’s imaging request may only be processed by certified operators; data subject to residency rules must stay within a jurisdiction or organization </w:t>
      </w:r>
      <w:r>
        <w:t xml:space="preserve">[8]</w:t>
      </w:r>
      <w:r>
        <w:t xml:space="preserve">. A router that ignores such constraints can raise raw goodput while quietly serving a fraction of requests unlawfully. A second implicit assumption is that energy is unconstrained. Many edge sites are power-capped, solar-powered or battery-backed, and it seems natural to steer work toward servers with more energy headroom, as energy-aware offloading work does for devices </w:t>
      </w:r>
      <w:r>
        <w:t xml:space="preserve">[9], [10]</w:t>
      </w:r>
      <w:r>
        <w:t xml:space="preserve">.</w:t>
      </w:r>
    </w:p>
    <w:p>
      <w:pPr>
        <w:pStyle w:val="BodyText"/>
      </w:pPr>
      <w:r>
        <w:t xml:space="preserve">This paper asks two questions.</w:t>
      </w:r>
      <w:r>
        <w:t xml:space="preserve"> </w:t>
      </w:r>
      <w:r>
        <w:rPr>
          <w:i/>
          <w:iCs/>
        </w:rPr>
        <w:t xml:space="preserve">What does it cost, in timely and lawful goodput, to enforce trust constraints inside a fast decentralized inference router, and can routing reduce that cost?</w:t>
      </w:r>
      <w:r>
        <w:t xml:space="preserve"> </w:t>
      </w:r>
      <w:r>
        <w:t xml:space="preserve">And</w:t>
      </w:r>
      <w:r>
        <w:t xml:space="preserve"> </w:t>
      </w:r>
      <w:r>
        <w:rPr>
          <w:i/>
          <w:iCs/>
        </w:rPr>
        <w:t xml:space="preserve">does adding energy headroom to the offload score help when energy is scarce?</w:t>
      </w:r>
    </w:p>
    <w:p>
      <w:pPr>
        <w:pStyle w:val="BodyText"/>
      </w:pPr>
      <w:r>
        <w:t xml:space="preserve">We make the following contributions:</w:t>
      </w:r>
    </w:p>
    <w:p>
      <w:pPr>
        <w:numPr>
          <w:ilvl w:val="0"/>
          <w:numId w:val="1001"/>
        </w:numPr>
      </w:pPr>
      <w:r>
        <w:rPr>
          <w:b/>
          <w:bCs/>
        </w:rPr>
        <w:t xml:space="preserve">Model.</w:t>
      </w:r>
      <w:r>
        <w:t xml:space="preserve"> </w:t>
      </w:r>
      <w:r>
        <w:t xml:space="preserve">We formalize trust-constrained request routing for categorized edge inference, with server clearance levels and trust domains, request sensitivity, and a soft-throttling and a hard-outage energy model. We define</w:t>
      </w:r>
      <w:r>
        <w:t xml:space="preserve"> </w:t>
      </w:r>
      <w:r>
        <w:rPr>
          <w:i/>
          <w:iCs/>
        </w:rPr>
        <w:t xml:space="preserve">compliant goodput</w:t>
      </w:r>
      <w:r>
        <w:t xml:space="preserve">, which credits only requests that are both timely and lawful (Section III).</w:t>
      </w:r>
    </w:p>
    <w:p>
      <w:pPr>
        <w:numPr>
          <w:ilvl w:val="0"/>
          <w:numId w:val="1001"/>
        </w:numPr>
      </w:pPr>
      <w:r>
        <w:rPr>
          <w:b/>
          <w:bCs/>
        </w:rPr>
        <w:t xml:space="preserve">Design.</w:t>
      </w:r>
      <w:r>
        <w:t xml:space="preserve"> </w:t>
      </w:r>
      <w:r>
        <w:t xml:space="preserve">We present</w:t>
      </w:r>
      <w:r>
        <w:t xml:space="preserve"> </w:t>
      </w:r>
      <w:r>
        <w:rPr>
          <w:smallCaps/>
        </w:rPr>
        <w:t xml:space="preserve">Trace</w:t>
      </w:r>
      <w:r>
        <w:t xml:space="preserve">, which keeps EPARA’s operator layer and capacity-proportional offloading and adds a hard trust filter and a</w:t>
      </w:r>
      <w:r>
        <w:t xml:space="preserve"> </w:t>
      </w:r>
      <w:r>
        <w:rPr>
          <w:i/>
          <w:iCs/>
        </w:rPr>
        <w:t xml:space="preserve">best-fit clearance</w:t>
      </w:r>
      <w:r>
        <w:t xml:space="preserve"> </w:t>
      </w:r>
      <w:r>
        <w:t xml:space="preserve">preference that keeps high-clearance capacity free for sensitive requests. A routing decision is</w:t>
      </w:r>
      <w:r>
        <w:t xml:space="preserve"> </w:t>
      </w:r>
      <m:oMath>
        <m:r>
          <m:t>O</m:t>
        </m:r>
        <m:r>
          <m:rPr>
            <m:sty m:val="p"/>
          </m:rPr>
          <m:t>(</m:t>
        </m:r>
        <m:r>
          <m:t>N</m:t>
        </m:r>
        <m:r>
          <m:rPr>
            <m:sty m:val="p"/>
          </m:rPr>
          <m:t>)</m:t>
        </m:r>
      </m:oMath>
      <w:r>
        <w:t xml:space="preserve"> </w:t>
      </w:r>
      <w:r>
        <w:t xml:space="preserve">local computation with no communication (Section IV).</w:t>
      </w:r>
    </w:p>
    <w:p>
      <w:pPr>
        <w:numPr>
          <w:ilvl w:val="0"/>
          <w:numId w:val="1001"/>
        </w:numPr>
      </w:pPr>
      <w:r>
        <w:rPr>
          <w:b/>
          <w:bCs/>
        </w:rPr>
        <w:t xml:space="preserve">Evaluation.</w:t>
      </w:r>
      <w:r>
        <w:t xml:space="preserve"> </w:t>
      </w:r>
      <w:r>
        <w:t xml:space="preserve">With an event-driven simulator over 10 seeds and paired statistical tests, we show that trust-oblivious routers violate trust constraints for 17–20% of requests at every load.</w:t>
      </w:r>
      <w:r>
        <w:t xml:space="preserve"> </w:t>
      </w:r>
      <w:r>
        <w:rPr>
          <w:smallCaps/>
        </w:rPr>
        <w:t xml:space="preserve">Trace</w:t>
      </w:r>
      <w:r>
        <w:t xml:space="preserve"> </w:t>
      </w:r>
      <w:r>
        <w:t xml:space="preserve">removes all violations and increases compliant goodput by 22% over an EPARA-style router at 80% load, and best-fit clearance adds up to 5.1 points when much of the traffic is sensitive (Section VI).</w:t>
      </w:r>
    </w:p>
    <w:p>
      <w:pPr>
        <w:numPr>
          <w:ilvl w:val="0"/>
          <w:numId w:val="1001"/>
        </w:numPr>
      </w:pPr>
      <w:r>
        <w:rPr>
          <w:b/>
          <w:bCs/>
        </w:rPr>
        <w:t xml:space="preserve">Negative result and analysis.</w:t>
      </w:r>
      <w:r>
        <w:t xml:space="preserve"> </w:t>
      </w:r>
      <w:r>
        <w:t xml:space="preserve">Energy-headroom weighting—in four variants and under both energy models—never significantly improves compliant SLO attainment and reduces it by up to 28 points under hard outages. Varying the state-sync period rules out stale-information herding; the cause is that energy-aware avoidance is non-work-conserving and concentrates load (Section VII).</w:t>
      </w:r>
    </w:p>
    <w:p>
      <w:pPr>
        <w:numPr>
          <w:ilvl w:val="0"/>
          <w:numId w:val="1001"/>
        </w:numPr>
      </w:pPr>
      <w:r>
        <w:rPr>
          <w:b/>
          <w:bCs/>
        </w:rPr>
        <w:t xml:space="preserve">Methodological findings.</w:t>
      </w:r>
      <w:r>
        <w:t xml:space="preserve"> </w:t>
      </w:r>
      <w:r>
        <w:t xml:space="preserve">A round-robin baseline with a pointer shared by all servers embeds implicit global coordination and overstates its performance at saturation, and per-request SLO attainment is dominated by the most numerous request class; we report a category-balanced metric alongside it.</w:t>
      </w:r>
    </w:p>
    <w:p>
      <w:pPr>
        <w:pStyle w:val="FirstParagraph"/>
      </w:pPr>
      <w:r>
        <w:t xml:space="preserve">All numbers come from simulation with documented, assumed parameters modeled on EPARA’s testbed scale; they are not measurements on hardware and are not comparable in absolute terms with EPARA’s reported results.</w:t>
      </w:r>
    </w:p>
    <w:bookmarkEnd w:id="9"/>
    <w:bookmarkStart w:id="10" w:name="ii.-background-and-related-work"/>
    <w:p>
      <w:pPr>
        <w:pStyle w:val="Heading1"/>
      </w:pPr>
      <w:r>
        <w:t xml:space="preserve">II. Background and Related Work</w:t>
      </w:r>
    </w:p>
    <w:p>
      <w:pPr>
        <w:pStyle w:val="FirstParagraph"/>
      </w:pPr>
      <w:r>
        <w:rPr>
          <w:b/>
          <w:bCs/>
        </w:rPr>
        <w:t xml:space="preserve">Categorized parallel inference at the edge.</w:t>
      </w:r>
      <w:r>
        <w:t xml:space="preserve"> </w:t>
      </w:r>
      <w:r>
        <w:t xml:space="preserve">EPARA </w:t>
      </w:r>
      <w:r>
        <w:t xml:space="preserve">[2]</w:t>
      </w:r>
      <w:r>
        <w:t xml:space="preserve"> </w:t>
      </w:r>
      <w:r>
        <w:t xml:space="preserve">categorizes inference tasks along two axes and applies five operators accordingly: batching (BS), multi-task co-location (MT), model parallelism (MP), multi-frame batching (MF) and request-level data parallelism (DP). It couples this allocator with a decentralized greedy request handler that offloads a request to a peer with probability proportional to the peer’s idle goodput, a submodular service-placement algorithm with a</w:t>
      </w:r>
      <w:r>
        <w:t xml:space="preserve"> </w:t>
      </w:r>
      <m:oMath>
        <m:r>
          <m:t>1</m:t>
        </m:r>
        <m:r>
          <m:rPr>
            <m:sty m:val="p"/>
          </m:rPr>
          <m:t>/</m:t>
        </m:r>
        <m:r>
          <m:rPr>
            <m:sty m:val="p"/>
          </m:rPr>
          <m:t>(</m:t>
        </m:r>
        <m:r>
          <m:t>1</m:t>
        </m:r>
        <m:r>
          <m:rPr>
            <m:sty m:val="p"/>
          </m:rPr>
          <m:t>+</m:t>
        </m:r>
        <m:r>
          <m:t>P</m:t>
        </m:r>
        <m:r>
          <m:rPr>
            <m:sty m:val="p"/>
          </m:rPr>
          <m:t>)</m:t>
        </m:r>
      </m:oMath>
      <w:r>
        <w:t xml:space="preserve"> </w:t>
      </w:r>
      <w:r>
        <w:t xml:space="preserve">guarantee </w:t>
      </w:r>
      <w:r>
        <w:t xml:space="preserve">[11]</w:t>
      </w:r>
      <w:r>
        <w:t xml:space="preserve">, and ring-based state synchronization. Its handler, like those of the edge systems it compares against (InterEdge </w:t>
      </w:r>
      <w:r>
        <w:t xml:space="preserve">[3]</w:t>
      </w:r>
      <w:r>
        <w:t xml:space="preserve">, Galaxy </w:t>
      </w:r>
      <w:r>
        <w:t xml:space="preserve">[4]</w:t>
      </w:r>
      <w:r>
        <w:t xml:space="preserve">, SERV-P </w:t>
      </w:r>
      <w:r>
        <w:t xml:space="preserve">[5]</w:t>
      </w:r>
      <w:r>
        <w:t xml:space="preserve">) and of datacenter serving systems (AlpaServe </w:t>
      </w:r>
      <w:r>
        <w:t xml:space="preserve">[6]</w:t>
      </w:r>
      <w:r>
        <w:t xml:space="preserve">, USHER </w:t>
      </w:r>
      <w:r>
        <w:t xml:space="preserve">[7]</w:t>
      </w:r>
      <w:r>
        <w:t xml:space="preserve">, Nexus </w:t>
      </w:r>
      <w:r>
        <w:t xml:space="preserve">[12]</w:t>
      </w:r>
      <w:r>
        <w:t xml:space="preserve">, SHEPHERD </w:t>
      </w:r>
      <w:r>
        <w:t xml:space="preserve">[13]</w:t>
      </w:r>
      <w:r>
        <w:t xml:space="preserve">, Clockwork </w:t>
      </w:r>
      <w:r>
        <w:t xml:space="preserve">[14]</w:t>
      </w:r>
      <w:r>
        <w:t xml:space="preserve">, INFaaS </w:t>
      </w:r>
      <w:r>
        <w:t xml:space="preserve">[15]</w:t>
      </w:r>
      <w:r>
        <w:t xml:space="preserve">), treats every server that hosts a model as a valid destination for every request. We retain EPARA’s operator layer and capacity-proportional offloading and ask what changes when destinations are restricted by trust and powered by constrained energy.</w:t>
      </w:r>
    </w:p>
    <w:p>
      <w:pPr>
        <w:pStyle w:val="BodyText"/>
      </w:pPr>
      <w:r>
        <w:rPr>
          <w:b/>
          <w:bCs/>
        </w:rPr>
        <w:t xml:space="preserve">Edge-cloud collaborative intelligence.</w:t>
      </w:r>
      <w:r>
        <w:t xml:space="preserve"> </w:t>
      </w:r>
      <w:r>
        <w:t xml:space="preserve">A recent survey </w:t>
      </w:r>
      <w:r>
        <w:t xml:space="preserve">[1]</w:t>
      </w:r>
      <w:r>
        <w:t xml:space="preserve"> </w:t>
      </w:r>
      <w:r>
        <w:t xml:space="preserve">organizes ECCC research into model optimization, AI-driven resource management (latency-, energy- and dependency-aware offloading) and privacy/security enhancement, and names heterogeneity management and real-time scheduling as open challenges. Model partitioning between device and cloud </w:t>
      </w:r>
      <w:r>
        <w:t xml:space="preserve">[16]</w:t>
      </w:r>
      <w:r>
        <w:t xml:space="preserve"> </w:t>
      </w:r>
      <w:r>
        <w:t xml:space="preserve">and collaborative edge LLM inference </w:t>
      </w:r>
      <w:r>
        <w:t xml:space="preserve">[17]</w:t>
      </w:r>
      <w:r>
        <w:t xml:space="preserve"> </w:t>
      </w:r>
      <w:r>
        <w:t xml:space="preserve">address</w:t>
      </w:r>
      <w:r>
        <w:t xml:space="preserve"> </w:t>
      </w:r>
      <w:r>
        <w:rPr>
          <w:i/>
          <w:iCs/>
        </w:rPr>
        <w:t xml:space="preserve">where to compute a model</w:t>
      </w:r>
      <w:r>
        <w:t xml:space="preserve">; we address</w:t>
      </w:r>
      <w:r>
        <w:t xml:space="preserve"> </w:t>
      </w:r>
      <w:r>
        <w:rPr>
          <w:i/>
          <w:iCs/>
        </w:rPr>
        <w:t xml:space="preserve">where a request may be served</w:t>
      </w:r>
      <w:r>
        <w:t xml:space="preserve">.</w:t>
      </w:r>
    </w:p>
    <w:p>
      <w:pPr>
        <w:pStyle w:val="BodyText"/>
      </w:pPr>
      <w:r>
        <w:rPr>
          <w:b/>
          <w:bCs/>
        </w:rPr>
        <w:t xml:space="preserve">Privacy-aware offloading.</w:t>
      </w:r>
      <w:r>
        <w:t xml:space="preserve"> </w:t>
      </w:r>
      <w:r>
        <w:t xml:space="preserve">Most privacy-aware offloading work protects information leaked</w:t>
      </w:r>
      <w:r>
        <w:t xml:space="preserve"> </w:t>
      </w:r>
      <w:r>
        <w:rPr>
          <w:i/>
          <w:iCs/>
        </w:rPr>
        <w:t xml:space="preserve">by the act of offloading</w:t>
      </w:r>
      <w:r>
        <w:t xml:space="preserve">—location and usage-pattern privacy—often with reinforcement learning, e.g., for healthcare IoT with energy harvesting </w:t>
      </w:r>
      <w:r>
        <w:t xml:space="preserve">[10]</w:t>
      </w:r>
      <w:r>
        <w:t xml:space="preserve">. Federated learning </w:t>
      </w:r>
      <w:r>
        <w:t xml:space="preserve">[18]</w:t>
      </w:r>
      <w:r>
        <w:t xml:space="preserve"> </w:t>
      </w:r>
      <w:r>
        <w:t xml:space="preserve">keeps training data local. Regulatory regimes such as the GDPR </w:t>
      </w:r>
      <w:r>
        <w:t xml:space="preserve">[8]</w:t>
      </w:r>
      <w:r>
        <w:t xml:space="preserve"> </w:t>
      </w:r>
      <w:r>
        <w:t xml:space="preserve">instead impose</w:t>
      </w:r>
      <w:r>
        <w:t xml:space="preserve"> </w:t>
      </w:r>
      <w:r>
        <w:rPr>
          <w:i/>
          <w:iCs/>
        </w:rPr>
        <w:t xml:space="preserve">hard</w:t>
      </w:r>
      <w:r>
        <w:t xml:space="preserve"> </w:t>
      </w:r>
      <w:r>
        <w:t xml:space="preserve">constraints on who may process which data and where. We model these as a hard eligibility constraint inside a decentralized inference router and quantify their throughput cost, which, to our knowledge, prior edge inference-serving systems do not report.</w:t>
      </w:r>
    </w:p>
    <w:p>
      <w:pPr>
        <w:pStyle w:val="BodyText"/>
      </w:pPr>
      <w:r>
        <w:rPr>
          <w:b/>
          <w:bCs/>
        </w:rPr>
        <w:t xml:space="preserve">Energy-aware offloading.</w:t>
      </w:r>
      <w:r>
        <w:t xml:space="preserve"> </w:t>
      </w:r>
      <w:r>
        <w:t xml:space="preserve">Offloading with energy-harvesting devices has been studied with Lyapunov optimization </w:t>
      </w:r>
      <w:r>
        <w:t xml:space="preserve">[9]</w:t>
      </w:r>
      <w:r>
        <w:t xml:space="preserve">, and carbon-aware provisioning has been proposed for datacenter LLM serving </w:t>
      </w:r>
      <w:r>
        <w:t xml:space="preserve">[19]</w:t>
      </w:r>
      <w:r>
        <w:t xml:space="preserve">. A natural extension of EPARA’s handler is to scale the offload score by each peer’s energy headroom. We show that, in a decentralized router fed by periodically synchronized state, this extension is counter-productive.</w:t>
      </w:r>
    </w:p>
    <w:p>
      <w:pPr>
        <w:pStyle w:val="BodyText"/>
      </w:pPr>
      <w:r>
        <w:rPr>
          <w:b/>
          <w:bCs/>
        </w:rPr>
        <w:t xml:space="preserve">Load balancing with stale information.</w:t>
      </w:r>
      <w:r>
        <w:t xml:space="preserve"> </w:t>
      </w:r>
      <w:r>
        <w:t xml:space="preserve">Mitzenmacher showed that sending jobs to the apparently least-loaded server under stale load information causes herd behavior, whereas randomized choices degrade gracefully </w:t>
      </w:r>
      <w:r>
        <w:t xml:space="preserve">[20], [21]</w:t>
      </w:r>
      <w:r>
        <w:t xml:space="preserve">. EPARA computes idle goodput from state synchronized periodically. We test whether this classic effect explains the failure of energy-weighted routing and find that it does not (Section VI-C).</w:t>
      </w:r>
    </w:p>
    <w:bookmarkEnd w:id="10"/>
    <w:bookmarkStart w:id="16" w:name="Xb4de76e1de57ab9191a51bd0c46c162f87d13e7"/>
    <w:p>
      <w:pPr>
        <w:pStyle w:val="Heading1"/>
      </w:pPr>
      <w:r>
        <w:t xml:space="preserve">III. System Model and Problem Formulation</w:t>
      </w:r>
    </w:p>
    <w:bookmarkStart w:id="11" w:name="a.-edge-servers-trust-and-energy"/>
    <w:p>
      <w:pPr>
        <w:pStyle w:val="Heading2"/>
      </w:pPr>
      <w:r>
        <w:t xml:space="preserve">A. Edge servers, trust and energy</w:t>
      </w:r>
    </w:p>
    <w:p>
      <w:pPr>
        <w:pStyle w:val="FirstParagraph"/>
      </w:pPr>
      <w:r>
        <w:t xml:space="preserve">The system has a set</w:t>
      </w:r>
      <w:r>
        <w:t xml:space="preserve"> </w:t>
      </w:r>
      <m:oMath>
        <m:r>
          <m:rPr>
            <m:scr m:val="script"/>
            <m:sty m:val="p"/>
          </m:rPr>
          <m:t>N</m:t>
        </m:r>
      </m:oMath>
      <w:r>
        <w:t xml:space="preserve"> </w:t>
      </w:r>
      <w:r>
        <w:t xml:space="preserve">of</w:t>
      </w:r>
      <w:r>
        <w:t xml:space="preserve"> </w:t>
      </w:r>
      <m:oMath>
        <m:r>
          <m:t>N</m:t>
        </m:r>
      </m:oMath>
      <w:r>
        <w:t xml:space="preserve"> </w:t>
      </w:r>
      <w:r>
        <w:t xml:space="preserve">edge servers. Server</w:t>
      </w:r>
      <w:r>
        <w:t xml:space="preserve"> </w:t>
      </w:r>
      <m:oMath>
        <m:r>
          <m:t>j</m:t>
        </m:r>
      </m:oMath>
      <w:r>
        <w:t xml:space="preserve"> </w:t>
      </w:r>
      <w:r>
        <w:t xml:space="preserve">has</w:t>
      </w:r>
      <w:r>
        <w:t xml:space="preserve"> </w:t>
      </w:r>
      <m:oMath>
        <m:sSub>
          <m:e>
            <m:r>
              <m:t>S</m:t>
            </m:r>
          </m:e>
          <m:sub>
            <m:r>
              <m:t>j</m:t>
            </m:r>
          </m:sub>
        </m:sSub>
      </m:oMath>
      <w:r>
        <w:t xml:space="preserve"> </w:t>
      </w:r>
      <w:r>
        <w:t xml:space="preserve">GPU</w:t>
      </w:r>
      <w:r>
        <w:t xml:space="preserve"> </w:t>
      </w:r>
      <w:r>
        <w:rPr>
          <w:i/>
          <w:iCs/>
        </w:rPr>
        <w:t xml:space="preserve">slots</w:t>
      </w:r>
      <w:r>
        <w:t xml:space="preserve"> </w:t>
      </w:r>
      <w:r>
        <w:t xml:space="preserve">(MPS partitions, four per GPU), a</w:t>
      </w:r>
      <w:r>
        <w:t xml:space="preserve"> </w:t>
      </w:r>
      <w:r>
        <w:rPr>
          <w:i/>
          <w:iCs/>
        </w:rPr>
        <w:t xml:space="preserve">clearance level</w:t>
      </w:r>
      <w:r>
        <w:t xml:space="preserve"> </w:t>
      </w:r>
      <m:oMath>
        <m:sSub>
          <m:e>
            <m:r>
              <m:t>c</m:t>
            </m:r>
          </m:e>
          <m:sub>
            <m:r>
              <m:t>j</m:t>
            </m:r>
          </m:sub>
        </m:sSub>
        <m:r>
          <m:rPr>
            <m:sty m:val="p"/>
          </m:rPr>
          <m:t>∈</m:t>
        </m:r>
        <m:r>
          <m:rPr>
            <m:sty m:val="p"/>
          </m:rPr>
          <m:t>{</m:t>
        </m:r>
        <m:r>
          <m:t>0</m:t>
        </m:r>
        <m:r>
          <m:rPr>
            <m:sty m:val="p"/>
          </m:rPr>
          <m:t>,</m:t>
        </m:r>
        <m:r>
          <m:t>1</m:t>
        </m:r>
        <m:r>
          <m:rPr>
            <m:sty m:val="p"/>
          </m:rPr>
          <m:t>,</m:t>
        </m:r>
        <m:r>
          <m:t>2</m:t>
        </m:r>
        <m:r>
          <m:rPr>
            <m:sty m:val="p"/>
          </m:rPr>
          <m:t>}</m:t>
        </m:r>
      </m:oMath>
      <w:r>
        <w:t xml:space="preserve"> </w:t>
      </w:r>
      <w:r>
        <w:t xml:space="preserve">and an administrative</w:t>
      </w:r>
      <w:r>
        <w:t xml:space="preserve"> </w:t>
      </w:r>
      <w:r>
        <w:rPr>
          <w:i/>
          <w:iCs/>
        </w:rPr>
        <w:t xml:space="preserve">trust domain</w:t>
      </w:r>
      <w:r>
        <w:t xml:space="preserve"> </w:t>
      </w:r>
      <m:oMath>
        <m:sSub>
          <m:e>
            <m:r>
              <m:t>d</m:t>
            </m:r>
          </m:e>
          <m:sub>
            <m:r>
              <m:t>j</m:t>
            </m:r>
          </m:sub>
        </m:sSub>
      </m:oMath>
      <w:r>
        <w:t xml:space="preserve">. Clearance captures the certification of the operator (e.g., public, certified, regulated); the domain captures ownership or jurisdiction. Network latency between servers</w:t>
      </w:r>
      <w:r>
        <w:t xml:space="preserve"> </w:t>
      </w:r>
      <m:oMath>
        <m:r>
          <m:t>i</m:t>
        </m:r>
      </m:oMath>
      <w:r>
        <w:t xml:space="preserve"> </w:t>
      </w:r>
      <w:r>
        <w:t xml:space="preserve">and</w:t>
      </w:r>
      <w:r>
        <w:t xml:space="preserve"> </w:t>
      </w:r>
      <m:oMath>
        <m:r>
          <m:t>j</m:t>
        </m:r>
      </m:oMath>
      <w:r>
        <w:t xml:space="preserve"> </w:t>
      </w:r>
      <w:r>
        <w:t xml:space="preserve">is</w:t>
      </w:r>
      <w:r>
        <w:t xml:space="preserve"> </w:t>
      </w:r>
      <m:oMath>
        <m:sSub>
          <m:e>
            <m:r>
              <m:t>ℓ</m:t>
            </m:r>
          </m:e>
          <m:sub>
            <m:r>
              <m:t>i</m:t>
            </m:r>
            <m:r>
              <m:t>j</m:t>
            </m:r>
          </m:sub>
        </m:sSub>
      </m:oMath>
      <w:r>
        <w:t xml:space="preserve">.</w:t>
      </w:r>
    </w:p>
    <w:p>
      <w:pPr>
        <w:pStyle w:val="BodyText"/>
      </w:pPr>
      <w:r>
        <w:t xml:space="preserve">Energy is supplied at a capped rate</w:t>
      </w:r>
      <w:r>
        <w:t xml:space="preserve"> </w:t>
      </w:r>
      <m:oMath>
        <m:sSub>
          <m:e>
            <m:acc>
              <m:accPr>
                <m:chr m:val="‾"/>
              </m:accPr>
              <m:e>
                <m:r>
                  <m:t>P</m:t>
                </m:r>
              </m:e>
            </m:acc>
          </m:e>
          <m:sub>
            <m:r>
              <m:t>j</m:t>
            </m:r>
          </m:sub>
        </m:sSub>
        <m:r>
          <m:rPr>
            <m:sty m:val="p"/>
          </m:rPr>
          <m:t>=</m:t>
        </m:r>
        <m:sSub>
          <m:e>
            <m:r>
              <m:t>κ</m:t>
            </m:r>
          </m:e>
          <m:sub>
            <m:r>
              <m:t>j</m:t>
            </m:r>
          </m:sub>
        </m:sSub>
        <m:sSub>
          <m:e>
            <m:r>
              <m:t>S</m:t>
            </m:r>
          </m:e>
          <m:sub>
            <m:r>
              <m:t>j</m:t>
            </m:r>
          </m:sub>
        </m:sSub>
        <m:sSub>
          <m:e>
            <m:r>
              <m:t>P</m:t>
            </m:r>
          </m:e>
          <m:sub>
            <m:r>
              <m:t>s</m:t>
            </m:r>
          </m:sub>
        </m:sSub>
      </m:oMath>
      <w:r>
        <w:t xml:space="preserve">, where</w:t>
      </w:r>
      <w:r>
        <w:t xml:space="preserve"> </w:t>
      </w:r>
      <m:oMath>
        <m:sSub>
          <m:e>
            <m:r>
              <m:t>P</m:t>
            </m:r>
          </m:e>
          <m:sub>
            <m:r>
              <m:t>s</m:t>
            </m:r>
          </m:sub>
        </m:sSub>
      </m:oMath>
      <w:r>
        <w:t xml:space="preserve"> </w:t>
      </w:r>
      <w:r>
        <w:t xml:space="preserve">is the power of one active slot and</w:t>
      </w:r>
      <w:r>
        <w:t xml:space="preserve"> </w:t>
      </w:r>
      <m:oMath>
        <m:sSub>
          <m:e>
            <m:r>
              <m:t>κ</m:t>
            </m:r>
          </m:e>
          <m:sub>
            <m:r>
              <m:t>j</m:t>
            </m:r>
          </m:sub>
        </m:sSub>
        <m:r>
          <m:rPr>
            <m:sty m:val="p"/>
          </m:rPr>
          <m:t>∈</m:t>
        </m:r>
        <m:r>
          <m:rPr>
            <m:sty m:val="p"/>
          </m:rPr>
          <m:t>(</m:t>
        </m:r>
        <m:r>
          <m:t>0</m:t>
        </m:r>
        <m:r>
          <m:rPr>
            <m:sty m:val="p"/>
          </m:rPr>
          <m:t>,</m:t>
        </m:r>
        <m:r>
          <m:t>1</m:t>
        </m:r>
        <m:r>
          <m:rPr>
            <m:sty m:val="p"/>
          </m:rPr>
          <m:t>]</m:t>
        </m:r>
      </m:oMath>
      <w:r>
        <w:t xml:space="preserve"> </w:t>
      </w:r>
      <w:r>
        <w:t xml:space="preserve">the cap fraction (power-capped, solar or battery-backed sites). Server</w:t>
      </w:r>
      <w:r>
        <w:t xml:space="preserve"> </w:t>
      </w:r>
      <m:oMath>
        <m:r>
          <m:t>j</m:t>
        </m:r>
      </m:oMath>
      <w:r>
        <w:t xml:space="preserve"> </w:t>
      </w:r>
      <w:r>
        <w:t xml:space="preserve">holds an energy buffer</w:t>
      </w:r>
      <w:r>
        <w:t xml:space="preserve"> </w:t>
      </w:r>
      <m:oMath>
        <m:sSub>
          <m:e>
            <m:r>
              <m:t>E</m:t>
            </m:r>
          </m:e>
          <m:sub>
            <m:r>
              <m:t>j</m:t>
            </m:r>
          </m:sub>
        </m:sSub>
        <m:r>
          <m:rPr>
            <m:sty m:val="p"/>
          </m:rPr>
          <m:t>(</m:t>
        </m:r>
        <m:r>
          <m:t>t</m:t>
        </m:r>
        <m:r>
          <m:rPr>
            <m:sty m:val="p"/>
          </m:rPr>
          <m:t>)</m:t>
        </m:r>
        <m:r>
          <m:rPr>
            <m:sty m:val="p"/>
          </m:rPr>
          <m:t>∈</m:t>
        </m:r>
        <m:r>
          <m:rPr>
            <m:sty m:val="p"/>
          </m:rPr>
          <m:t>[</m:t>
        </m:r>
        <m:r>
          <m:t>0</m:t>
        </m:r>
        <m:r>
          <m:rPr>
            <m:sty m:val="p"/>
          </m:rPr>
          <m:t>,</m:t>
        </m:r>
        <m:sSub>
          <m:e>
            <m:r>
              <m:t>B</m:t>
            </m:r>
          </m:e>
          <m:sub>
            <m:r>
              <m:t>j</m:t>
            </m:r>
          </m:sub>
        </m:sSub>
        <m:r>
          <m:rPr>
            <m:sty m:val="p"/>
          </m:rPr>
          <m:t>]</m:t>
        </m:r>
      </m:oMath>
      <w:r>
        <w:t xml:space="preserve"> </w:t>
      </w:r>
      <w:r>
        <w:t xml:space="preserve">that is refilled at rate</w:t>
      </w:r>
      <w:r>
        <w:t xml:space="preserve"> </w:t>
      </w:r>
      <m:oMath>
        <m:sSub>
          <m:e>
            <m:acc>
              <m:accPr>
                <m:chr m:val="‾"/>
              </m:accPr>
              <m:e>
                <m:r>
                  <m:t>P</m:t>
                </m:r>
              </m:e>
            </m:acc>
          </m:e>
          <m:sub>
            <m:r>
              <m:t>j</m:t>
            </m:r>
          </m:sub>
        </m:sSub>
      </m:oMath>
      <w:r>
        <w:t xml:space="preserve"> </w:t>
      </w:r>
      <w:r>
        <w:t xml:space="preserve">and drained by</w:t>
      </w:r>
      <w:r>
        <w:t xml:space="preserve"> </w:t>
      </w:r>
      <m:oMath>
        <m:sSub>
          <m:e>
            <m:r>
              <m:t>P</m:t>
            </m:r>
          </m:e>
          <m:sub>
            <m:r>
              <m:t>s</m:t>
            </m:r>
          </m:sub>
        </m:sSub>
      </m:oMath>
      <w:r>
        <w:t xml:space="preserve"> </w:t>
      </w:r>
      <w:r>
        <w:t xml:space="preserve">per active slot. We study two consequences of an empty buffer:</w:t>
      </w:r>
      <w:r>
        <w:t xml:space="preserve"> </w:t>
      </w:r>
      <w:r>
        <w:t xml:space="preserve">(i)</w:t>
      </w:r>
      <w:r>
        <w:t xml:space="preserve"> </w:t>
      </w:r>
      <w:r>
        <w:rPr>
          <w:i/>
          <w:iCs/>
        </w:rPr>
        <w:t xml:space="preserve">soft throttling</w:t>
      </w:r>
      <w:r>
        <w:t xml:space="preserve">: when</w:t>
      </w:r>
      <w:r>
        <w:t xml:space="preserve"> </w:t>
      </w:r>
      <m:oMath>
        <m:sSub>
          <m:e>
            <m:r>
              <m:t>E</m:t>
            </m:r>
          </m:e>
          <m:sub>
            <m:r>
              <m:t>j</m:t>
            </m:r>
          </m:sub>
        </m:sSub>
        <m:r>
          <m:rPr>
            <m:sty m:val="p"/>
          </m:rPr>
          <m:t>/</m:t>
        </m:r>
        <m:sSub>
          <m:e>
            <m:r>
              <m:t>B</m:t>
            </m:r>
          </m:e>
          <m:sub>
            <m:r>
              <m:t>j</m:t>
            </m:r>
          </m:sub>
        </m:sSub>
        <m:r>
          <m:rPr>
            <m:sty m:val="p"/>
          </m:rPr>
          <m:t>&lt;</m:t>
        </m:r>
        <m:r>
          <m:t>5</m:t>
        </m:r>
        <m:r>
          <m:rPr>
            <m:sty m:val="p"/>
          </m:rPr>
          <m:t>%</m:t>
        </m:r>
      </m:oMath>
      <w:r>
        <w:t xml:space="preserve">, a request runs</w:t>
      </w:r>
      <w:r>
        <w:t xml:space="preserve"> </w:t>
      </w:r>
      <m:oMath>
        <m:r>
          <m:t>1.6</m:t>
        </m:r>
        <m:r>
          <m:rPr>
            <m:sty m:val="p"/>
          </m:rPr>
          <m:t>×</m:t>
        </m:r>
      </m:oMath>
      <w:r>
        <w:t xml:space="preserve"> </w:t>
      </w:r>
      <w:r>
        <w:t xml:space="preserve">slower and a stream cannot start; and</w:t>
      </w:r>
      <w:r>
        <w:t xml:space="preserve"> </w:t>
      </w:r>
      <w:r>
        <w:t xml:space="preserve">(ii)</w:t>
      </w:r>
      <w:r>
        <w:t xml:space="preserve"> </w:t>
      </w:r>
      <w:r>
        <w:rPr>
          <w:i/>
          <w:iCs/>
        </w:rPr>
        <w:t xml:space="preserve">hard outage</w:t>
      </w:r>
      <w:r>
        <w:t xml:space="preserve">: when</w:t>
      </w:r>
      <w:r>
        <w:t xml:space="preserve"> </w:t>
      </w:r>
      <m:oMath>
        <m:sSub>
          <m:e>
            <m:r>
              <m:t>E</m:t>
            </m:r>
          </m:e>
          <m:sub>
            <m:r>
              <m:t>j</m:t>
            </m:r>
          </m:sub>
        </m:sSub>
        <m:r>
          <m:rPr>
            <m:sty m:val="p"/>
          </m:rPr>
          <m:t>/</m:t>
        </m:r>
        <m:sSub>
          <m:e>
            <m:r>
              <m:t>B</m:t>
            </m:r>
          </m:e>
          <m:sub>
            <m:r>
              <m:t>j</m:t>
            </m:r>
          </m:sub>
        </m:sSub>
        <m:r>
          <m:rPr>
            <m:sty m:val="p"/>
          </m:rPr>
          <m:t>≤</m:t>
        </m:r>
        <m:r>
          <m:t>1</m:t>
        </m:r>
        <m:r>
          <m:rPr>
            <m:sty m:val="p"/>
          </m:rPr>
          <m:t>%</m:t>
        </m:r>
      </m:oMath>
      <w:r>
        <w:t xml:space="preserve">, the server goes offline until it recharges to</w:t>
      </w:r>
      <w:r>
        <w:t xml:space="preserve"> </w:t>
      </w:r>
      <m:oMath>
        <m:r>
          <m:t>30</m:t>
        </m:r>
        <m:r>
          <m:rPr>
            <m:sty m:val="p"/>
          </m:rPr>
          <m:t>%</m:t>
        </m:r>
      </m:oMath>
      <w:r>
        <w:t xml:space="preserve">.</w:t>
      </w:r>
    </w:p>
    <w:bookmarkEnd w:id="11"/>
    <w:bookmarkStart w:id="12" w:name="b.-requests-and-categories"/>
    <w:p>
      <w:pPr>
        <w:pStyle w:val="Heading2"/>
      </w:pPr>
      <w:r>
        <w:t xml:space="preserve">B. Requests and categories</w:t>
      </w:r>
    </w:p>
    <w:p>
      <w:pPr>
        <w:pStyle w:val="FirstParagraph"/>
      </w:pPr>
      <w:r>
        <w:t xml:space="preserve">A request</w:t>
      </w:r>
      <w:r>
        <w:t xml:space="preserve"> </w:t>
      </w:r>
      <m:oMath>
        <m:r>
          <m:t>r</m:t>
        </m:r>
      </m:oMath>
      <w:r>
        <w:t xml:space="preserve"> </w:t>
      </w:r>
      <w:r>
        <w:t xml:space="preserve">arrives at origin server</w:t>
      </w:r>
      <w:r>
        <w:t xml:space="preserve"> </w:t>
      </w:r>
      <m:oMath>
        <m:sSub>
          <m:e>
            <m:r>
              <m:t>o</m:t>
            </m:r>
          </m:e>
          <m:sub>
            <m:r>
              <m:t>r</m:t>
            </m:r>
          </m:sub>
        </m:sSub>
      </m:oMath>
      <w:r>
        <w:t xml:space="preserve"> </w:t>
      </w:r>
      <w:r>
        <w:t xml:space="preserve">at time</w:t>
      </w:r>
      <w:r>
        <w:t xml:space="preserve"> </w:t>
      </w:r>
      <m:oMath>
        <m:sSub>
          <m:e>
            <m:r>
              <m:t>a</m:t>
            </m:r>
          </m:e>
          <m:sub>
            <m:r>
              <m:t>r</m:t>
            </m:r>
          </m:sub>
        </m:sSub>
      </m:oMath>
      <w:r>
        <w:t xml:space="preserve"> </w:t>
      </w:r>
      <w:r>
        <w:t xml:space="preserve">for service</w:t>
      </w:r>
      <w:r>
        <w:t xml:space="preserve"> </w:t>
      </w:r>
      <m:oMath>
        <m:sSub>
          <m:e>
            <m:r>
              <m:t>l</m:t>
            </m:r>
          </m:e>
          <m:sub>
            <m:r>
              <m:t>r</m:t>
            </m:r>
          </m:sub>
        </m:sSub>
      </m:oMath>
      <w:r>
        <w:t xml:space="preserve"> </w:t>
      </w:r>
      <w:r>
        <w:t xml:space="preserve">and carries a</w:t>
      </w:r>
      <w:r>
        <w:t xml:space="preserve"> </w:t>
      </w:r>
      <w:r>
        <w:rPr>
          <w:i/>
          <w:iCs/>
        </w:rPr>
        <w:t xml:space="preserve">sensitivity</w:t>
      </w:r>
      <w:r>
        <w:t xml:space="preserve"> </w:t>
      </w:r>
      <m:oMath>
        <m:sSub>
          <m:e>
            <m:r>
              <m:t>s</m:t>
            </m:r>
          </m:e>
          <m:sub>
            <m:r>
              <m:t>r</m:t>
            </m:r>
          </m:sub>
        </m:sSub>
        <m:r>
          <m:rPr>
            <m:sty m:val="p"/>
          </m:rPr>
          <m:t>∈</m:t>
        </m:r>
        <m:r>
          <m:rPr>
            <m:sty m:val="p"/>
          </m:rPr>
          <m:t>{</m:t>
        </m:r>
        <m:r>
          <m:t>0</m:t>
        </m:r>
        <m:r>
          <m:rPr>
            <m:sty m:val="p"/>
          </m:rPr>
          <m:t>,</m:t>
        </m:r>
        <m:r>
          <m:t>1</m:t>
        </m:r>
        <m:r>
          <m:rPr>
            <m:sty m:val="p"/>
          </m:rPr>
          <m:t>,</m:t>
        </m:r>
        <m:r>
          <m:t>2</m:t>
        </m:r>
        <m:r>
          <m:rPr>
            <m:sty m:val="p"/>
          </m:rPr>
          <m:t>}</m:t>
        </m:r>
      </m:oMath>
      <w:r>
        <w:t xml:space="preserve">. Following EPARA, each service belongs to one of four categories: latency-sensitive (LS) or frequency-sensitive (FS), crossed with</w:t>
      </w:r>
      <w:r>
        <w:t xml:space="preserve"> </w:t>
      </w:r>
      <m:oMath>
        <m:r>
          <m:rPr>
            <m:sty m:val="p"/>
          </m:rPr>
          <m:t>&lt;</m:t>
        </m:r>
        <m:r>
          <m:t>1</m:t>
        </m:r>
      </m:oMath>
      <w:r>
        <w:t xml:space="preserve"> </w:t>
      </w:r>
      <w:r>
        <w:t xml:space="preserve">or</w:t>
      </w:r>
      <w:r>
        <w:t xml:space="preserve"> </w:t>
      </w:r>
      <m:oMath>
        <m:r>
          <m:rPr>
            <m:sty m:val="p"/>
          </m:rPr>
          <m:t>&gt;</m:t>
        </m:r>
        <m:r>
          <m:t>1</m:t>
        </m:r>
      </m:oMath>
      <w:r>
        <w:t xml:space="preserve"> </w:t>
      </w:r>
      <w:r>
        <w:t xml:space="preserve">GPU. After EPARA’s operator selection, service</w:t>
      </w:r>
      <w:r>
        <w:t xml:space="preserve"> </w:t>
      </w:r>
      <m:oMath>
        <m:r>
          <m:t>l</m:t>
        </m:r>
      </m:oMath>
      <w:r>
        <w:t xml:space="preserve"> </w:t>
      </w:r>
      <w:r>
        <w:t xml:space="preserve">occupies</w:t>
      </w:r>
      <w:r>
        <w:t xml:space="preserve"> </w:t>
      </w:r>
      <m:oMath>
        <m:sSub>
          <m:e>
            <m:r>
              <m:t>m</m:t>
            </m:r>
          </m:e>
          <m:sub>
            <m:r>
              <m:t>l</m:t>
            </m:r>
          </m:sub>
        </m:sSub>
      </m:oMath>
      <w:r>
        <w:t xml:space="preserve"> </w:t>
      </w:r>
      <w:r>
        <w:t xml:space="preserve">slots for</w:t>
      </w:r>
      <w:r>
        <w:t xml:space="preserve"> </w:t>
      </w:r>
      <m:oMath>
        <m:sSub>
          <m:e>
            <m:r>
              <m:t>τ</m:t>
            </m:r>
          </m:e>
          <m:sub>
            <m:r>
              <m:t>l</m:t>
            </m:r>
          </m:sub>
        </m:sSub>
      </m:oMath>
      <w:r>
        <w:t xml:space="preserve"> </w:t>
      </w:r>
      <w:r>
        <w:t xml:space="preserve">seconds (for an FS stream, for the stream’s duration). An LS request succeeds if it completes by</w:t>
      </w:r>
      <w:r>
        <w:t xml:space="preserve"> </w:t>
      </w:r>
      <m:oMath>
        <m:sSub>
          <m:e>
            <m:r>
              <m:t>a</m:t>
            </m:r>
          </m:e>
          <m:sub>
            <m:r>
              <m:t>r</m:t>
            </m:r>
          </m:sub>
        </m:sSub>
        <m:r>
          <m:rPr>
            <m:sty m:val="p"/>
          </m:rPr>
          <m:t>+</m:t>
        </m:r>
        <m:sSub>
          <m:e>
            <m:r>
              <m:rPr>
                <m:sty m:val="p"/>
              </m:rPr>
              <m:t>S</m:t>
            </m:r>
            <m:r>
              <m:rPr>
                <m:sty m:val="p"/>
              </m:rPr>
              <m:t>L</m:t>
            </m:r>
            <m:r>
              <m:rPr>
                <m:sty m:val="p"/>
              </m:rPr>
              <m:t>O</m:t>
            </m:r>
          </m:e>
          <m:sub>
            <m:r>
              <m:t>l</m:t>
            </m:r>
          </m:sub>
        </m:sSub>
      </m:oMath>
      <w:r>
        <w:t xml:space="preserve">; an FS stream succeeds if it starts within</w:t>
      </w:r>
      <w:r>
        <w:t xml:space="preserve"> </w:t>
      </w:r>
      <m:oMath>
        <m:sSub>
          <m:e>
            <m:r>
              <m:rPr>
                <m:sty m:val="p"/>
              </m:rPr>
              <m:t>S</m:t>
            </m:r>
            <m:r>
              <m:rPr>
                <m:sty m:val="p"/>
              </m:rPr>
              <m:t>L</m:t>
            </m:r>
            <m:r>
              <m:rPr>
                <m:sty m:val="p"/>
              </m:rPr>
              <m:t>O</m:t>
            </m:r>
          </m:e>
          <m:sub>
            <m:r>
              <m:t>l</m:t>
            </m:r>
          </m:sub>
        </m:sSub>
      </m:oMath>
      <w:r>
        <w:t xml:space="preserve"> </w:t>
      </w:r>
      <w:r>
        <w:t xml:space="preserve">and runs unthrottled.</w:t>
      </w:r>
    </w:p>
    <w:bookmarkEnd w:id="12"/>
    <w:bookmarkStart w:id="13" w:name="c.-trust-constraint"/>
    <w:p>
      <w:pPr>
        <w:pStyle w:val="Heading2"/>
      </w:pPr>
      <w:r>
        <w:t xml:space="preserve">C. Trust constraint</w:t>
      </w:r>
    </w:p>
    <w:p>
      <w:pPr>
        <w:pStyle w:val="FirstParagraph"/>
      </w:pPr>
      <w:r>
        <w:t xml:space="preserve">Request</w:t>
      </w:r>
      <w:r>
        <w:t xml:space="preserve"> </w:t>
      </w:r>
      <m:oMath>
        <m:r>
          <m:t>r</m:t>
        </m:r>
      </m:oMath>
      <w:r>
        <w:t xml:space="preserve"> </w:t>
      </w:r>
      <w:r>
        <w:t xml:space="preserve">may be served by server</w:t>
      </w:r>
      <w:r>
        <w:t xml:space="preserve"> </w:t>
      </w:r>
      <m:oMath>
        <m:r>
          <m:t>j</m:t>
        </m:r>
      </m:oMath>
      <w:r>
        <w:t xml:space="preserve"> </w:t>
      </w:r>
      <w:r>
        <w:t xml:space="preserve">only if</w:t>
      </w:r>
    </w:p>
    <w:p>
      <w:pPr>
        <w:pStyle w:val="BodyText"/>
      </w:pPr>
      <m:oMathPara>
        <m:oMathParaPr>
          <m:jc m:val="center"/>
        </m:oMathParaPr>
        <m:oMath>
          <m:r>
            <m:rPr>
              <m:sty m:val="p"/>
            </m:rPr>
            <m:t>e</m:t>
          </m:r>
          <m:r>
            <m:rPr>
              <m:sty m:val="p"/>
            </m:rPr>
            <m:t>l</m:t>
          </m:r>
          <m:r>
            <m:rPr>
              <m:sty m:val="p"/>
            </m:rPr>
            <m:t>i</m:t>
          </m:r>
          <m:r>
            <m:rPr>
              <m:sty m:val="p"/>
            </m:rPr>
            <m:t>g</m:t>
          </m:r>
          <m:r>
            <m:rPr>
              <m:sty m:val="p"/>
            </m:rPr>
            <m:t>(</m:t>
          </m:r>
          <m:r>
            <m:t>r</m:t>
          </m:r>
          <m:r>
            <m:rPr>
              <m:sty m:val="p"/>
            </m:rPr>
            <m:t>,</m:t>
          </m:r>
          <m:r>
            <m:t>j</m:t>
          </m:r>
          <m:r>
            <m:rPr>
              <m:sty m:val="p"/>
            </m:rPr>
            <m:t>)</m:t>
          </m:r>
          <m:r>
            <m:t> </m:t>
          </m:r>
          <m:r>
            <m:rPr>
              <m:sty m:val="p"/>
            </m:rPr>
            <m:t>=</m:t>
          </m:r>
          <m:r>
            <m:t> </m:t>
          </m:r>
          <m:d>
            <m:dPr>
              <m:begChr m:val="["/>
              <m:sepChr m:val=""/>
              <m:endChr m:val="]"/>
              <m:grow/>
            </m:dPr>
            <m:e>
              <m:sSub>
                <m:e>
                  <m:r>
                    <m:t>c</m:t>
                  </m:r>
                </m:e>
                <m:sub>
                  <m:r>
                    <m:t>j</m:t>
                  </m:r>
                </m:sub>
              </m:sSub>
              <m:r>
                <m:rPr>
                  <m:sty m:val="p"/>
                </m:rPr>
                <m:t>≥</m:t>
              </m:r>
              <m:sSub>
                <m:e>
                  <m:r>
                    <m:t>s</m:t>
                  </m:r>
                </m:e>
                <m:sub>
                  <m:r>
                    <m:t>r</m:t>
                  </m:r>
                </m:sub>
              </m:sSub>
            </m:e>
          </m:d>
          <m:r>
            <m:t> </m:t>
          </m:r>
          <m:r>
            <m:rPr>
              <m:sty m:val="p"/>
            </m:rPr>
            <m:t>∧</m:t>
          </m:r>
          <m:r>
            <m:t> </m:t>
          </m:r>
          <m:d>
            <m:dPr>
              <m:begChr m:val="["/>
              <m:sepChr m:val=""/>
              <m:endChr m:val="]"/>
              <m:grow/>
            </m:dPr>
            <m:e>
              <m:sSub>
                <m:e>
                  <m:r>
                    <m:t>s</m:t>
                  </m:r>
                </m:e>
                <m:sub>
                  <m:r>
                    <m:t>r</m:t>
                  </m:r>
                </m:sub>
              </m:sSub>
              <m:r>
                <m:rPr>
                  <m:sty m:val="p"/>
                </m:rPr>
                <m:t>&lt;</m:t>
              </m:r>
              <m:r>
                <m:t>2</m:t>
              </m:r>
              <m:r>
                <m:t> </m:t>
              </m:r>
              <m:r>
                <m:rPr>
                  <m:sty m:val="p"/>
                </m:rPr>
                <m:t>∨</m:t>
              </m:r>
              <m:r>
                <m:t> </m:t>
              </m:r>
              <m:sSub>
                <m:e>
                  <m:r>
                    <m:t>d</m:t>
                  </m:r>
                </m:e>
                <m:sub>
                  <m:r>
                    <m:t>j</m:t>
                  </m:r>
                </m:sub>
              </m:sSub>
              <m:r>
                <m:rPr>
                  <m:sty m:val="p"/>
                </m:rPr>
                <m:t>=</m:t>
              </m:r>
              <m:sSub>
                <m:e>
                  <m:r>
                    <m:t>d</m:t>
                  </m:r>
                </m:e>
                <m:sub>
                  <m:sSub>
                    <m:e>
                      <m:r>
                        <m:t>o</m:t>
                      </m:r>
                    </m:e>
                    <m:sub>
                      <m:r>
                        <m:t>r</m:t>
                      </m:r>
                    </m:sub>
                  </m:sSub>
                </m:sub>
              </m:sSub>
            </m:e>
          </m:d>
          <m:r>
            <m:rPr>
              <m:sty m:val="p"/>
            </m:rPr>
            <m:t>.</m:t>
          </m:r>
          <m:r>
            <m:t>  </m:t>
          </m:r>
          <m:r>
            <m:rPr>
              <m:sty m:val="p"/>
            </m:rPr>
            <m:t>(</m:t>
          </m:r>
          <m:r>
            <m:t>1</m:t>
          </m:r>
          <m:r>
            <m:rPr>
              <m:sty m:val="p"/>
            </m:rPr>
            <m:t>)</m:t>
          </m:r>
        </m:oMath>
      </m:oMathPara>
    </w:p>
    <w:p>
      <w:pPr>
        <w:pStyle w:val="FirstParagraph"/>
      </w:pPr>
      <w:r>
        <w:t xml:space="preserve">Sensitivity-1 data therefore requires a certified operator, and sensitivity-2 data must additionally stay within the origin’s domain. Serving</w:t>
      </w:r>
      <w:r>
        <w:t xml:space="preserve"> </w:t>
      </w:r>
      <m:oMath>
        <m:r>
          <m:t>r</m:t>
        </m:r>
      </m:oMath>
      <w:r>
        <w:t xml:space="preserve"> </w:t>
      </w:r>
      <w:r>
        <w:t xml:space="preserve">at an ineligible server is a</w:t>
      </w:r>
      <w:r>
        <w:t xml:space="preserve"> </w:t>
      </w:r>
      <w:r>
        <w:rPr>
          <w:i/>
          <w:iCs/>
        </w:rPr>
        <w:t xml:space="preserve">trust violation</w:t>
      </w:r>
      <w:r>
        <w:t xml:space="preserve">.</w:t>
      </w:r>
    </w:p>
    <w:bookmarkEnd w:id="13"/>
    <w:bookmarkStart w:id="15" w:name="d.-objective"/>
    <w:p>
      <w:pPr>
        <w:pStyle w:val="Heading2"/>
      </w:pPr>
      <w:r>
        <w:t xml:space="preserve">D. Objective</w:t>
      </w:r>
    </w:p>
    <w:p>
      <w:pPr>
        <w:pStyle w:val="FirstParagraph"/>
      </w:pPr>
      <w:r>
        <w:t xml:space="preserve">Let</w:t>
      </w:r>
      <w:r>
        <w:t xml:space="preserve"> </w:t>
      </w:r>
      <m:oMath>
        <m:sSub>
          <m:e>
            <m:r>
              <m:t>y</m:t>
            </m:r>
          </m:e>
          <m:sub>
            <m:r>
              <m:t>r</m:t>
            </m:r>
          </m:sub>
        </m:sSub>
        <m:r>
          <m:rPr>
            <m:sty m:val="p"/>
          </m:rPr>
          <m:t>∈</m:t>
        </m:r>
        <m:r>
          <m:rPr>
            <m:sty m:val="p"/>
          </m:rPr>
          <m:t>{</m:t>
        </m:r>
        <m:r>
          <m:t>0</m:t>
        </m:r>
        <m:r>
          <m:rPr>
            <m:sty m:val="p"/>
          </m:rPr>
          <m:t>,</m:t>
        </m:r>
        <m:r>
          <m:t>1</m:t>
        </m:r>
        <m:r>
          <m:rPr>
            <m:sty m:val="p"/>
          </m:rPr>
          <m:t>}</m:t>
        </m:r>
      </m:oMath>
      <w:r>
        <w:t xml:space="preserve"> </w:t>
      </w:r>
      <w:r>
        <w:t xml:space="preserve">indicate that</w:t>
      </w:r>
      <w:r>
        <w:t xml:space="preserve"> </w:t>
      </w:r>
      <m:oMath>
        <m:r>
          <m:t>r</m:t>
        </m:r>
      </m:oMath>
      <w:r>
        <w:t xml:space="preserve"> </w:t>
      </w:r>
      <w:r>
        <w:t xml:space="preserve">met its SLO and</w:t>
      </w:r>
      <w:r>
        <w:t xml:space="preserve"> </w:t>
      </w:r>
      <m:oMath>
        <m:sSub>
          <m:e>
            <m:r>
              <m:t>v</m:t>
            </m:r>
          </m:e>
          <m:sub>
            <m:r>
              <m:t>r</m:t>
            </m:r>
          </m:sub>
        </m:sSub>
        <m:r>
          <m:rPr>
            <m:sty m:val="p"/>
          </m:rPr>
          <m:t>∈</m:t>
        </m:r>
        <m:r>
          <m:rPr>
            <m:sty m:val="p"/>
          </m:rPr>
          <m:t>{</m:t>
        </m:r>
        <m:r>
          <m:t>0</m:t>
        </m:r>
        <m:r>
          <m:rPr>
            <m:sty m:val="p"/>
          </m:rPr>
          <m:t>,</m:t>
        </m:r>
        <m:r>
          <m:t>1</m:t>
        </m:r>
        <m:r>
          <m:rPr>
            <m:sty m:val="p"/>
          </m:rPr>
          <m:t>}</m:t>
        </m:r>
      </m:oMath>
      <w:r>
        <w:t xml:space="preserve"> </w:t>
      </w:r>
      <w:r>
        <w:t xml:space="preserve">that it was served at an ineligible server. Over a horizon</w:t>
      </w:r>
      <w:r>
        <w:t xml:space="preserve"> </w:t>
      </w:r>
      <m:oMath>
        <m:r>
          <m:t>T</m:t>
        </m:r>
      </m:oMath>
      <w:r>
        <w:t xml:space="preserve"> </w:t>
      </w:r>
      <w:r>
        <w:t xml:space="preserve">we maximize</w:t>
      </w:r>
      <w:r>
        <w:t xml:space="preserve"> </w:t>
      </w:r>
      <w:r>
        <w:rPr>
          <w:i/>
          <w:iCs/>
        </w:rPr>
        <w:t xml:space="preserve">compliant goodput</w:t>
      </w:r>
    </w:p>
    <w:p>
      <w:pPr>
        <w:pStyle w:val="BodyText"/>
      </w:pPr>
      <m:oMathPara>
        <m:oMathParaPr>
          <m:jc m:val="center"/>
        </m:oMathParaPr>
        <m:oMath>
          <m:sSub>
            <m:e>
              <m:r>
                <m:t>G</m:t>
              </m:r>
            </m:e>
            <m:sub>
              <m:r>
                <m:t>c</m:t>
              </m:r>
            </m:sub>
          </m:sSub>
          <m:r>
            <m:rPr>
              <m:sty m:val="p"/>
            </m:rPr>
            <m:t>=</m:t>
          </m:r>
          <m:f>
            <m:fPr>
              <m:type m:val="bar"/>
            </m:fPr>
            <m:num>
              <m:r>
                <m:t>1</m:t>
              </m:r>
            </m:num>
            <m:den>
              <m:r>
                <m:t>T</m:t>
              </m:r>
            </m:den>
          </m:f>
          <m:nary>
            <m:naryPr>
              <m:chr m:val="∑"/>
              <m:limLoc m:val="undOvr"/>
              <m:subHide m:val="off"/>
              <m:supHide m:val="on"/>
            </m:naryPr>
            <m:sub>
              <m:r>
                <m:t>r</m:t>
              </m:r>
            </m:sub>
            <m:sup>
              <m:r>
                <m:t>​</m:t>
              </m:r>
            </m:sup>
            <m:e>
              <m:sSub>
                <m:e>
                  <m:r>
                    <m:t>y</m:t>
                  </m:r>
                </m:e>
                <m:sub>
                  <m:r>
                    <m:t>r</m:t>
                  </m:r>
                </m:sub>
              </m:sSub>
            </m:e>
          </m:nary>
          <m:r>
            <m:t> </m:t>
          </m:r>
          <m:r>
            <m:rPr>
              <m:sty m:val="p"/>
            </m:rPr>
            <m:t>(</m:t>
          </m:r>
          <m:r>
            <m:t>1</m:t>
          </m:r>
          <m:r>
            <m:rPr>
              <m:sty m:val="p"/>
            </m:rPr>
            <m:t>−</m:t>
          </m:r>
          <m:sSub>
            <m:e>
              <m:r>
                <m:t>v</m:t>
              </m:r>
            </m:e>
            <m:sub>
              <m:r>
                <m:t>r</m:t>
              </m:r>
            </m:sub>
          </m:sSub>
          <m:r>
            <m:rPr>
              <m:sty m:val="p"/>
            </m:rPr>
            <m:t>)</m:t>
          </m:r>
          <m:r>
            <m:rPr>
              <m:sty m:val="p"/>
            </m:rPr>
            <m:t>,</m:t>
          </m:r>
          <m:r>
            <m:t>  </m:t>
          </m:r>
          <m:r>
            <m:rPr>
              <m:sty m:val="p"/>
            </m:rPr>
            <m:t>(</m:t>
          </m:r>
          <m:r>
            <m:t>2</m:t>
          </m:r>
          <m:r>
            <m:rPr>
              <m:sty m:val="p"/>
            </m:rPr>
            <m:t>)</m:t>
          </m:r>
        </m:oMath>
      </m:oMathPara>
    </w:p>
    <w:p>
      <w:pPr>
        <w:pStyle w:val="FirstParagraph"/>
      </w:pPr>
      <w:r>
        <w:t xml:space="preserve">so a request counts only if it is both timely and lawful. We report compliant SLO attainment</w:t>
      </w:r>
      <w:r>
        <w:t xml:space="preserve"> </w:t>
      </w:r>
      <m:oMath>
        <m:sSub>
          <m:e>
            <m:r>
              <m:t>G</m:t>
            </m:r>
          </m:e>
          <m:sub>
            <m:r>
              <m:t>c</m:t>
            </m:r>
          </m:sub>
        </m:sSub>
        <m:r>
          <m:t>T</m:t>
        </m:r>
        <m:r>
          <m:rPr>
            <m:sty m:val="p"/>
          </m:rPr>
          <m:t>/</m:t>
        </m:r>
        <m:r>
          <m:rPr>
            <m:sty m:val="p"/>
          </m:rPr>
          <m:t>|</m:t>
        </m:r>
        <m:r>
          <m:rPr>
            <m:scr m:val="script"/>
            <m:sty m:val="p"/>
          </m:rPr>
          <m:t>R</m:t>
        </m:r>
        <m:r>
          <m:rPr>
            <m:sty m:val="p"/>
          </m:rPr>
          <m:t>|</m:t>
        </m:r>
      </m:oMath>
      <w:r>
        <w:t xml:space="preserve">, its</w:t>
      </w:r>
      <w:r>
        <w:t xml:space="preserve"> </w:t>
      </w:r>
      <w:r>
        <w:rPr>
          <w:i/>
          <w:iCs/>
        </w:rPr>
        <w:t xml:space="preserve">category-balanced</w:t>
      </w:r>
      <w:r>
        <w:t xml:space="preserve"> </w:t>
      </w:r>
      <w:r>
        <w:t xml:space="preserve">version (the mean of the four per-category values, so the most numerous category does not dominate), raw SLO attainment and the violation rate. Each server makes routing decisions independently, in microseconds, from a view of its peers refreshed every</w:t>
      </w:r>
      <w:r>
        <w:t xml:space="preserve"> </w:t>
      </w:r>
      <m:oMath>
        <m:r>
          <m:t>H</m:t>
        </m:r>
      </m:oMath>
      <w:r>
        <w:t xml:space="preserve"> </w:t>
      </w:r>
      <w:r>
        <w:t xml:space="preserve">seconds. Service placement and operator selection are taken as given; they are EPARA’s coarse-grained layers. Table I summarizes the notation.</w:t>
      </w:r>
    </w:p>
    <w:bookmarkStart w:id="14" w:name="tab:notation"/>
    <w:p>
      <w:pPr>
        <w:pStyle w:val="TableCaption"/>
      </w:pPr>
      <w:r>
        <w:t xml:space="preserve">TABLE I. Notation.</w:t>
      </w:r>
    </w:p>
    <w:tbl>
      <w:tblPr>
        <w:tblStyle w:val="Table"/>
        <w:tblW w:type="dxa" w:w="9360"/>
        <w:tblLook w:firstRow="1" w:lastRow="0" w:firstColumn="0" w:lastColumn="0" w:noHBand="0" w:noVBand="0" w:val="0020"/>
        <w:tblCaption w:val="TABLE I. Notation."/>
      </w:tblPr>
      <w:tblGrid>
        <w:gridCol w:w="2114"/>
        <w:gridCol w:w="7246"/>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r>
                <m:rPr>
                  <m:scr m:val="script"/>
                  <m:sty m:val="p"/>
                </m:rPr>
                <m:t>N</m:t>
              </m:r>
            </m:oMath>
            <w:r>
              <w:t xml:space="preserve">,</w:t>
            </w:r>
            <w:r>
              <w:t xml:space="preserve"> </w:t>
            </w:r>
            <m:oMath>
              <m:r>
                <m:t>N</m:t>
              </m:r>
            </m:oMath>
          </w:p>
        </w:tc>
        <w:tc>
          <w:tcPr/>
          <w:p>
            <w:pPr>
              <w:pStyle w:val="Compact"/>
              <w:jc w:val="left"/>
            </w:pPr>
            <w:r>
              <w:t xml:space="preserve">set and number of edge servers</w:t>
            </w:r>
          </w:p>
        </w:tc>
      </w:tr>
      <w:tr>
        <w:tc>
          <w:tcPr/>
          <w:p>
            <w:pPr>
              <w:pStyle w:val="Compact"/>
              <w:jc w:val="left"/>
            </w:pPr>
            <w:r>
              <w:t xml:space="preserve">​</w:t>
            </w:r>
            <m:oMath>
              <m:sSub>
                <m:e>
                  <m:r>
                    <m:t>S</m:t>
                  </m:r>
                </m:e>
                <m:sub>
                  <m:r>
                    <m:t>j</m:t>
                  </m:r>
                </m:sub>
              </m:sSub>
            </m:oMath>
          </w:p>
        </w:tc>
        <w:tc>
          <w:tcPr/>
          <w:p>
            <w:pPr>
              <w:pStyle w:val="Compact"/>
              <w:jc w:val="left"/>
            </w:pPr>
            <w:r>
              <w:t xml:space="preserve">GPU slots (MPS partitions) of server</w:t>
            </w:r>
            <w:r>
              <w:t xml:space="preserve"> </w:t>
            </w:r>
            <m:oMath>
              <m:r>
                <m:t>j</m:t>
              </m:r>
            </m:oMath>
          </w:p>
        </w:tc>
      </w:tr>
      <w:tr>
        <w:tc>
          <w:tcPr/>
          <w:p>
            <w:pPr>
              <w:pStyle w:val="Compact"/>
              <w:jc w:val="left"/>
            </w:pPr>
            <m:oMath>
              <m:sSub>
                <m:e>
                  <m:r>
                    <m:t>c</m:t>
                  </m:r>
                </m:e>
                <m:sub>
                  <m:r>
                    <m:t>j</m:t>
                  </m:r>
                </m:sub>
              </m:sSub>
            </m:oMath>
            <w:r>
              <w:t xml:space="preserve">,</w:t>
            </w:r>
            <w:r>
              <w:t xml:space="preserve"> </w:t>
            </w:r>
            <m:oMath>
              <m:sSub>
                <m:e>
                  <m:r>
                    <m:t>d</m:t>
                  </m:r>
                </m:e>
                <m:sub>
                  <m:r>
                    <m:t>j</m:t>
                  </m:r>
                </m:sub>
              </m:sSub>
            </m:oMath>
          </w:p>
        </w:tc>
        <w:tc>
          <w:tcPr/>
          <w:p>
            <w:pPr>
              <w:pStyle w:val="Compact"/>
              <w:jc w:val="left"/>
            </w:pPr>
            <w:r>
              <w:t xml:space="preserve">clearance level and trust domain of server</w:t>
            </w:r>
            <w:r>
              <w:t xml:space="preserve"> </w:t>
            </w:r>
            <m:oMath>
              <m:r>
                <m:t>j</m:t>
              </m:r>
            </m:oMath>
          </w:p>
        </w:tc>
      </w:tr>
      <w:tr>
        <w:tc>
          <w:tcPr/>
          <w:p>
            <w:pPr>
              <w:pStyle w:val="Compact"/>
              <w:jc w:val="left"/>
            </w:pPr>
            <w:r>
              <w:t xml:space="preserve">​</w:t>
            </w:r>
            <m:oMath>
              <m:sSub>
                <m:e>
                  <m:r>
                    <m:t>ℓ</m:t>
                  </m:r>
                </m:e>
                <m:sub>
                  <m:r>
                    <m:t>i</m:t>
                  </m:r>
                  <m:r>
                    <m:t>j</m:t>
                  </m:r>
                </m:sub>
              </m:sSub>
            </m:oMath>
          </w:p>
        </w:tc>
        <w:tc>
          <w:tcPr/>
          <w:p>
            <w:pPr>
              <w:pStyle w:val="Compact"/>
              <w:jc w:val="left"/>
            </w:pPr>
            <w:r>
              <w:t xml:space="preserve">network latency between servers</w:t>
            </w:r>
            <w:r>
              <w:t xml:space="preserve"> </w:t>
            </w:r>
            <m:oMath>
              <m:r>
                <m:t>i</m:t>
              </m:r>
            </m:oMath>
            <w:r>
              <w:t xml:space="preserve"> </w:t>
            </w:r>
            <w:r>
              <w:t xml:space="preserve">and</w:t>
            </w:r>
            <w:r>
              <w:t xml:space="preserve"> </w:t>
            </w:r>
            <m:oMath>
              <m:r>
                <m:t>j</m:t>
              </m:r>
            </m:oMath>
          </w:p>
        </w:tc>
      </w:tr>
      <w:tr>
        <w:tc>
          <w:tcPr/>
          <w:p>
            <w:pPr>
              <w:pStyle w:val="Compact"/>
              <w:jc w:val="left"/>
            </w:pPr>
            <m:oMath>
              <m:sSub>
                <m:e>
                  <m:r>
                    <m:t>P</m:t>
                  </m:r>
                </m:e>
                <m:sub>
                  <m:r>
                    <m:t>s</m:t>
                  </m:r>
                </m:sub>
              </m:sSub>
            </m:oMath>
            <w:r>
              <w:t xml:space="preserve">,</w:t>
            </w:r>
            <w:r>
              <w:t xml:space="preserve"> </w:t>
            </w:r>
            <m:oMath>
              <m:sSub>
                <m:e>
                  <m:r>
                    <m:t>κ</m:t>
                  </m:r>
                </m:e>
                <m:sub>
                  <m:r>
                    <m:t>j</m:t>
                  </m:r>
                </m:sub>
              </m:sSub>
            </m:oMath>
            <w:r>
              <w:t xml:space="preserve">,</w:t>
            </w:r>
            <w:r>
              <w:t xml:space="preserve"> </w:t>
            </w:r>
            <m:oMath>
              <m:sSub>
                <m:e>
                  <m:acc>
                    <m:accPr>
                      <m:chr m:val="‾"/>
                    </m:accPr>
                    <m:e>
                      <m:r>
                        <m:t>P</m:t>
                      </m:r>
                    </m:e>
                  </m:acc>
                </m:e>
                <m:sub>
                  <m:r>
                    <m:t>j</m:t>
                  </m:r>
                </m:sub>
              </m:sSub>
            </m:oMath>
          </w:p>
        </w:tc>
        <w:tc>
          <w:tcPr/>
          <w:p>
            <w:pPr>
              <w:pStyle w:val="Compact"/>
              <w:jc w:val="left"/>
            </w:pPr>
            <w:r>
              <w:t xml:space="preserve">slot power, energy-cap fraction, capped power</w:t>
            </w:r>
          </w:p>
        </w:tc>
      </w:tr>
      <w:tr>
        <w:tc>
          <w:tcPr/>
          <w:p>
            <w:pPr>
              <w:pStyle w:val="Compact"/>
              <w:jc w:val="left"/>
            </w:pPr>
            <m:oMath>
              <m:sSub>
                <m:e>
                  <m:r>
                    <m:t>E</m:t>
                  </m:r>
                </m:e>
                <m:sub>
                  <m:r>
                    <m:t>j</m:t>
                  </m:r>
                </m:sub>
              </m:sSub>
              <m:r>
                <m:rPr>
                  <m:sty m:val="p"/>
                </m:rPr>
                <m:t>(</m:t>
              </m:r>
              <m:r>
                <m:t>t</m:t>
              </m:r>
              <m:r>
                <m:rPr>
                  <m:sty m:val="p"/>
                </m:rPr>
                <m:t>)</m:t>
              </m:r>
            </m:oMath>
            <w:r>
              <w:t xml:space="preserve">,</w:t>
            </w:r>
            <w:r>
              <w:t xml:space="preserve"> </w:t>
            </w:r>
            <m:oMath>
              <m:sSub>
                <m:e>
                  <m:r>
                    <m:t>B</m:t>
                  </m:r>
                </m:e>
                <m:sub>
                  <m:r>
                    <m:t>j</m:t>
                  </m:r>
                </m:sub>
              </m:sSub>
            </m:oMath>
          </w:p>
        </w:tc>
        <w:tc>
          <w:tcPr/>
          <w:p>
            <w:pPr>
              <w:pStyle w:val="Compact"/>
              <w:jc w:val="left"/>
            </w:pPr>
            <w:r>
              <w:t xml:space="preserve">energy buffer level and capacity</w:t>
            </w:r>
          </w:p>
        </w:tc>
      </w:tr>
      <w:tr>
        <w:tc>
          <w:tcPr/>
          <w:p>
            <w:pPr>
              <w:pStyle w:val="Compact"/>
              <w:jc w:val="left"/>
            </w:pPr>
            <m:oMath>
              <m:sSub>
                <m:e>
                  <m:r>
                    <m:t>o</m:t>
                  </m:r>
                </m:e>
                <m:sub>
                  <m:r>
                    <m:t>r</m:t>
                  </m:r>
                </m:sub>
              </m:sSub>
            </m:oMath>
            <w:r>
              <w:t xml:space="preserve">,</w:t>
            </w:r>
            <w:r>
              <w:t xml:space="preserve"> </w:t>
            </w:r>
            <m:oMath>
              <m:sSub>
                <m:e>
                  <m:r>
                    <m:t>a</m:t>
                  </m:r>
                </m:e>
                <m:sub>
                  <m:r>
                    <m:t>r</m:t>
                  </m:r>
                </m:sub>
              </m:sSub>
            </m:oMath>
            <w:r>
              <w:t xml:space="preserve">,</w:t>
            </w:r>
            <w:r>
              <w:t xml:space="preserve"> </w:t>
            </w:r>
            <m:oMath>
              <m:sSub>
                <m:e>
                  <m:r>
                    <m:t>l</m:t>
                  </m:r>
                </m:e>
                <m:sub>
                  <m:r>
                    <m:t>r</m:t>
                  </m:r>
                </m:sub>
              </m:sSub>
            </m:oMath>
            <w:r>
              <w:t xml:space="preserve">,</w:t>
            </w:r>
            <w:r>
              <w:t xml:space="preserve"> </w:t>
            </w:r>
            <m:oMath>
              <m:sSub>
                <m:e>
                  <m:r>
                    <m:t>s</m:t>
                  </m:r>
                </m:e>
                <m:sub>
                  <m:r>
                    <m:t>r</m:t>
                  </m:r>
                </m:sub>
              </m:sSub>
            </m:oMath>
          </w:p>
        </w:tc>
        <w:tc>
          <w:tcPr/>
          <w:p>
            <w:pPr>
              <w:pStyle w:val="Compact"/>
              <w:jc w:val="left"/>
            </w:pPr>
            <w:r>
              <w:t xml:space="preserve">origin, arrival time, service and sensitivity of</w:t>
            </w:r>
            <w:r>
              <w:t xml:space="preserve"> </w:t>
            </w:r>
            <m:oMath>
              <m:r>
                <m:t>r</m:t>
              </m:r>
            </m:oMath>
          </w:p>
        </w:tc>
      </w:tr>
      <w:tr>
        <w:tc>
          <w:tcPr/>
          <w:p>
            <w:pPr>
              <w:pStyle w:val="Compact"/>
              <w:jc w:val="left"/>
            </w:pPr>
            <m:oMath>
              <m:sSub>
                <m:e>
                  <m:r>
                    <m:t>m</m:t>
                  </m:r>
                </m:e>
                <m:sub>
                  <m:r>
                    <m:t>l</m:t>
                  </m:r>
                </m:sub>
              </m:sSub>
            </m:oMath>
            <w:r>
              <w:t xml:space="preserve">,</w:t>
            </w:r>
            <w:r>
              <w:t xml:space="preserve"> </w:t>
            </w:r>
            <m:oMath>
              <m:sSub>
                <m:e>
                  <m:r>
                    <m:t>τ</m:t>
                  </m:r>
                </m:e>
                <m:sub>
                  <m:r>
                    <m:t>l</m:t>
                  </m:r>
                </m:sub>
              </m:sSub>
            </m:oMath>
            <w:r>
              <w:t xml:space="preserve">,</w:t>
            </w:r>
            <w:r>
              <w:t xml:space="preserve"> </w:t>
            </w:r>
            <m:oMath>
              <m:sSub>
                <m:e>
                  <m:r>
                    <m:rPr>
                      <m:sty m:val="p"/>
                    </m:rPr>
                    <m:t>S</m:t>
                  </m:r>
                  <m:r>
                    <m:rPr>
                      <m:sty m:val="p"/>
                    </m:rPr>
                    <m:t>L</m:t>
                  </m:r>
                  <m:r>
                    <m:rPr>
                      <m:sty m:val="p"/>
                    </m:rPr>
                    <m:t>O</m:t>
                  </m:r>
                </m:e>
                <m:sub>
                  <m:r>
                    <m:t>l</m:t>
                  </m:r>
                </m:sub>
              </m:sSub>
            </m:oMath>
          </w:p>
        </w:tc>
        <w:tc>
          <w:tcPr/>
          <w:p>
            <w:pPr>
              <w:pStyle w:val="Compact"/>
              <w:jc w:val="left"/>
            </w:pPr>
            <w:r>
              <w:t xml:space="preserve">slots, service time and SLO of service</w:t>
            </w:r>
            <w:r>
              <w:t xml:space="preserve"> </w:t>
            </w:r>
            <m:oMath>
              <m:r>
                <m:t>l</m:t>
              </m:r>
            </m:oMath>
          </w:p>
        </w:tc>
      </w:tr>
      <w:tr>
        <w:tc>
          <w:tcPr/>
          <w:p>
            <w:pPr>
              <w:pStyle w:val="Compact"/>
              <w:jc w:val="left"/>
            </w:pPr>
            <w:r>
              <w:t xml:space="preserve">​</w:t>
            </w:r>
            <m:oMath>
              <m:r>
                <m:rPr>
                  <m:sty m:val="p"/>
                </m:rPr>
                <m:t>e</m:t>
              </m:r>
              <m:r>
                <m:rPr>
                  <m:sty m:val="p"/>
                </m:rPr>
                <m:t>l</m:t>
              </m:r>
              <m:r>
                <m:rPr>
                  <m:sty m:val="p"/>
                </m:rPr>
                <m:t>i</m:t>
              </m:r>
              <m:r>
                <m:rPr>
                  <m:sty m:val="p"/>
                </m:rPr>
                <m:t>g</m:t>
              </m:r>
              <m:r>
                <m:rPr>
                  <m:sty m:val="p"/>
                </m:rPr>
                <m:t>(</m:t>
              </m:r>
              <m:r>
                <m:t>r</m:t>
              </m:r>
              <m:r>
                <m:rPr>
                  <m:sty m:val="p"/>
                </m:rPr>
                <m:t>,</m:t>
              </m:r>
              <m:r>
                <m:t>j</m:t>
              </m:r>
              <m:r>
                <m:rPr>
                  <m:sty m:val="p"/>
                </m:rPr>
                <m:t>)</m:t>
              </m:r>
            </m:oMath>
          </w:p>
        </w:tc>
        <w:tc>
          <w:tcPr/>
          <w:p>
            <w:pPr>
              <w:pStyle w:val="Compact"/>
              <w:jc w:val="left"/>
            </w:pPr>
            <w:r>
              <w:t xml:space="preserve">trust-eligibility of server</w:t>
            </w:r>
            <w:r>
              <w:t xml:space="preserve"> </w:t>
            </w:r>
            <m:oMath>
              <m:r>
                <m:t>j</m:t>
              </m:r>
            </m:oMath>
            <w:r>
              <w:t xml:space="preserve"> </w:t>
            </w:r>
            <w:r>
              <w:t xml:space="preserve">for request</w:t>
            </w:r>
            <w:r>
              <w:t xml:space="preserve"> </w:t>
            </w:r>
            <m:oMath>
              <m:r>
                <m:t>r</m:t>
              </m:r>
            </m:oMath>
            <w:r>
              <w:t xml:space="preserve">, Eq. (1)</w:t>
            </w:r>
          </w:p>
        </w:tc>
      </w:tr>
      <w:tr>
        <w:tc>
          <w:tcPr/>
          <w:p>
            <w:pPr>
              <w:pStyle w:val="Compact"/>
              <w:jc w:val="left"/>
            </w:pPr>
            <m:oMath>
              <m:sSub>
                <m:e>
                  <m:r>
                    <m:t>y</m:t>
                  </m:r>
                </m:e>
                <m:sub>
                  <m:r>
                    <m:t>r</m:t>
                  </m:r>
                </m:sub>
              </m:sSub>
            </m:oMath>
            <w:r>
              <w:t xml:space="preserve">,</w:t>
            </w:r>
            <w:r>
              <w:t xml:space="preserve"> </w:t>
            </w:r>
            <m:oMath>
              <m:sSub>
                <m:e>
                  <m:r>
                    <m:t>v</m:t>
                  </m:r>
                </m:e>
                <m:sub>
                  <m:r>
                    <m:t>r</m:t>
                  </m:r>
                </m:sub>
              </m:sSub>
            </m:oMath>
          </w:p>
        </w:tc>
        <w:tc>
          <w:tcPr/>
          <w:p>
            <w:pPr>
              <w:pStyle w:val="Compact"/>
              <w:jc w:val="left"/>
            </w:pPr>
            <w:r>
              <w:t xml:space="preserve">SLO met; trust violation</w:t>
            </w:r>
          </w:p>
        </w:tc>
      </w:tr>
      <w:tr>
        <w:tc>
          <w:tcPr/>
          <w:p>
            <w:pPr>
              <w:pStyle w:val="Compact"/>
              <w:jc w:val="left"/>
            </w:pPr>
            <w:r>
              <w:t xml:space="preserve">​</w:t>
            </w:r>
            <m:oMath>
              <m:sSub>
                <m:e>
                  <m:r>
                    <m:t>G</m:t>
                  </m:r>
                </m:e>
                <m:sub>
                  <m:r>
                    <m:t>c</m:t>
                  </m:r>
                </m:sub>
              </m:sSub>
            </m:oMath>
          </w:p>
        </w:tc>
        <w:tc>
          <w:tcPr/>
          <w:p>
            <w:pPr>
              <w:pStyle w:val="Compact"/>
              <w:jc w:val="left"/>
            </w:pPr>
            <w:r>
              <w:t xml:space="preserve">compliant goodput, Eq. (2)</w:t>
            </w:r>
          </w:p>
        </w:tc>
      </w:tr>
      <w:tr>
        <w:tc>
          <w:tcPr/>
          <w:p>
            <w:pPr>
              <w:pStyle w:val="Compact"/>
              <w:jc w:val="left"/>
            </w:pPr>
            <m:oMath>
              <m:sSub>
                <m:e>
                  <m:acc>
                    <m:accPr>
                      <m:chr m:val="̂"/>
                    </m:accPr>
                    <m:e>
                      <m:r>
                        <m:t>σ</m:t>
                      </m:r>
                    </m:e>
                  </m:acc>
                </m:e>
                <m:sub>
                  <m:r>
                    <m:t>i</m:t>
                  </m:r>
                  <m:r>
                    <m:t>j</m:t>
                  </m:r>
                </m:sub>
              </m:sSub>
            </m:oMath>
            <w:r>
              <w:t xml:space="preserve">,</w:t>
            </w:r>
            <w:r>
              <w:t xml:space="preserve"> </w:t>
            </w:r>
            <m:oMath>
              <m:sSub>
                <m:e>
                  <m:acc>
                    <m:accPr>
                      <m:chr m:val="̂"/>
                    </m:accPr>
                    <m:e>
                      <m:r>
                        <m:t>h</m:t>
                      </m:r>
                    </m:e>
                  </m:acc>
                </m:e>
                <m:sub>
                  <m:r>
                    <m:t>i</m:t>
                  </m:r>
                  <m:r>
                    <m:t>j</m:t>
                  </m:r>
                </m:sub>
              </m:sSub>
            </m:oMath>
          </w:p>
        </w:tc>
        <w:tc>
          <w:tcPr/>
          <w:p>
            <w:pPr>
              <w:pStyle w:val="Compact"/>
              <w:jc w:val="left"/>
            </w:pPr>
            <m:oMath>
              <m:r>
                <m:t>i</m:t>
              </m:r>
            </m:oMath>
            <w:r>
              <w:t xml:space="preserve">’s view of</w:t>
            </w:r>
            <w:r>
              <w:t xml:space="preserve"> </w:t>
            </w:r>
            <m:oMath>
              <m:r>
                <m:t>j</m:t>
              </m:r>
            </m:oMath>
            <w:r>
              <w:t xml:space="preserve">’s spare slots and energy headroom</w:t>
            </w:r>
          </w:p>
        </w:tc>
      </w:tr>
      <w:tr>
        <w:tc>
          <w:tcPr/>
          <w:p>
            <w:pPr>
              <w:pStyle w:val="Compact"/>
              <w:jc w:val="left"/>
            </w:pPr>
            <m:oMath>
              <m:r>
                <m:t>H</m:t>
              </m:r>
            </m:oMath>
            <w:r>
              <w:t xml:space="preserve">,</w:t>
            </w:r>
            <w:r>
              <w:t xml:space="preserve"> </w:t>
            </w:r>
            <m:oMath>
              <m:r>
                <m:rPr>
                  <m:sty m:val="p"/>
                </m:rPr>
                <m:t>Δ</m:t>
              </m:r>
            </m:oMath>
          </w:p>
        </w:tc>
        <w:tc>
          <w:tcPr/>
          <w:p>
            <w:pPr>
              <w:pStyle w:val="Compact"/>
              <w:jc w:val="left"/>
            </w:pPr>
            <w:r>
              <w:t xml:space="preserve">state-sync period; capacity horizon (0.5 s)</w:t>
            </w:r>
          </w:p>
        </w:tc>
      </w:tr>
      <w:tr>
        <w:tc>
          <w:tcPr/>
          <w:p>
            <w:pPr>
              <w:pStyle w:val="Compact"/>
              <w:jc w:val="left"/>
            </w:pPr>
            <w:r>
              <w:t xml:space="preserve">​</w:t>
            </w:r>
            <m:oMath>
              <m:sSub>
                <m:e>
                  <m:r>
                    <m:t>w</m:t>
                  </m:r>
                </m:e>
                <m:sub>
                  <m:r>
                    <m:t>i</m:t>
                  </m:r>
                  <m:r>
                    <m:t>j</m:t>
                  </m:r>
                </m:sub>
              </m:sSub>
              <m:r>
                <m:rPr>
                  <m:sty m:val="p"/>
                </m:rPr>
                <m:t>(</m:t>
              </m:r>
              <m:r>
                <m:t>r</m:t>
              </m:r>
              <m:r>
                <m:rPr>
                  <m:sty m:val="p"/>
                </m:rPr>
                <m:t>)</m:t>
              </m:r>
            </m:oMath>
          </w:p>
        </w:tc>
        <w:tc>
          <w:tcPr/>
          <w:p>
            <w:pPr>
              <w:pStyle w:val="Compact"/>
              <w:jc w:val="left"/>
            </w:pPr>
            <w:r>
              <w:t xml:space="preserve">offload weight, Eq. (3)</w:t>
            </w:r>
          </w:p>
        </w:tc>
      </w:tr>
      <w:tr>
        <w:tc>
          <w:tcPr/>
          <w:p>
            <w:pPr>
              <w:pStyle w:val="Compact"/>
              <w:jc w:val="left"/>
            </w:pPr>
            <w:r>
              <w:t xml:space="preserve">​</w:t>
            </w:r>
            <m:oMath>
              <m:r>
                <m:t>γ</m:t>
              </m:r>
            </m:oMath>
          </w:p>
        </w:tc>
        <w:tc>
          <w:tcPr/>
          <w:p>
            <w:pPr>
              <w:pStyle w:val="Compact"/>
              <w:jc w:val="left"/>
            </w:pPr>
            <w:r>
              <w:t xml:space="preserve">best-fit strength (</w:t>
            </w:r>
            <m:oMath>
              <m:r>
                <m:t>γ</m:t>
              </m:r>
              <m:r>
                <m:rPr>
                  <m:sty m:val="p"/>
                </m:rPr>
                <m:t>=</m:t>
              </m:r>
              <m:r>
                <m:t>1</m:t>
              </m:r>
            </m:oMath>
            <w:r>
              <w:t xml:space="preserve">: plain trust filter)</w:t>
            </w:r>
          </w:p>
        </w:tc>
      </w:tr>
      <w:tr>
        <w:tc>
          <w:tcPr/>
          <w:p>
            <w:pPr>
              <w:pStyle w:val="Compact"/>
              <w:jc w:val="left"/>
            </w:pPr>
            <m:oMath>
              <m:r>
                <m:t>β</m:t>
              </m:r>
            </m:oMath>
            <w:r>
              <w:t xml:space="preserve">,</w:t>
            </w:r>
            <w:r>
              <w:t xml:space="preserve"> </w:t>
            </w:r>
            <m:oMath>
              <m:r>
                <m:t>θ</m:t>
              </m:r>
            </m:oMath>
          </w:p>
        </w:tc>
        <w:tc>
          <w:tcPr/>
          <w:p>
            <w:pPr>
              <w:pStyle w:val="Compact"/>
              <w:jc w:val="left"/>
            </w:pPr>
            <w:r>
              <w:t xml:space="preserve">energy-weight exponent; retention threshold</w:t>
            </w:r>
          </w:p>
        </w:tc>
      </w:tr>
      <w:tr>
        <w:tc>
          <w:tcPr/>
          <w:p>
            <w:pPr>
              <w:pStyle w:val="Compact"/>
              <w:jc w:val="left"/>
            </w:pPr>
            <w:r>
              <w:t xml:space="preserve">​</w:t>
            </w:r>
            <m:oMath>
              <m:sSub>
                <m:e>
                  <m:r>
                    <m:t>K</m:t>
                  </m:r>
                </m:e>
                <m:sub>
                  <m:r>
                    <m:rPr>
                      <m:sty m:val="p"/>
                    </m:rPr>
                    <m:t>max</m:t>
                  </m:r>
                </m:sub>
              </m:sSub>
            </m:oMath>
          </w:p>
        </w:tc>
        <w:tc>
          <w:tcPr/>
          <w:p>
            <w:pPr>
              <w:pStyle w:val="Compact"/>
              <w:jc w:val="left"/>
            </w:pPr>
            <w:r>
              <w:t xml:space="preserve">maximum forwards per request</w:t>
            </w:r>
          </w:p>
        </w:tc>
      </w:tr>
    </w:tbl>
    <w:bookmarkEnd w:id="14"/>
    <w:bookmarkEnd w:id="15"/>
    <w:bookmarkEnd w:id="16"/>
    <w:bookmarkStart w:id="24" w:name="iv.-design-of-trace"/>
    <w:p>
      <w:pPr>
        <w:pStyle w:val="Heading1"/>
      </w:pPr>
      <w:r>
        <w:t xml:space="preserve">IV. Design of</w:t>
      </w:r>
      <w:r>
        <w:t xml:space="preserve"> </w:t>
      </w:r>
      <w:r>
        <w:rPr>
          <w:smallCaps/>
        </w:rPr>
        <w:t xml:space="preserve">Trace</w:t>
      </w:r>
    </w:p>
    <w:bookmarkStart w:id="20" w:name="fig:arch"/>
    <w:p>
      <w:pPr>
        <w:pStyle w:val="CaptionedFigure"/>
      </w:pPr>
      <w:r>
        <w:drawing>
          <wp:inline>
            <wp:extent cx="5943600" cy="2396739"/>
            <wp:effectExtent b="0" l="0" r="0" t="0"/>
            <wp:docPr descr="" title="" id="18" name="Picture"/>
            <a:graphic>
              <a:graphicData uri="http://schemas.openxmlformats.org/drawingml/2006/picture">
                <pic:pic>
                  <pic:nvPicPr>
                    <pic:cNvPr descr="docx_build/fig_arch.png" id="19" name="Picture"/>
                    <pic:cNvPicPr>
                      <a:picLocks noChangeArrowheads="1" noChangeAspect="1"/>
                    </pic:cNvPicPr>
                  </pic:nvPicPr>
                  <pic:blipFill>
                    <a:blip r:embed="rId17"/>
                    <a:stretch>
                      <a:fillRect/>
                    </a:stretch>
                  </pic:blipFill>
                  <pic:spPr bwMode="auto">
                    <a:xfrm>
                      <a:off x="0" y="0"/>
                      <a:ext cx="5943600" cy="2396739"/>
                    </a:xfrm>
                    <a:prstGeom prst="rect">
                      <a:avLst/>
                    </a:prstGeom>
                    <a:noFill/>
                    <a:ln w="9525">
                      <a:noFill/>
                      <a:headEnd/>
                      <a:tailEnd/>
                    </a:ln>
                  </pic:spPr>
                </pic:pic>
              </a:graphicData>
            </a:graphic>
          </wp:inline>
        </w:drawing>
      </w:r>
    </w:p>
    <w:p>
      <w:pPr>
        <w:pStyle w:val="ImageCaption"/>
      </w:pPr>
      <w:r>
        <w:t xml:space="preserve">Fig. 1. Overview of</w:t>
      </w:r>
      <w:r>
        <w:t xml:space="preserve"> </w:t>
      </w:r>
      <w:r>
        <w:rPr>
          <w:smallCaps/>
        </w:rPr>
        <w:t xml:space="preserve">Trace</w:t>
      </w:r>
      <w:r>
        <w:t xml:space="preserve">. Left: edge servers carry a clearance level</w:t>
      </w:r>
      <w:r>
        <w:t xml:space="preserve"> </w:t>
      </w:r>
      <m:oMath>
        <m:r>
          <m:t>c</m:t>
        </m:r>
      </m:oMath>
      <w:r>
        <w:t xml:space="preserve"> </w:t>
      </w:r>
      <w:r>
        <w:t xml:space="preserve">and a trust domain</w:t>
      </w:r>
      <w:r>
        <w:t xml:space="preserve"> </w:t>
      </w:r>
      <m:oMath>
        <m:r>
          <m:t>d</m:t>
        </m:r>
      </m:oMath>
      <w:r>
        <w:t xml:space="preserve"> </w:t>
      </w:r>
      <w:r>
        <w:t xml:space="preserve">(fill colour) and exchange state over a ring every</w:t>
      </w:r>
      <w:r>
        <w:t xml:space="preserve"> </w:t>
      </w:r>
      <m:oMath>
        <m:r>
          <m:t>H</m:t>
        </m:r>
      </m:oMath>
      <w:r>
        <w:t xml:space="preserve"> </w:t>
      </w:r>
      <w:r>
        <w:t xml:space="preserve">seconds; the cloud tier runs EPARA’s periodic placement. A request with sensitivity</w:t>
      </w:r>
      <w:r>
        <w:t xml:space="preserve"> </w:t>
      </w:r>
      <m:oMath>
        <m:sSub>
          <m:e>
            <m:r>
              <m:t>s</m:t>
            </m:r>
          </m:e>
          <m:sub>
            <m:r>
              <m:t>r</m:t>
            </m:r>
          </m:sub>
        </m:sSub>
      </m:oMath>
      <w:r>
        <w:t xml:space="preserve"> </w:t>
      </w:r>
      <w:r>
        <w:t xml:space="preserve">may only be offloaded to an eligible server (green arrow); an offload of a sensitivity-2 request to a clearance-0 server is blocked (red). Right: the per-request decision path executed by every server.</w:t>
      </w:r>
    </w:p>
    <w:bookmarkEnd w:id="20"/>
    <w:p>
      <w:pPr>
        <w:pStyle w:val="BodyText"/>
      </w:pPr>
      <w:r>
        <w:t xml:space="preserve">Fig. 1 summarizes the design.</w:t>
      </w:r>
      <w:r>
        <w:t xml:space="preserve"> </w:t>
      </w:r>
      <w:r>
        <w:rPr>
          <w:smallCaps/>
        </w:rPr>
        <w:t xml:space="preserve">Trace</w:t>
      </w:r>
      <w:r>
        <w:t xml:space="preserve"> </w:t>
      </w:r>
      <w:r>
        <w:t xml:space="preserve">replaces EPARA’s request handler; the operator allocator and service placement are unchanged. Each server</w:t>
      </w:r>
      <w:r>
        <w:t xml:space="preserve"> </w:t>
      </w:r>
      <m:oMath>
        <m:r>
          <m:t>i</m:t>
        </m:r>
      </m:oMath>
      <w:r>
        <w:t xml:space="preserve"> </w:t>
      </w:r>
      <w:r>
        <w:t xml:space="preserve">keeps a view of every peer</w:t>
      </w:r>
      <w:r>
        <w:t xml:space="preserve"> </w:t>
      </w:r>
      <m:oMath>
        <m:r>
          <m:t>j</m:t>
        </m:r>
      </m:oMath>
      <w:r>
        <w:t xml:space="preserve">: spare slots</w:t>
      </w:r>
      <w:r>
        <w:t xml:space="preserve"> </w:t>
      </w:r>
      <m:oMath>
        <m:sSub>
          <m:e>
            <m:acc>
              <m:accPr>
                <m:chr m:val="̂"/>
              </m:accPr>
              <m:e>
                <m:r>
                  <m:t>σ</m:t>
                </m:r>
              </m:e>
            </m:acc>
          </m:e>
          <m:sub>
            <m:r>
              <m:t>i</m:t>
            </m:r>
            <m:r>
              <m:t>j</m:t>
            </m:r>
          </m:sub>
        </m:sSub>
      </m:oMath>
      <w:r>
        <w:t xml:space="preserve"> </w:t>
      </w:r>
      <w:r>
        <w:t xml:space="preserve">over a</w:t>
      </w:r>
      <w:r>
        <w:t xml:space="preserve"> </w:t>
      </w:r>
      <m:oMath>
        <m:r>
          <m:rPr>
            <m:sty m:val="p"/>
          </m:rPr>
          <m:t>Δ</m:t>
        </m:r>
        <m:r>
          <m:rPr>
            <m:sty m:val="p"/>
          </m:rPr>
          <m:t>=</m:t>
        </m:r>
        <m:r>
          <m:t>0.5</m:t>
        </m:r>
      </m:oMath>
      <w:r>
        <w:t xml:space="preserve"> s horizon and energy headroom</w:t>
      </w:r>
      <w:r>
        <w:t xml:space="preserve"> </w:t>
      </w:r>
      <m:oMath>
        <m:sSub>
          <m:e>
            <m:acc>
              <m:accPr>
                <m:chr m:val="̂"/>
              </m:accPr>
              <m:e>
                <m:r>
                  <m:t>h</m:t>
                </m:r>
              </m:e>
            </m:acc>
          </m:e>
          <m:sub>
            <m:r>
              <m:t>i</m:t>
            </m:r>
            <m:r>
              <m:t>j</m:t>
            </m:r>
          </m:sub>
        </m:sSub>
        <m:r>
          <m:rPr>
            <m:sty m:val="p"/>
          </m:rPr>
          <m:t>=</m:t>
        </m:r>
        <m:sSub>
          <m:e>
            <m:r>
              <m:t>E</m:t>
            </m:r>
          </m:e>
          <m:sub>
            <m:r>
              <m:t>j</m:t>
            </m:r>
          </m:sub>
        </m:sSub>
        <m:r>
          <m:rPr>
            <m:sty m:val="p"/>
          </m:rPr>
          <m:t>/</m:t>
        </m:r>
        <m:sSub>
          <m:e>
            <m:r>
              <m:t>B</m:t>
            </m:r>
          </m:e>
          <m:sub>
            <m:r>
              <m:t>j</m:t>
            </m:r>
          </m:sub>
        </m:sSub>
      </m:oMath>
      <w:r>
        <w:t xml:space="preserve">, both taken from the last synchronization and debited locally by</w:t>
      </w:r>
      <w:r>
        <w:t xml:space="preserve"> </w:t>
      </w:r>
      <m:oMath>
        <m:r>
          <m:t>i</m:t>
        </m:r>
      </m:oMath>
      <w:r>
        <w:t xml:space="preserve">’s own offloads since then.</w:t>
      </w:r>
    </w:p>
    <w:bookmarkStart w:id="21" w:name="X7b2b3600bd251b767e8304dfd7347b354917341"/>
    <w:p>
      <w:pPr>
        <w:pStyle w:val="Heading2"/>
      </w:pPr>
      <w:r>
        <w:t xml:space="preserve">A. Trust-filtered, capacity-proportional offloading</w:t>
      </w:r>
    </w:p>
    <w:p>
      <w:pPr>
        <w:pStyle w:val="FirstParagraph"/>
      </w:pPr>
      <w:r>
        <w:t xml:space="preserve">On arrival at server</w:t>
      </w:r>
      <w:r>
        <w:t xml:space="preserve"> </w:t>
      </w:r>
      <m:oMath>
        <m:r>
          <m:t>i</m:t>
        </m:r>
      </m:oMath>
      <w:r>
        <w:t xml:space="preserve"> </w:t>
      </w:r>
      <w:r>
        <w:t xml:space="preserve">(the origin or a forwarding peer),</w:t>
      </w:r>
      <w:r>
        <w:t xml:space="preserve"> </w:t>
      </w:r>
      <m:oMath>
        <m:r>
          <m:t>r</m:t>
        </m:r>
      </m:oMath>
      <w:r>
        <w:t xml:space="preserve"> </w:t>
      </w:r>
      <w:r>
        <w:t xml:space="preserve">is served locally if</w:t>
      </w:r>
      <w:r>
        <w:t xml:space="preserve"> </w:t>
      </w:r>
      <m:oMath>
        <m:r>
          <m:t>i</m:t>
        </m:r>
      </m:oMath>
      <w:r>
        <w:t xml:space="preserve"> </w:t>
      </w:r>
      <w:r>
        <w:t xml:space="preserve">is eligible, online and can meet the SLO. Otherwise</w:t>
      </w:r>
      <w:r>
        <w:t xml:space="preserve"> </w:t>
      </w:r>
      <m:oMath>
        <m:r>
          <m:t>i</m:t>
        </m:r>
      </m:oMath>
      <w:r>
        <w:t xml:space="preserve"> </w:t>
      </w:r>
      <w:r>
        <w:t xml:space="preserve">samples a peer</w:t>
      </w:r>
      <w:r>
        <w:t xml:space="preserve"> </w:t>
      </w:r>
      <m:oMath>
        <m:r>
          <m:t>j</m:t>
        </m:r>
      </m:oMath>
      <w:r>
        <w:t xml:space="preserve"> </w:t>
      </w:r>
      <w:r>
        <w:t xml:space="preserve">with probability proportional to</w:t>
      </w:r>
    </w:p>
    <w:p>
      <w:pPr>
        <w:pStyle w:val="BodyText"/>
      </w:pPr>
      <m:oMathPara>
        <m:oMathParaPr>
          <m:jc m:val="center"/>
        </m:oMathParaPr>
        <m:oMath>
          <m:sSub>
            <m:e>
              <m:r>
                <m:t>w</m:t>
              </m:r>
            </m:e>
            <m:sub>
              <m:r>
                <m:t>i</m:t>
              </m:r>
              <m:r>
                <m:t>j</m:t>
              </m:r>
            </m:sub>
          </m:sSub>
          <m:r>
            <m:rPr>
              <m:sty m:val="p"/>
            </m:rPr>
            <m:t>(</m:t>
          </m:r>
          <m:r>
            <m:t>r</m:t>
          </m:r>
          <m:r>
            <m:rPr>
              <m:sty m:val="p"/>
            </m:rPr>
            <m:t>)</m:t>
          </m:r>
          <m:r>
            <m:rPr>
              <m:sty m:val="p"/>
            </m:rPr>
            <m:t>=</m:t>
          </m:r>
          <m:r>
            <m:rPr>
              <m:sty m:val="p"/>
            </m:rPr>
            <m:t>e</m:t>
          </m:r>
          <m:r>
            <m:rPr>
              <m:sty m:val="p"/>
            </m:rPr>
            <m:t>l</m:t>
          </m:r>
          <m:r>
            <m:rPr>
              <m:sty m:val="p"/>
            </m:rPr>
            <m:t>i</m:t>
          </m:r>
          <m:r>
            <m:rPr>
              <m:sty m:val="p"/>
            </m:rPr>
            <m:t>g</m:t>
          </m:r>
          <m:r>
            <m:rPr>
              <m:sty m:val="p"/>
            </m:rPr>
            <m:t>(</m:t>
          </m:r>
          <m:r>
            <m:t>r</m:t>
          </m:r>
          <m:r>
            <m:rPr>
              <m:sty m:val="p"/>
            </m:rPr>
            <m:t>,</m:t>
          </m:r>
          <m:r>
            <m:t>j</m:t>
          </m:r>
          <m:r>
            <m:rPr>
              <m:sty m:val="p"/>
            </m:rPr>
            <m:t>)</m:t>
          </m:r>
          <m:r>
            <m:rPr>
              <m:sty m:val="p"/>
            </m:rPr>
            <m:t>⋅</m:t>
          </m:r>
          <m:r>
            <m:t>ϕ</m:t>
          </m:r>
          <m:r>
            <m:rPr>
              <m:sty m:val="p"/>
            </m:rPr>
            <m:t>(</m:t>
          </m:r>
          <m:sSub>
            <m:e>
              <m:acc>
                <m:accPr>
                  <m:chr m:val="̂"/>
                </m:accPr>
                <m:e>
                  <m:r>
                    <m:t>σ</m:t>
                  </m:r>
                </m:e>
              </m:acc>
            </m:e>
            <m:sub>
              <m:r>
                <m:t>i</m:t>
              </m:r>
              <m:r>
                <m:t>j</m:t>
              </m:r>
            </m:sub>
          </m:sSub>
          <m:r>
            <m:rPr>
              <m:sty m:val="p"/>
            </m:rPr>
            <m:t>,</m:t>
          </m:r>
          <m:sSub>
            <m:e>
              <m:r>
                <m:t>m</m:t>
              </m:r>
            </m:e>
            <m:sub>
              <m:sSub>
                <m:e>
                  <m:r>
                    <m:t>l</m:t>
                  </m:r>
                </m:e>
                <m:sub>
                  <m:r>
                    <m:t>r</m:t>
                  </m:r>
                </m:sub>
              </m:sSub>
            </m:sub>
          </m:sSub>
          <m:r>
            <m:rPr>
              <m:sty m:val="p"/>
            </m:rPr>
            <m:t>)</m:t>
          </m:r>
          <m:r>
            <m:rPr>
              <m:sty m:val="p"/>
            </m:rPr>
            <m:t>⋅</m:t>
          </m:r>
          <m:f>
            <m:fPr>
              <m:type m:val="bar"/>
            </m:fPr>
            <m:num>
              <m:r>
                <m:t>1</m:t>
              </m:r>
            </m:num>
            <m:den>
              <m:r>
                <m:t>1</m:t>
              </m:r>
              <m:r>
                <m:rPr>
                  <m:sty m:val="p"/>
                </m:rPr>
                <m:t>+</m:t>
              </m:r>
              <m:sSub>
                <m:e>
                  <m:r>
                    <m:t>ℓ</m:t>
                  </m:r>
                </m:e>
                <m:sub>
                  <m:r>
                    <m:t>i</m:t>
                  </m:r>
                  <m:r>
                    <m:t>j</m:t>
                  </m:r>
                </m:sub>
              </m:sSub>
              <m:r>
                <m:rPr>
                  <m:sty m:val="p"/>
                </m:rPr>
                <m:t>/</m:t>
              </m:r>
              <m:sSub>
                <m:e>
                  <m:r>
                    <m:t>ℓ</m:t>
                  </m:r>
                </m:e>
                <m:sub>
                  <m:r>
                    <m:t>0</m:t>
                  </m:r>
                </m:sub>
              </m:sSub>
            </m:den>
          </m:f>
          <m:r>
            <m:rPr>
              <m:sty m:val="p"/>
            </m:rPr>
            <m:t>⋅</m:t>
          </m:r>
          <m:sSup>
            <m:e>
              <m:r>
                <m:t>γ</m:t>
              </m:r>
            </m:e>
            <m:sup>
              <m:r>
                <m:rPr>
                  <m:sty m:val="p"/>
                </m:rPr>
                <m:t>max</m:t>
              </m:r>
              <m:r>
                <m:rPr>
                  <m:sty m:val="p"/>
                </m:rPr>
                <m:t>(</m:t>
              </m:r>
              <m:r>
                <m:t>0</m:t>
              </m:r>
              <m:r>
                <m:rPr>
                  <m:sty m:val="p"/>
                </m:rPr>
                <m:t>,</m:t>
              </m:r>
              <m:r>
                <m:t> </m:t>
              </m:r>
              <m:sSub>
                <m:e>
                  <m:r>
                    <m:t>c</m:t>
                  </m:r>
                </m:e>
                <m:sub>
                  <m:r>
                    <m:t>j</m:t>
                  </m:r>
                </m:sub>
              </m:sSub>
              <m:r>
                <m:rPr>
                  <m:sty m:val="p"/>
                </m:rPr>
                <m:t>−</m:t>
              </m:r>
              <m:sSub>
                <m:e>
                  <m:r>
                    <m:t>s</m:t>
                  </m:r>
                </m:e>
                <m:sub>
                  <m:r>
                    <m:t>r</m:t>
                  </m:r>
                </m:sub>
              </m:sSub>
              <m:r>
                <m:rPr>
                  <m:sty m:val="p"/>
                </m:rPr>
                <m:t>)</m:t>
              </m:r>
            </m:sup>
          </m:sSup>
          <m:r>
            <m:rPr>
              <m:sty m:val="p"/>
            </m:rPr>
            <m:t>,</m:t>
          </m:r>
          <m:r>
            <m:t>  </m:t>
          </m:r>
          <m:r>
            <m:rPr>
              <m:sty m:val="p"/>
            </m:rPr>
            <m:t>(</m:t>
          </m:r>
          <m:r>
            <m:t>3</m:t>
          </m:r>
          <m:r>
            <m:rPr>
              <m:sty m:val="p"/>
            </m:rPr>
            <m:t>)</m:t>
          </m:r>
        </m:oMath>
      </m:oMathPara>
    </w:p>
    <w:p>
      <w:pPr>
        <w:pStyle w:val="FirstParagraph"/>
      </w:pPr>
      <w:r>
        <w:t xml:space="preserve">where</w:t>
      </w:r>
      <w:r>
        <w:t xml:space="preserve"> </w:t>
      </w:r>
      <m:oMath>
        <m:r>
          <m:t>ϕ</m:t>
        </m:r>
        <m:r>
          <m:rPr>
            <m:sty m:val="p"/>
          </m:rPr>
          <m:t>(</m:t>
        </m:r>
        <m:r>
          <m:t>σ</m:t>
        </m:r>
        <m:r>
          <m:rPr>
            <m:sty m:val="p"/>
          </m:rPr>
          <m:t>,</m:t>
        </m:r>
        <m:r>
          <m:t>m</m:t>
        </m:r>
        <m:r>
          <m:rPr>
            <m:sty m:val="p"/>
          </m:rPr>
          <m:t>)</m:t>
        </m:r>
        <m:r>
          <m:rPr>
            <m:sty m:val="p"/>
          </m:rPr>
          <m:t>=</m:t>
        </m:r>
        <m:r>
          <m:t>σ</m:t>
        </m:r>
      </m:oMath>
      <w:r>
        <w:t xml:space="preserve"> </w:t>
      </w:r>
      <w:r>
        <w:t xml:space="preserve">if</w:t>
      </w:r>
      <w:r>
        <w:t xml:space="preserve"> </w:t>
      </w:r>
      <m:oMath>
        <m:r>
          <m:t>σ</m:t>
        </m:r>
        <m:r>
          <m:rPr>
            <m:sty m:val="p"/>
          </m:rPr>
          <m:t>≥</m:t>
        </m:r>
        <m:r>
          <m:t>m</m:t>
        </m:r>
      </m:oMath>
      <w:r>
        <w:t xml:space="preserve"> </w:t>
      </w:r>
      <w:r>
        <w:t xml:space="preserve">and</w:t>
      </w:r>
      <w:r>
        <w:t xml:space="preserve"> </w:t>
      </w:r>
      <m:oMath>
        <m:r>
          <m:t>0.05</m:t>
        </m:r>
        <m:r>
          <m:t> </m:t>
        </m:r>
        <m:r>
          <m:t>σ</m:t>
        </m:r>
      </m:oMath>
      <w:r>
        <w:t xml:space="preserve"> </w:t>
      </w:r>
      <w:r>
        <w:t xml:space="preserve">otherwise (prefer peers that fit),</w:t>
      </w:r>
      <w:r>
        <w:t xml:space="preserve"> </w:t>
      </w:r>
      <m:oMath>
        <m:sSub>
          <m:e>
            <m:r>
              <m:t>ℓ</m:t>
            </m:r>
          </m:e>
          <m:sub>
            <m:r>
              <m:t>0</m:t>
            </m:r>
          </m:sub>
        </m:sSub>
        <m:r>
          <m:rPr>
            <m:sty m:val="p"/>
          </m:rPr>
          <m:t>=</m:t>
        </m:r>
        <m:r>
          <m:t>20</m:t>
        </m:r>
      </m:oMath>
      <w:r>
        <w:t xml:space="preserve"> ms, and already visited servers are excluded. A request is forwarded at most</w:t>
      </w:r>
      <w:r>
        <w:t xml:space="preserve"> </w:t>
      </w:r>
      <m:oMath>
        <m:sSub>
          <m:e>
            <m:r>
              <m:t>K</m:t>
            </m:r>
          </m:e>
          <m:sub>
            <m:r>
              <m:rPr>
                <m:sty m:val="p"/>
              </m:rPr>
              <m:t>max</m:t>
            </m:r>
          </m:sub>
        </m:sSub>
        <m:r>
          <m:rPr>
            <m:sty m:val="p"/>
          </m:rPr>
          <m:t>=</m:t>
        </m:r>
        <m:r>
          <m:t>2</m:t>
        </m:r>
      </m:oMath>
      <w:r>
        <w:t xml:space="preserve"> </w:t>
      </w:r>
      <w:r>
        <w:t xml:space="preserve">times; if no eligible peer remains, it is served late at the last eligible server or dropped. Sampling rather than picking the arg-max keeps the router robust to stale views </w:t>
      </w:r>
      <w:r>
        <w:t xml:space="preserve">[20]</w:t>
      </w:r>
      <w:r>
        <w:t xml:space="preserve">.</w:t>
      </w:r>
    </w:p>
    <w:bookmarkEnd w:id="21"/>
    <w:bookmarkStart w:id="22" w:name="b.-best-fit-clearance"/>
    <w:p>
      <w:pPr>
        <w:pStyle w:val="Heading2"/>
      </w:pPr>
      <w:r>
        <w:t xml:space="preserve">B. Best-fit clearance</w:t>
      </w:r>
    </w:p>
    <w:p>
      <w:pPr>
        <w:pStyle w:val="FirstParagraph"/>
      </w:pPr>
      <w:r>
        <w:t xml:space="preserve">The last factor in (3), with</w:t>
      </w:r>
      <w:r>
        <w:t xml:space="preserve"> </w:t>
      </w:r>
      <m:oMath>
        <m:r>
          <m:t>γ</m:t>
        </m:r>
        <m:r>
          <m:rPr>
            <m:sty m:val="p"/>
          </m:rPr>
          <m:t>∈</m:t>
        </m:r>
        <m:r>
          <m:rPr>
            <m:sty m:val="p"/>
          </m:rPr>
          <m:t>(</m:t>
        </m:r>
        <m:r>
          <m:t>0</m:t>
        </m:r>
        <m:r>
          <m:rPr>
            <m:sty m:val="p"/>
          </m:rPr>
          <m:t>,</m:t>
        </m:r>
        <m:r>
          <m:t>1</m:t>
        </m:r>
        <m:r>
          <m:rPr>
            <m:sty m:val="p"/>
          </m:rPr>
          <m:t>]</m:t>
        </m:r>
      </m:oMath>
      <w:r>
        <w:t xml:space="preserve">, makes a request prefer the</w:t>
      </w:r>
      <w:r>
        <w:t xml:space="preserve"> </w:t>
      </w:r>
      <w:r>
        <w:rPr>
          <w:i/>
          <w:iCs/>
        </w:rPr>
        <w:t xml:space="preserve">least</w:t>
      </w:r>
      <w:r>
        <w:t xml:space="preserve"> </w:t>
      </w:r>
      <w:r>
        <w:t xml:space="preserve">clearance that suffices. Without it, non-sensitive requests consume capacity on high-clearance servers, which are the only legal destinations for sensitive requests—the same fragmentation that best-fit addresses in bin packing.</w:t>
      </w:r>
      <w:r>
        <w:t xml:space="preserve"> </w:t>
      </w:r>
      <m:oMath>
        <m:r>
          <m:t>γ</m:t>
        </m:r>
        <m:r>
          <m:rPr>
            <m:sty m:val="p"/>
          </m:rPr>
          <m:t>=</m:t>
        </m:r>
        <m:r>
          <m:t>1</m:t>
        </m:r>
      </m:oMath>
      <w:r>
        <w:t xml:space="preserve"> </w:t>
      </w:r>
      <w:r>
        <w:t xml:space="preserve">recovers the plain trust filter (TF);</w:t>
      </w:r>
      <w:r>
        <w:t xml:space="preserve"> </w:t>
      </w:r>
      <w:r>
        <w:rPr>
          <w:smallCaps/>
        </w:rPr>
        <w:t xml:space="preserve">Trace</w:t>
      </w:r>
      <w:r>
        <w:t xml:space="preserve"> </w:t>
      </w:r>
      <w:r>
        <w:t xml:space="preserve">uses</w:t>
      </w:r>
      <w:r>
        <w:t xml:space="preserve"> </w:t>
      </w:r>
      <m:oMath>
        <m:r>
          <m:t>γ</m:t>
        </m:r>
        <m:r>
          <m:rPr>
            <m:sty m:val="p"/>
          </m:rPr>
          <m:t>=</m:t>
        </m:r>
        <m:r>
          <m:t>0.3</m:t>
        </m:r>
      </m:oMath>
      <w:r>
        <w:t xml:space="preserve">.</w:t>
      </w:r>
    </w:p>
    <w:bookmarkEnd w:id="22"/>
    <w:bookmarkStart w:id="23" w:name="c.-energy-aware-variants-studied"/>
    <w:p>
      <w:pPr>
        <w:pStyle w:val="Heading2"/>
      </w:pPr>
      <w:r>
        <w:t xml:space="preserve">C. Energy-aware variants studied</w:t>
      </w:r>
    </w:p>
    <w:p>
      <w:pPr>
        <w:pStyle w:val="FirstParagraph"/>
      </w:pPr>
      <w:r>
        <w:t xml:space="preserve">To test the hypothesis that the offload score should also account for energy, we evaluate four extensions of TF:</w:t>
      </w:r>
      <w:r>
        <w:t xml:space="preserve"> </w:t>
      </w:r>
      <w:r>
        <w:rPr>
          <w:b/>
          <w:bCs/>
        </w:rPr>
        <w:t xml:space="preserve">EW</w:t>
      </w:r>
      <w:r>
        <w:t xml:space="preserve"> </w:t>
      </w:r>
      <w:r>
        <w:t xml:space="preserve">multiplies (3) by</w:t>
      </w:r>
      <w:r>
        <w:t xml:space="preserve"> </w:t>
      </w:r>
      <m:oMath>
        <m:sSubSup>
          <m:e>
            <m:acc>
              <m:accPr>
                <m:chr m:val="̂"/>
              </m:accPr>
              <m:e>
                <m:r>
                  <m:t>h</m:t>
                </m:r>
              </m:e>
            </m:acc>
          </m:e>
          <m:sub>
            <m:r>
              <m:t>i</m:t>
            </m:r>
            <m:r>
              <m:t>j</m:t>
            </m:r>
          </m:sub>
          <m:sup>
            <m:r>
              <m:t>β</m:t>
            </m:r>
          </m:sup>
        </m:sSubSup>
      </m:oMath>
      <w:r>
        <w:t xml:space="preserve">;</w:t>
      </w:r>
      <w:r>
        <w:t xml:space="preserve"> </w:t>
      </w:r>
      <w:r>
        <w:rPr>
          <w:b/>
          <w:bCs/>
        </w:rPr>
        <w:t xml:space="preserve">EB</w:t>
      </w:r>
      <w:r>
        <w:t xml:space="preserve"> </w:t>
      </w:r>
      <w:r>
        <w:t xml:space="preserve">uses a barrier</w:t>
      </w:r>
      <w:r>
        <w:t xml:space="preserve"> </w:t>
      </w:r>
      <m:oMath>
        <m:r>
          <m:rPr>
            <m:sty m:val="p"/>
          </m:rPr>
          <m:t>min</m:t>
        </m:r>
        <m:r>
          <m:t>​</m:t>
        </m:r>
        <m:d>
          <m:dPr>
            <m:begChr m:val="("/>
            <m:sepChr m:val=""/>
            <m:endChr m:val=")"/>
            <m:grow/>
          </m:dPr>
          <m:e>
            <m:r>
              <m:t>1</m:t>
            </m:r>
            <m:r>
              <m:rPr>
                <m:sty m:val="p"/>
              </m:rPr>
              <m:t>,</m:t>
            </m:r>
            <m:r>
              <m:rPr>
                <m:sty m:val="p"/>
              </m:rPr>
              <m:t>max</m:t>
            </m:r>
            <m:r>
              <m:rPr>
                <m:sty m:val="p"/>
              </m:rPr>
              <m:t>(</m:t>
            </m:r>
            <m:r>
              <m:t>0.05</m:t>
            </m:r>
            <m:r>
              <m:rPr>
                <m:sty m:val="p"/>
              </m:rPr>
              <m:t>,</m:t>
            </m:r>
            <m:sSub>
              <m:e>
                <m:acc>
                  <m:accPr>
                    <m:chr m:val="̂"/>
                  </m:accPr>
                  <m:e>
                    <m:r>
                      <m:t>h</m:t>
                    </m:r>
                  </m:e>
                </m:acc>
              </m:e>
              <m:sub>
                <m:r>
                  <m:t>i</m:t>
                </m:r>
                <m:r>
                  <m:t>j</m:t>
                </m:r>
              </m:sub>
            </m:sSub>
            <m:r>
              <m:rPr>
                <m:sty m:val="p"/>
              </m:rPr>
              <m:t>/</m:t>
            </m:r>
            <m:r>
              <m:t>0.3</m:t>
            </m:r>
            <m:r>
              <m:rPr>
                <m:sty m:val="p"/>
              </m:rPr>
              <m:t>)</m:t>
            </m:r>
          </m:e>
        </m:d>
      </m:oMath>
      <w:r>
        <w:t xml:space="preserve"> </w:t>
      </w:r>
      <w:r>
        <w:t xml:space="preserve">instead;</w:t>
      </w:r>
      <w:r>
        <w:t xml:space="preserve"> </w:t>
      </w:r>
      <w:r>
        <w:rPr>
          <w:b/>
          <w:bCs/>
        </w:rPr>
        <w:t xml:space="preserve">EC</w:t>
      </w:r>
      <w:r>
        <w:t xml:space="preserve"> </w:t>
      </w:r>
      <w:r>
        <w:t xml:space="preserve">treats energy as a capacity dimension, replacing</w:t>
      </w:r>
      <w:r>
        <w:t xml:space="preserve"> </w:t>
      </w:r>
      <m:oMath>
        <m:sSub>
          <m:e>
            <m:acc>
              <m:accPr>
                <m:chr m:val="̂"/>
              </m:accPr>
              <m:e>
                <m:r>
                  <m:t>σ</m:t>
                </m:r>
              </m:e>
            </m:acc>
          </m:e>
          <m:sub>
            <m:r>
              <m:t>i</m:t>
            </m:r>
            <m:r>
              <m:t>j</m:t>
            </m:r>
          </m:sub>
        </m:sSub>
      </m:oMath>
      <w:r>
        <w:t xml:space="preserve"> </w:t>
      </w:r>
      <w:r>
        <w:t xml:space="preserve">by</w:t>
      </w:r>
      <w:r>
        <w:t xml:space="preserve"> </w:t>
      </w:r>
      <m:oMath>
        <m:r>
          <m:rPr>
            <m:sty m:val="p"/>
          </m:rPr>
          <m:t>min</m:t>
        </m:r>
        <m:r>
          <m:rPr>
            <m:sty m:val="p"/>
          </m:rPr>
          <m:t>(</m:t>
        </m:r>
        <m:sSub>
          <m:e>
            <m:acc>
              <m:accPr>
                <m:chr m:val="̂"/>
              </m:accPr>
              <m:e>
                <m:r>
                  <m:t>σ</m:t>
                </m:r>
              </m:e>
            </m:acc>
          </m:e>
          <m:sub>
            <m:r>
              <m:t>i</m:t>
            </m:r>
            <m:r>
              <m:t>j</m:t>
            </m:r>
          </m:sub>
        </m:sSub>
        <m:r>
          <m:rPr>
            <m:sty m:val="p"/>
          </m:rPr>
          <m:t>,</m:t>
        </m:r>
        <m:sSub>
          <m:e>
            <m:acc>
              <m:accPr>
                <m:chr m:val="̂"/>
              </m:accPr>
              <m:e>
                <m:r>
                  <m:t>e</m:t>
                </m:r>
              </m:e>
            </m:acc>
          </m:e>
          <m:sub>
            <m:r>
              <m:t>i</m:t>
            </m:r>
            <m:r>
              <m:t>j</m:t>
            </m:r>
          </m:sub>
        </m:sSub>
        <m:r>
          <m:rPr>
            <m:sty m:val="p"/>
          </m:rPr>
          <m:t>)</m:t>
        </m:r>
      </m:oMath>
      <w:r>
        <w:t xml:space="preserve">, where</w:t>
      </w:r>
      <w:r>
        <w:t xml:space="preserve"> </w:t>
      </w:r>
      <m:oMath>
        <m:sSub>
          <m:e>
            <m:acc>
              <m:accPr>
                <m:chr m:val="̂"/>
              </m:accPr>
              <m:e>
                <m:r>
                  <m:t>e</m:t>
                </m:r>
              </m:e>
            </m:acc>
          </m:e>
          <m:sub>
            <m:r>
              <m:t>i</m:t>
            </m:r>
            <m:r>
              <m:t>j</m:t>
            </m:r>
          </m:sub>
        </m:sSub>
        <m:r>
          <m:rPr>
            <m:sty m:val="p"/>
          </m:rPr>
          <m:t>=</m:t>
        </m:r>
        <m:r>
          <m:rPr>
            <m:sty m:val="p"/>
          </m:rPr>
          <m:t>(</m:t>
        </m:r>
        <m:sSub>
          <m:e>
            <m:r>
              <m:t>E</m:t>
            </m:r>
          </m:e>
          <m:sub>
            <m:r>
              <m:t>j</m:t>
            </m:r>
          </m:sub>
        </m:sSub>
        <m:r>
          <m:rPr>
            <m:sty m:val="p"/>
          </m:rPr>
          <m:t>+</m:t>
        </m:r>
        <m:sSub>
          <m:e>
            <m:acc>
              <m:accPr>
                <m:chr m:val="‾"/>
              </m:accPr>
              <m:e>
                <m:r>
                  <m:t>P</m:t>
                </m:r>
              </m:e>
            </m:acc>
          </m:e>
          <m:sub>
            <m:r>
              <m:t>j</m:t>
            </m:r>
          </m:sub>
        </m:sSub>
        <m:r>
          <m:rPr>
            <m:sty m:val="p"/>
          </m:rPr>
          <m:t>Δ</m:t>
        </m:r>
        <m:r>
          <m:rPr>
            <m:sty m:val="p"/>
          </m:rPr>
          <m:t>)</m:t>
        </m:r>
        <m:r>
          <m:rPr>
            <m:sty m:val="p"/>
          </m:rPr>
          <m:t>/</m:t>
        </m:r>
        <m:r>
          <m:rPr>
            <m:sty m:val="p"/>
          </m:rPr>
          <m:t>(</m:t>
        </m:r>
        <m:sSub>
          <m:e>
            <m:r>
              <m:t>P</m:t>
            </m:r>
          </m:e>
          <m:sub>
            <m:r>
              <m:t>s</m:t>
            </m:r>
          </m:sub>
        </m:sSub>
        <m:r>
          <m:rPr>
            <m:sty m:val="p"/>
          </m:rPr>
          <m:t>Δ</m:t>
        </m:r>
        <m:r>
          <m:rPr>
            <m:sty m:val="p"/>
          </m:rPr>
          <m:t>)</m:t>
        </m:r>
        <m:r>
          <m:rPr>
            <m:sty m:val="p"/>
          </m:rPr>
          <m:t>−</m:t>
        </m:r>
        <m:sSub>
          <m:e>
            <m:r>
              <m:rPr>
                <m:nor/>
                <m:sty m:val="p"/>
              </m:rPr>
              <m:t>busy</m:t>
            </m:r>
          </m:e>
          <m:sub>
            <m:r>
              <m:t>j</m:t>
            </m:r>
          </m:sub>
        </m:sSub>
      </m:oMath>
      <w:r>
        <w:t xml:space="preserve"> </w:t>
      </w:r>
      <w:r>
        <w:t xml:space="preserve">is the number of slots the energy budget can power over the horizon; and</w:t>
      </w:r>
      <w:r>
        <w:t xml:space="preserve"> </w:t>
      </w:r>
      <w:r>
        <w:rPr>
          <w:b/>
          <w:bCs/>
        </w:rPr>
        <w:t xml:space="preserve">retention</w:t>
      </w:r>
      <w:r>
        <w:t xml:space="preserve"> </w:t>
      </w:r>
      <w:r>
        <w:t xml:space="preserve">hands a request off a server whose headroom is below</w:t>
      </w:r>
      <w:r>
        <w:t xml:space="preserve"> </w:t>
      </w:r>
      <m:oMath>
        <m:r>
          <m:t>θ</m:t>
        </m:r>
      </m:oMath>
      <w:r>
        <w:t xml:space="preserve"> </w:t>
      </w:r>
      <w:r>
        <w:t xml:space="preserve">when the SLO slack exceeds 50 ms and a peer with headroom above</w:t>
      </w:r>
      <w:r>
        <w:t xml:space="preserve"> </w:t>
      </w:r>
      <m:oMath>
        <m:r>
          <m:t>0.5</m:t>
        </m:r>
      </m:oMath>
      <w:r>
        <w:t xml:space="preserve"> </w:t>
      </w:r>
      <w:r>
        <w:t xml:space="preserve">fits.</w:t>
      </w:r>
      <w:r>
        <w:t xml:space="preserve"> </w:t>
      </w:r>
      <w:r>
        <w:t xml:space="preserve">TF+EW (with retention) was the design advocated in our original proposal;</w:t>
      </w:r>
      <w:r>
        <w:t xml:space="preserve"> </w:t>
      </w:r>
      <w:r>
        <w:t xml:space="preserve">“EW only”</w:t>
      </w:r>
      <w:r>
        <w:t xml:space="preserve"> </w:t>
      </w:r>
      <w:r>
        <w:t xml:space="preserve">applies the energy weight without the trust filter.</w:t>
      </w:r>
    </w:p>
    <w:p>
      <w:pPr>
        <w:pStyle w:val="BodyText"/>
      </w:pPr>
      <w:r>
        <w:rPr>
          <w:b/>
          <w:bCs/>
        </w:rPr>
        <w:t xml:space="preserve">Algorithm 1:</w:t>
      </w:r>
      <w:r>
        <w:rPr>
          <w:b/>
          <w:bCs/>
        </w:rPr>
        <w:t xml:space="preserve"> </w:t>
      </w:r>
      <w:r>
        <w:rPr>
          <w:b/>
          <w:bCs/>
          <w:smallCaps/>
        </w:rPr>
        <w:t xml:space="preserve">Trace</w:t>
      </w:r>
      <w:r>
        <w:rPr>
          <w:b/>
          <w:bCs/>
        </w:rPr>
        <w:t xml:space="preserve"> </w:t>
      </w:r>
      <w:r>
        <w:rPr>
          <w:b/>
          <w:bCs/>
        </w:rPr>
        <w:t xml:space="preserve">request handling at server</w:t>
      </w:r>
      <w:r>
        <w:rPr>
          <w:b/>
          <w:bCs/>
        </w:rPr>
        <w:t xml:space="preserve"> </w:t>
      </w:r>
      <m:oMath>
        <m:r>
          <m:t>i</m:t>
        </m:r>
      </m:oMath>
      <w:r>
        <w:t xml:space="preserve"> </w:t>
      </w:r>
      <w:r>
        <w:t xml:space="preserve">(input: request</w:t>
      </w:r>
      <w:r>
        <w:t xml:space="preserve"> </w:t>
      </w:r>
      <m:oMath>
        <m:r>
          <m:t>r</m:t>
        </m:r>
      </m:oMath>
      <w:r>
        <w:t xml:space="preserve">, visited set</w:t>
      </w:r>
      <w:r>
        <w:t xml:space="preserve"> </w:t>
      </w:r>
      <m:oMath>
        <m:r>
          <m:t>V</m:t>
        </m:r>
      </m:oMath>
      <w:r>
        <w:t xml:space="preserve">, forward count</w:t>
      </w:r>
      <w:r>
        <w:t xml:space="preserve"> </w:t>
      </w:r>
      <m:oMath>
        <m:r>
          <m:t>k</m:t>
        </m:r>
      </m:oMath>
      <w:r>
        <w:t xml:space="preserve">)</w:t>
      </w:r>
    </w:p>
    <w:p>
      <w:pPr>
        <w:numPr>
          <w:ilvl w:val="0"/>
          <w:numId w:val="1002"/>
        </w:numPr>
      </w:pPr>
      <w:r>
        <w:t xml:space="preserve">If</w:t>
      </w:r>
      <w:r>
        <w:t xml:space="preserve"> </w:t>
      </w:r>
      <m:oMath>
        <m:r>
          <m:rPr>
            <m:sty m:val="p"/>
          </m:rPr>
          <m:t>e</m:t>
        </m:r>
        <m:r>
          <m:rPr>
            <m:sty m:val="p"/>
          </m:rPr>
          <m:t>l</m:t>
        </m:r>
        <m:r>
          <m:rPr>
            <m:sty m:val="p"/>
          </m:rPr>
          <m:t>i</m:t>
        </m:r>
        <m:r>
          <m:rPr>
            <m:sty m:val="p"/>
          </m:rPr>
          <m:t>g</m:t>
        </m:r>
        <m:r>
          <m:rPr>
            <m:sty m:val="p"/>
          </m:rPr>
          <m:t>(</m:t>
        </m:r>
        <m:r>
          <m:t>r</m:t>
        </m:r>
        <m:r>
          <m:rPr>
            <m:sty m:val="p"/>
          </m:rPr>
          <m:t>,</m:t>
        </m:r>
        <m:r>
          <m:t>i</m:t>
        </m:r>
        <m:r>
          <m:rPr>
            <m:sty m:val="p"/>
          </m:rPr>
          <m:t>)</m:t>
        </m:r>
      </m:oMath>
      <w:r>
        <w:t xml:space="preserve"> </w:t>
      </w:r>
      <w:r>
        <w:t xml:space="preserve">and</w:t>
      </w:r>
      <w:r>
        <w:t xml:space="preserve"> </w:t>
      </w:r>
      <m:oMath>
        <m:r>
          <m:t>i</m:t>
        </m:r>
      </m:oMath>
      <w:r>
        <w:t xml:space="preserve"> </w:t>
      </w:r>
      <w:r>
        <w:t xml:space="preserve">is online and the local SLO is feasible: serve</w:t>
      </w:r>
      <w:r>
        <w:t xml:space="preserve"> </w:t>
      </w:r>
      <m:oMath>
        <m:r>
          <m:t>r</m:t>
        </m:r>
      </m:oMath>
      <w:r>
        <w:t xml:space="preserve"> </w:t>
      </w:r>
      <w:r>
        <w:t xml:space="preserve">at</w:t>
      </w:r>
      <w:r>
        <w:t xml:space="preserve"> </w:t>
      </w:r>
      <m:oMath>
        <m:r>
          <m:t>i</m:t>
        </m:r>
      </m:oMath>
      <w:r>
        <w:t xml:space="preserve"> </w:t>
      </w:r>
      <w:r>
        <w:t xml:space="preserve">and return.</w:t>
      </w:r>
    </w:p>
    <w:p>
      <w:pPr>
        <w:numPr>
          <w:ilvl w:val="0"/>
          <w:numId w:val="1002"/>
        </w:numPr>
      </w:pPr>
      <w:r>
        <w:t xml:space="preserve">If</w:t>
      </w:r>
      <w:r>
        <w:t xml:space="preserve"> </w:t>
      </w:r>
      <m:oMath>
        <m:r>
          <m:t>k</m:t>
        </m:r>
        <m:r>
          <m:rPr>
            <m:sty m:val="p"/>
          </m:rPr>
          <m:t>≥</m:t>
        </m:r>
        <m:sSub>
          <m:e>
            <m:r>
              <m:t>K</m:t>
            </m:r>
          </m:e>
          <m:sub>
            <m:r>
              <m:rPr>
                <m:sty m:val="p"/>
              </m:rPr>
              <m:t>max</m:t>
            </m:r>
          </m:sub>
        </m:sSub>
      </m:oMath>
      <w:r>
        <w:t xml:space="preserve">: serve late at</w:t>
      </w:r>
      <w:r>
        <w:t xml:space="preserve"> </w:t>
      </w:r>
      <m:oMath>
        <m:r>
          <m:t>i</m:t>
        </m:r>
      </m:oMath>
      <w:r>
        <w:t xml:space="preserve"> </w:t>
      </w:r>
      <w:r>
        <w:t xml:space="preserve">if eligible, else drop; return.</w:t>
      </w:r>
    </w:p>
    <w:p>
      <w:pPr>
        <w:numPr>
          <w:ilvl w:val="0"/>
          <w:numId w:val="1002"/>
        </w:numPr>
      </w:pPr>
      <w:r>
        <w:t xml:space="preserve">Compute</w:t>
      </w:r>
      <w:r>
        <w:t xml:space="preserve"> </w:t>
      </w:r>
      <m:oMath>
        <m:sSub>
          <m:e>
            <m:r>
              <m:t>w</m:t>
            </m:r>
          </m:e>
          <m:sub>
            <m:r>
              <m:t>i</m:t>
            </m:r>
            <m:r>
              <m:t>j</m:t>
            </m:r>
          </m:sub>
        </m:sSub>
        <m:r>
          <m:rPr>
            <m:sty m:val="p"/>
          </m:rPr>
          <m:t>(</m:t>
        </m:r>
        <m:r>
          <m:t>r</m:t>
        </m:r>
        <m:r>
          <m:rPr>
            <m:sty m:val="p"/>
          </m:rPr>
          <m:t>)</m:t>
        </m:r>
      </m:oMath>
      <w:r>
        <w:t xml:space="preserve"> </w:t>
      </w:r>
      <w:r>
        <w:t xml:space="preserve">by (3) for all</w:t>
      </w:r>
      <w:r>
        <w:t xml:space="preserve"> </w:t>
      </w:r>
      <m:oMath>
        <m:r>
          <m:t>j</m:t>
        </m:r>
        <m:r>
          <m:rPr>
            <m:sty m:val="p"/>
          </m:rPr>
          <m:t>∉</m:t>
        </m:r>
        <m:r>
          <m:t>V</m:t>
        </m:r>
      </m:oMath>
      <w:r>
        <w:t xml:space="preserve">.</w:t>
      </w:r>
    </w:p>
    <w:p>
      <w:pPr>
        <w:numPr>
          <w:ilvl w:val="0"/>
          <w:numId w:val="1002"/>
        </w:numPr>
      </w:pPr>
      <w:r>
        <w:t xml:space="preserve">If</w:t>
      </w:r>
      <w:r>
        <w:t xml:space="preserve"> </w:t>
      </w:r>
      <m:oMath>
        <m:nary>
          <m:naryPr>
            <m:chr m:val="∑"/>
            <m:limLoc m:val="undOvr"/>
            <m:subHide m:val="off"/>
            <m:supHide m:val="on"/>
          </m:naryPr>
          <m:sub>
            <m:r>
              <m:t>j</m:t>
            </m:r>
          </m:sub>
          <m:sup>
            <m:r>
              <m:t>​</m:t>
            </m:r>
          </m:sup>
          <m:e>
            <m:sSub>
              <m:e>
                <m:r>
                  <m:t>w</m:t>
                </m:r>
              </m:e>
              <m:sub>
                <m:r>
                  <m:t>i</m:t>
                </m:r>
                <m:r>
                  <m:t>j</m:t>
                </m:r>
              </m:sub>
            </m:sSub>
          </m:e>
        </m:nary>
        <m:r>
          <m:rPr>
            <m:sty m:val="p"/>
          </m:rPr>
          <m:t>=</m:t>
        </m:r>
        <m:r>
          <m:t>0</m:t>
        </m:r>
      </m:oMath>
      <w:r>
        <w:t xml:space="preserve">: serve late at</w:t>
      </w:r>
      <w:r>
        <w:t xml:space="preserve"> </w:t>
      </w:r>
      <m:oMath>
        <m:r>
          <m:t>i</m:t>
        </m:r>
      </m:oMath>
      <w:r>
        <w:t xml:space="preserve"> </w:t>
      </w:r>
      <w:r>
        <w:t xml:space="preserve">if eligible, else drop; return.</w:t>
      </w:r>
    </w:p>
    <w:p>
      <w:pPr>
        <w:numPr>
          <w:ilvl w:val="0"/>
          <w:numId w:val="1002"/>
        </w:numPr>
      </w:pPr>
      <w:r>
        <w:t xml:space="preserve">Sample</w:t>
      </w:r>
      <w:r>
        <w:t xml:space="preserve"> </w:t>
      </w:r>
      <m:oMath>
        <m:r>
          <m:t>j</m:t>
        </m:r>
        <m:r>
          <m:rPr>
            <m:sty m:val="p"/>
          </m:rPr>
          <m:t>∼</m:t>
        </m:r>
        <m:sSub>
          <m:e>
            <m:r>
              <m:t>w</m:t>
            </m:r>
          </m:e>
          <m:sub>
            <m:r>
              <m:t>i</m:t>
            </m:r>
            <m:r>
              <m:t>j</m:t>
            </m:r>
          </m:sub>
        </m:sSub>
        <m:r>
          <m:rPr>
            <m:sty m:val="p"/>
          </m:rPr>
          <m:t>/</m:t>
        </m:r>
        <m:nary>
          <m:naryPr>
            <m:chr m:val="∑"/>
            <m:limLoc m:val="undOvr"/>
            <m:subHide m:val="off"/>
            <m:supHide m:val="on"/>
          </m:naryPr>
          <m:sub>
            <m:sSup>
              <m:e>
                <m:r>
                  <m:t>j</m:t>
                </m:r>
              </m:e>
              <m:sup>
                <m:r>
                  <m:rPr>
                    <m:sty m:val="p"/>
                  </m:rPr>
                  <m:t>′</m:t>
                </m:r>
              </m:sup>
            </m:sSup>
          </m:sub>
          <m:sup>
            <m:r>
              <m:t>​</m:t>
            </m:r>
          </m:sup>
          <m:e>
            <m:sSub>
              <m:e>
                <m:r>
                  <m:t>w</m:t>
                </m:r>
              </m:e>
              <m:sub>
                <m:r>
                  <m:t>i</m:t>
                </m:r>
                <m:sSup>
                  <m:e>
                    <m:r>
                      <m:t>j</m:t>
                    </m:r>
                  </m:e>
                  <m:sup>
                    <m:r>
                      <m:rPr>
                        <m:sty m:val="p"/>
                      </m:rPr>
                      <m:t>′</m:t>
                    </m:r>
                  </m:sup>
                </m:sSup>
              </m:sub>
            </m:sSub>
          </m:e>
        </m:nary>
      </m:oMath>
      <w:r>
        <w:t xml:space="preserve"> </w:t>
      </w:r>
      <w:r>
        <w:t xml:space="preserve">and debit</w:t>
      </w:r>
      <w:r>
        <w:t xml:space="preserve"> </w:t>
      </w:r>
      <m:oMath>
        <m:sSub>
          <m:e>
            <m:acc>
              <m:accPr>
                <m:chr m:val="̂"/>
              </m:accPr>
              <m:e>
                <m:r>
                  <m:t>σ</m:t>
                </m:r>
              </m:e>
            </m:acc>
          </m:e>
          <m:sub>
            <m:r>
              <m:t>i</m:t>
            </m:r>
            <m:r>
              <m:t>j</m:t>
            </m:r>
          </m:sub>
        </m:sSub>
      </m:oMath>
      <w:r>
        <w:t xml:space="preserve">.</w:t>
      </w:r>
    </w:p>
    <w:p>
      <w:pPr>
        <w:numPr>
          <w:ilvl w:val="0"/>
          <w:numId w:val="1002"/>
        </w:numPr>
      </w:pPr>
      <w:r>
        <w:t xml:space="preserve">Forward</w:t>
      </w:r>
      <w:r>
        <w:t xml:space="preserve"> </w:t>
      </w:r>
      <m:oMath>
        <m:r>
          <m:t>r</m:t>
        </m:r>
      </m:oMath>
      <w:r>
        <w:t xml:space="preserve"> </w:t>
      </w:r>
      <w:r>
        <w:t xml:space="preserve">to</w:t>
      </w:r>
      <w:r>
        <w:t xml:space="preserve"> </w:t>
      </w:r>
      <m:oMath>
        <m:r>
          <m:t>j</m:t>
        </m:r>
      </m:oMath>
      <w:r>
        <w:t xml:space="preserve"> </w:t>
      </w:r>
      <w:r>
        <w:t xml:space="preserve">with</w:t>
      </w:r>
      <w:r>
        <w:t xml:space="preserve"> </w:t>
      </w:r>
      <m:oMath>
        <m:r>
          <m:t>V</m:t>
        </m:r>
        <m:r>
          <m:rPr>
            <m:sty m:val="p"/>
          </m:rPr>
          <m:t>∪</m:t>
        </m:r>
        <m:r>
          <m:rPr>
            <m:sty m:val="p"/>
          </m:rPr>
          <m:t>{</m:t>
        </m:r>
        <m:r>
          <m:t>j</m:t>
        </m:r>
        <m:r>
          <m:rPr>
            <m:sty m:val="p"/>
          </m:rPr>
          <m:t>}</m:t>
        </m:r>
      </m:oMath>
      <w:r>
        <w:t xml:space="preserve"> </w:t>
      </w:r>
      <w:r>
        <w:t xml:space="preserve">and</w:t>
      </w:r>
      <w:r>
        <w:t xml:space="preserve"> </w:t>
      </w:r>
      <m:oMath>
        <m:r>
          <m:t>k</m:t>
        </m:r>
        <m:r>
          <m:rPr>
            <m:sty m:val="p"/>
          </m:rPr>
          <m:t>+</m:t>
        </m:r>
        <m:r>
          <m:t>1</m:t>
        </m:r>
      </m:oMath>
      <w:r>
        <w:t xml:space="preserve">.</w:t>
      </w:r>
    </w:p>
    <w:p>
      <w:pPr>
        <w:pStyle w:val="FirstParagraph"/>
      </w:pPr>
      <w:r>
        <w:rPr>
          <w:b/>
          <w:bCs/>
        </w:rPr>
        <w:t xml:space="preserve">Complexity.</w:t>
      </w:r>
      <w:r>
        <w:t xml:space="preserve"> </w:t>
      </w:r>
      <w:r>
        <w:t xml:space="preserve">One decision costs</w:t>
      </w:r>
      <w:r>
        <w:t xml:space="preserve"> </w:t>
      </w:r>
      <m:oMath>
        <m:r>
          <m:t>O</m:t>
        </m:r>
        <m:r>
          <m:rPr>
            <m:sty m:val="p"/>
          </m:rPr>
          <m:t>(</m:t>
        </m:r>
        <m:r>
          <m:t>N</m:t>
        </m:r>
        <m:r>
          <m:rPr>
            <m:sty m:val="p"/>
          </m:rPr>
          <m:t>)</m:t>
        </m:r>
      </m:oMath>
      <w:r>
        <w:t xml:space="preserve"> </w:t>
      </w:r>
      <w:r>
        <w:t xml:space="preserve">arithmetic on the local view and no communication; Section VI-E reports measured decision times.</w:t>
      </w:r>
    </w:p>
    <w:bookmarkEnd w:id="23"/>
    <w:bookmarkEnd w:id="24"/>
    <w:bookmarkStart w:id="27" w:name="v.-evaluation-methodology"/>
    <w:p>
      <w:pPr>
        <w:pStyle w:val="Heading1"/>
      </w:pPr>
      <w:r>
        <w:t xml:space="preserve">V. Evaluation Methodology</w:t>
      </w:r>
    </w:p>
    <w:p>
      <w:pPr>
        <w:pStyle w:val="FirstParagraph"/>
      </w:pPr>
      <w:r>
        <w:rPr>
          <w:b/>
          <w:bCs/>
        </w:rPr>
        <w:t xml:space="preserve">Simulator.</w:t>
      </w:r>
      <w:r>
        <w:t xml:space="preserve"> </w:t>
      </w:r>
      <w:r>
        <w:t xml:space="preserve">We built an event-driven simulator in Python/NumPy. It executes the full routing logic for every request but abstracts computation and transmission by service-time and latency tables—the methodology EPARA uses for its large-scale study </w:t>
      </w:r>
      <w:r>
        <w:t xml:space="preserve">[2]</w:t>
      </w:r>
      <w:r>
        <w:t xml:space="preserve">. All parameters (Table II) are</w:t>
      </w:r>
      <w:r>
        <w:t xml:space="preserve"> </w:t>
      </w:r>
      <w:r>
        <w:rPr>
          <w:i/>
          <w:iCs/>
        </w:rPr>
        <w:t xml:space="preserve">assumptions</w:t>
      </w:r>
      <w:r>
        <w:t xml:space="preserve"> </w:t>
      </w:r>
      <w:r>
        <w:t xml:space="preserve">modeled on EPARA’s P100 testbed scale. They are not measurements, and absolute numbers should not be compared with EPARA’s. The simulator, experiment scripts and raw results are publicly available at</w:t>
      </w:r>
      <w:r>
        <w:t xml:space="preserve"> </w:t>
      </w:r>
      <w:hyperlink r:id="rId25">
        <w:r>
          <w:rPr>
            <w:rStyle w:val="Hyperlink"/>
          </w:rPr>
          <w:t xml:space="preserve">https://github.com/gaurav3611/edge-cloud-ai-routing</w:t>
        </w:r>
      </w:hyperlink>
      <w:r>
        <w:t xml:space="preserve">.</w:t>
      </w:r>
    </w:p>
    <w:bookmarkStart w:id="26" w:name="tab:params"/>
    <w:p>
      <w:pPr>
        <w:pStyle w:val="TableCaption"/>
      </w:pPr>
      <w:r>
        <w:t xml:space="preserve">TABLE II. Simulation parameters (defaults).</w:t>
      </w:r>
    </w:p>
    <w:tbl>
      <w:tblPr>
        <w:tblStyle w:val="Table"/>
        <w:tblW w:type="dxa" w:w="9360"/>
        <w:tblLook w:firstRow="0" w:lastRow="0" w:firstColumn="0" w:lastColumn="0" w:noHBand="0" w:noVBand="0" w:val="0000"/>
        <w:tblCaption w:val="TABLE II. Simulation parameters (defaults)."/>
      </w:tblPr>
      <w:tblGrid>
        <w:gridCol w:w="3590"/>
        <w:gridCol w:w="5770"/>
      </w:tblGrid>
      <w:tr>
        <w:tc>
          <w:tcPr/>
          <w:p>
            <w:pPr>
              <w:pStyle w:val="Compact"/>
              <w:jc w:val="left"/>
            </w:pPr>
            <w:r>
              <w:t xml:space="preserve">Servers</w:t>
            </w:r>
            <w:r>
              <w:t xml:space="preserve"> </w:t>
            </w:r>
            <m:oMath>
              <m:r>
                <m:t>N</m:t>
              </m:r>
            </m:oMath>
          </w:p>
        </w:tc>
        <w:tc>
          <w:tcPr/>
          <w:p>
            <w:pPr>
              <w:pStyle w:val="Compact"/>
              <w:jc w:val="left"/>
            </w:pPr>
            <w:r>
              <w:t xml:space="preserve">30 (10–120 in the scale study)</w:t>
            </w:r>
          </w:p>
        </w:tc>
      </w:tr>
      <w:tr>
        <w:tc>
          <w:tcPr/>
          <w:p>
            <w:pPr>
              <w:pStyle w:val="Compact"/>
              <w:jc w:val="left"/>
            </w:pPr>
            <w:r>
              <w:t xml:space="preserve">GPUs per server</w:t>
            </w:r>
          </w:p>
        </w:tc>
        <w:tc>
          <w:tcPr/>
          <w:p>
            <w:pPr>
              <w:pStyle w:val="Compact"/>
              <w:jc w:val="left"/>
            </w:pPr>
            <w:r>
              <w:t xml:space="preserve">2 or 4 (uniform); 4 slots per GPU</w:t>
            </w:r>
          </w:p>
        </w:tc>
      </w:tr>
      <w:tr>
        <w:tc>
          <w:tcPr/>
          <w:p>
            <w:pPr>
              <w:pStyle w:val="Compact"/>
              <w:jc w:val="left"/>
            </w:pPr>
            <w:r>
              <w:t xml:space="preserve">Clearance</w:t>
            </w:r>
            <w:r>
              <w:t xml:space="preserve"> </w:t>
            </w:r>
            <m:oMath>
              <m:sSub>
                <m:e>
                  <m:r>
                    <m:t>c</m:t>
                  </m:r>
                </m:e>
                <m:sub>
                  <m:r>
                    <m:t>j</m:t>
                  </m:r>
                </m:sub>
              </m:sSub>
            </m:oMath>
          </w:p>
        </w:tc>
        <w:tc>
          <w:tcPr/>
          <w:p>
            <w:pPr>
              <w:pStyle w:val="Compact"/>
              <w:jc w:val="left"/>
            </w:pPr>
            <w:r>
              <w:t xml:space="preserve">0/1/2 w.p. 0.30/0.40/0.30</w:t>
            </w:r>
          </w:p>
        </w:tc>
      </w:tr>
      <w:tr>
        <w:tc>
          <w:tcPr/>
          <w:p>
            <w:pPr>
              <w:pStyle w:val="Compact"/>
              <w:jc w:val="left"/>
            </w:pPr>
            <w:r>
              <w:t xml:space="preserve">Trust domains</w:t>
            </w:r>
          </w:p>
        </w:tc>
        <w:tc>
          <w:tcPr/>
          <w:p>
            <w:pPr>
              <w:pStyle w:val="Compact"/>
              <w:jc w:val="left"/>
            </w:pPr>
            <w:r>
              <w:t xml:space="preserve">3, uniform</w:t>
            </w:r>
          </w:p>
        </w:tc>
      </w:tr>
      <w:tr>
        <w:tc>
          <w:tcPr/>
          <w:p>
            <w:pPr>
              <w:pStyle w:val="Compact"/>
              <w:jc w:val="left"/>
            </w:pPr>
            <w:r>
              <w:t xml:space="preserve">Network latency</w:t>
            </w:r>
          </w:p>
        </w:tc>
        <w:tc>
          <w:tcPr/>
          <w:p>
            <w:pPr>
              <w:pStyle w:val="Compact"/>
              <w:jc w:val="left"/>
            </w:pPr>
            <m:oMath>
              <m:r>
                <m:t>2</m:t>
              </m:r>
              <m:r>
                <m:t> </m:t>
              </m:r>
              <m:r>
                <m:rPr>
                  <m:nor/>
                  <m:sty m:val="p"/>
                </m:rPr>
                <m:t>ms</m:t>
              </m:r>
              <m:r>
                <m:rPr>
                  <m:sty m:val="p"/>
                </m:rPr>
                <m:t>+</m:t>
              </m:r>
              <m:r>
                <m:t>20</m:t>
              </m:r>
              <m:r>
                <m:t> </m:t>
              </m:r>
              <m:r>
                <m:rPr>
                  <m:nor/>
                  <m:sty m:val="p"/>
                </m:rPr>
                <m:t>ms</m:t>
              </m:r>
              <m:r>
                <m:rPr>
                  <m:sty m:val="p"/>
                </m:rPr>
                <m:t>×</m:t>
              </m:r>
            </m:oMath>
            <w:r>
              <w:t xml:space="preserve"> </w:t>
            </w:r>
            <w:r>
              <w:t xml:space="preserve">distance (unit square)</w:t>
            </w:r>
          </w:p>
        </w:tc>
      </w:tr>
      <w:tr>
        <w:tc>
          <w:tcPr/>
          <w:p>
            <w:pPr>
              <w:pStyle w:val="Compact"/>
              <w:jc w:val="left"/>
            </w:pPr>
            <w:r>
              <w:t xml:space="preserve">Slot power</w:t>
            </w:r>
            <w:r>
              <w:t xml:space="preserve"> </w:t>
            </w:r>
            <m:oMath>
              <m:sSub>
                <m:e>
                  <m:r>
                    <m:t>P</m:t>
                  </m:r>
                </m:e>
                <m:sub>
                  <m:r>
                    <m:t>s</m:t>
                  </m:r>
                </m:sub>
              </m:sSub>
            </m:oMath>
          </w:p>
        </w:tc>
        <w:tc>
          <w:tcPr/>
          <w:p>
            <w:pPr>
              <w:pStyle w:val="Compact"/>
              <w:jc w:val="left"/>
            </w:pPr>
            <w:r>
              <w:t xml:space="preserve">60 W (250 W GPU / 4)</w:t>
            </w:r>
          </w:p>
        </w:tc>
      </w:tr>
      <w:tr>
        <w:tc>
          <w:tcPr/>
          <w:p>
            <w:pPr>
              <w:pStyle w:val="Compact"/>
              <w:jc w:val="left"/>
            </w:pPr>
            <w:r>
              <w:t xml:space="preserve">Energy cap</w:t>
            </w:r>
            <w:r>
              <w:t xml:space="preserve"> </w:t>
            </w:r>
            <m:oMath>
              <m:sSub>
                <m:e>
                  <m:r>
                    <m:t>κ</m:t>
                  </m:r>
                </m:e>
                <m:sub>
                  <m:r>
                    <m:t>j</m:t>
                  </m:r>
                </m:sub>
              </m:sSub>
            </m:oMath>
          </w:p>
        </w:tc>
        <w:tc>
          <w:tcPr/>
          <w:p>
            <w:pPr>
              <w:pStyle w:val="Compact"/>
              <w:jc w:val="left"/>
            </w:pPr>
            <w:r>
              <w:t xml:space="preserve">0.45/0.70/1.0 w.p. 0.35/0.35/0.30,</w:t>
            </w:r>
            <w:r>
              <w:t xml:space="preserve"> </w:t>
            </w:r>
            <m:oMath>
              <m:r>
                <m:rPr>
                  <m:sty m:val="p"/>
                </m:rPr>
                <m:t>×</m:t>
              </m:r>
            </m:oMath>
            <w:r>
              <w:t xml:space="preserve"> </w:t>
            </w:r>
            <w:r>
              <w:t xml:space="preserve">scale</w:t>
            </w:r>
          </w:p>
        </w:tc>
      </w:tr>
      <w:tr>
        <w:tc>
          <w:tcPr/>
          <w:p>
            <w:pPr>
              <w:pStyle w:val="Compact"/>
              <w:jc w:val="left"/>
            </w:pPr>
            <w:r>
              <w:t xml:space="preserve">Buffer</w:t>
            </w:r>
            <w:r>
              <w:t xml:space="preserve"> </w:t>
            </w:r>
            <m:oMath>
              <m:sSub>
                <m:e>
                  <m:r>
                    <m:t>B</m:t>
                  </m:r>
                </m:e>
                <m:sub>
                  <m:r>
                    <m:t>j</m:t>
                  </m:r>
                </m:sub>
              </m:sSub>
            </m:oMath>
          </w:p>
        </w:tc>
        <w:tc>
          <w:tcPr/>
          <w:p>
            <w:pPr>
              <w:pStyle w:val="Compact"/>
              <w:jc w:val="left"/>
            </w:pPr>
            <w:r>
              <w:t xml:space="preserve">20 s at capped power; starts at 60%</w:t>
            </w:r>
          </w:p>
        </w:tc>
      </w:tr>
      <w:tr>
        <w:tc>
          <w:tcPr/>
          <w:p>
            <w:pPr>
              <w:pStyle w:val="Compact"/>
              <w:jc w:val="left"/>
            </w:pPr>
            <w:r>
              <w:t xml:space="preserve">Sync period</w:t>
            </w:r>
            <w:r>
              <w:t xml:space="preserve"> </w:t>
            </w:r>
            <m:oMath>
              <m:r>
                <m:t>H</m:t>
              </m:r>
            </m:oMath>
          </w:p>
        </w:tc>
        <w:tc>
          <w:tcPr/>
          <w:p>
            <w:pPr>
              <w:pStyle w:val="Compact"/>
              <w:jc w:val="left"/>
            </w:pPr>
            <w:r>
              <w:t xml:space="preserve">1 s (0.1–2 s in the staleness study)</w:t>
            </w:r>
          </w:p>
        </w:tc>
      </w:tr>
      <w:tr>
        <w:tc>
          <w:tcPr/>
          <w:p>
            <w:pPr>
              <w:pStyle w:val="Compact"/>
              <w:jc w:val="left"/>
            </w:pPr>
            <w:r>
              <w:t xml:space="preserve">Max. forwards</w:t>
            </w:r>
            <w:r>
              <w:t xml:space="preserve"> </w:t>
            </w:r>
            <m:oMath>
              <m:sSub>
                <m:e>
                  <m:r>
                    <m:t>K</m:t>
                  </m:r>
                </m:e>
                <m:sub>
                  <m:r>
                    <m:rPr>
                      <m:sty m:val="p"/>
                    </m:rPr>
                    <m:t>max</m:t>
                  </m:r>
                </m:sub>
              </m:sSub>
            </m:oMath>
          </w:p>
        </w:tc>
        <w:tc>
          <w:tcPr/>
          <w:p>
            <w:pPr>
              <w:pStyle w:val="Compact"/>
              <w:jc w:val="left"/>
            </w:pPr>
            <w:r>
              <w:t xml:space="preserve">2</w:t>
            </w:r>
          </w:p>
        </w:tc>
      </w:tr>
      <w:tr>
        <w:tc>
          <w:tcPr/>
          <w:p>
            <w:pPr>
              <w:pStyle w:val="Compact"/>
              <w:jc w:val="left"/>
            </w:pPr>
            <w:r>
              <w:t xml:space="preserve">LS</w:t>
            </w:r>
            <m:oMath>
              <m:r>
                <m:rPr>
                  <m:sty m:val="p"/>
                </m:rPr>
                <m:t>&lt;</m:t>
              </m:r>
            </m:oMath>
            <w:r>
              <w:t xml:space="preserve">1 (classification)</w:t>
            </w:r>
          </w:p>
        </w:tc>
        <w:tc>
          <w:tcPr/>
          <w:p>
            <w:pPr>
              <w:pStyle w:val="Compact"/>
              <w:jc w:val="left"/>
            </w:pPr>
            <w:r>
              <w:t xml:space="preserve">1 slot, 30 ms, SLO 150 ms, 20% of demand</w:t>
            </w:r>
          </w:p>
        </w:tc>
      </w:tr>
      <w:tr>
        <w:tc>
          <w:tcPr/>
          <w:p>
            <w:pPr>
              <w:pStyle w:val="Compact"/>
              <w:jc w:val="left"/>
            </w:pPr>
            <w:r>
              <w:t xml:space="preserve">LS</w:t>
            </w:r>
            <m:oMath>
              <m:r>
                <m:rPr>
                  <m:sty m:val="p"/>
                </m:rPr>
                <m:t>&gt;</m:t>
              </m:r>
            </m:oMath>
            <w:r>
              <w:t xml:space="preserve">1 (LLM chat)</w:t>
            </w:r>
          </w:p>
        </w:tc>
        <w:tc>
          <w:tcPr/>
          <w:p>
            <w:pPr>
              <w:pStyle w:val="Compact"/>
              <w:jc w:val="left"/>
            </w:pPr>
            <w:r>
              <w:t xml:space="preserve">8 slots, 800 ms, SLO 3 s, 30%</w:t>
            </w:r>
          </w:p>
        </w:tc>
      </w:tr>
      <w:tr>
        <w:tc>
          <w:tcPr/>
          <w:p>
            <w:pPr>
              <w:pStyle w:val="Compact"/>
              <w:jc w:val="left"/>
            </w:pPr>
            <w:r>
              <w:t xml:space="preserve">FS</w:t>
            </w:r>
            <m:oMath>
              <m:r>
                <m:rPr>
                  <m:sty m:val="p"/>
                </m:rPr>
                <m:t>&lt;</m:t>
              </m:r>
            </m:oMath>
            <w:r>
              <w:t xml:space="preserve">1 (video detection)</w:t>
            </w:r>
          </w:p>
        </w:tc>
        <w:tc>
          <w:tcPr/>
          <w:p>
            <w:pPr>
              <w:pStyle w:val="Compact"/>
              <w:jc w:val="left"/>
            </w:pPr>
            <w:r>
              <w:t xml:space="preserve">2 slots, stream 5–15 s, start SLO 200 ms, 30%</w:t>
            </w:r>
          </w:p>
        </w:tc>
      </w:tr>
      <w:tr>
        <w:tc>
          <w:tcPr/>
          <w:p>
            <w:pPr>
              <w:pStyle w:val="Compact"/>
              <w:jc w:val="left"/>
            </w:pPr>
            <w:r>
              <w:t xml:space="preserve">FS</w:t>
            </w:r>
            <m:oMath>
              <m:r>
                <m:rPr>
                  <m:sty m:val="p"/>
                </m:rPr>
                <m:t>&gt;</m:t>
              </m:r>
            </m:oMath>
            <w:r>
              <w:t xml:space="preserve">1 (video segmentation)</w:t>
            </w:r>
          </w:p>
        </w:tc>
        <w:tc>
          <w:tcPr/>
          <w:p>
            <w:pPr>
              <w:pStyle w:val="Compact"/>
              <w:jc w:val="left"/>
            </w:pPr>
            <w:r>
              <w:t xml:space="preserve">8 slots, stream 5–10 s, start SLO 300 ms, 20%</w:t>
            </w:r>
          </w:p>
        </w:tc>
      </w:tr>
      <w:tr>
        <w:tc>
          <w:tcPr/>
          <w:p>
            <w:pPr>
              <w:pStyle w:val="Compact"/>
              <w:jc w:val="left"/>
            </w:pPr>
            <w:r>
              <w:t xml:space="preserve">Sensitivity mix</w:t>
            </w:r>
            <w:r>
              <w:t xml:space="preserve"> </w:t>
            </w:r>
            <m:oMath>
              <m:sSub>
                <m:e>
                  <m:r>
                    <m:t>s</m:t>
                  </m:r>
                </m:e>
                <m:sub>
                  <m:r>
                    <m:t>r</m:t>
                  </m:r>
                </m:sub>
              </m:sSub>
            </m:oMath>
          </w:p>
        </w:tc>
        <w:tc>
          <w:tcPr/>
          <w:p>
            <w:pPr>
              <w:pStyle w:val="Compact"/>
              <w:jc w:val="left"/>
            </w:pPr>
            <w:r>
              <w:t xml:space="preserve">0/1/2 w.p. 0.60/0.25/0.15</w:t>
            </w:r>
          </w:p>
        </w:tc>
      </w:tr>
      <w:tr>
        <w:tc>
          <w:tcPr/>
          <w:p>
            <w:pPr>
              <w:pStyle w:val="Compact"/>
              <w:jc w:val="left"/>
            </w:pPr>
            <w:r>
              <w:t xml:space="preserve">Arrivals</w:t>
            </w:r>
          </w:p>
        </w:tc>
        <w:tc>
          <w:tcPr/>
          <w:p>
            <w:pPr>
              <w:pStyle w:val="Compact"/>
              <w:jc w:val="left"/>
            </w:pPr>
            <w:r>
              <w:t xml:space="preserve">Poisson; log-normal origin hot spots;</w:t>
            </w:r>
          </w:p>
        </w:tc>
      </w:tr>
      <w:tr>
        <w:tc>
          <w:tcPr/>
          <w:p>
            <w:pPr>
              <w:pStyle w:val="Compact"/>
            </w:pPr>
          </w:p>
        </w:tc>
        <w:tc>
          <w:tcPr/>
          <w:p>
            <w:pPr>
              <w:pStyle w:val="Compact"/>
              <w:jc w:val="left"/>
            </w:pPr>
            <m:oMath>
              <m:r>
                <m:rPr>
                  <m:sty m:val="p"/>
                </m:rPr>
                <m:t>±</m:t>
              </m:r>
              <m:r>
                <m:t>80</m:t>
              </m:r>
              <m:r>
                <m:rPr>
                  <m:sty m:val="p"/>
                </m:rPr>
                <m:t>%</m:t>
              </m:r>
            </m:oMath>
            <w:r>
              <w:t xml:space="preserve"> </w:t>
            </w:r>
            <w:r>
              <w:t xml:space="preserve">sinusoidal bursts, period 20 s</w:t>
            </w:r>
          </w:p>
        </w:tc>
      </w:tr>
      <w:tr>
        <w:tc>
          <w:tcPr/>
          <w:p>
            <w:pPr>
              <w:pStyle w:val="Compact"/>
              <w:jc w:val="left"/>
            </w:pPr>
            <w:r>
              <w:t xml:space="preserve">Run length</w:t>
            </w:r>
          </w:p>
        </w:tc>
        <w:tc>
          <w:tcPr/>
          <w:p>
            <w:pPr>
              <w:pStyle w:val="Compact"/>
              <w:jc w:val="left"/>
            </w:pPr>
            <w:r>
              <w:t xml:space="preserve">30 s (5 s warm-up); 10 seeds</w:t>
            </w:r>
          </w:p>
        </w:tc>
      </w:tr>
    </w:tbl>
    <w:bookmarkEnd w:id="26"/>
    <w:p>
      <w:pPr>
        <w:pStyle w:val="BodyText"/>
      </w:pPr>
      <w:r>
        <w:rPr>
          <w:b/>
          <w:bCs/>
        </w:rPr>
        <w:t xml:space="preserve">Load.</w:t>
      </w:r>
      <w:r>
        <w:t xml:space="preserve"> </w:t>
      </w:r>
      <w:r>
        <w:t xml:space="preserve">Offered load</w:t>
      </w:r>
      <w:r>
        <w:t xml:space="preserve"> </w:t>
      </w:r>
      <m:oMath>
        <m:r>
          <m:t>ρ</m:t>
        </m:r>
      </m:oMath>
      <w:r>
        <w:t xml:space="preserve"> </w:t>
      </w:r>
      <w:r>
        <w:t xml:space="preserve">is the demanded slot-seconds per second divided by the total number of slots.</w:t>
      </w:r>
      <w:r>
        <w:t xml:space="preserve"> </w:t>
      </w:r>
      <w:r>
        <w:t xml:space="preserve">“Share of demand”</w:t>
      </w:r>
      <w:r>
        <w:t xml:space="preserve"> </w:t>
      </w:r>
      <w:r>
        <w:t xml:space="preserve">in Table II is measured in slot-seconds; by request count, classification requests are about 99% of all requests, which is why we also report the category-balanced metric.</w:t>
      </w:r>
    </w:p>
    <w:p>
      <w:pPr>
        <w:pStyle w:val="BodyText"/>
      </w:pPr>
      <w:r>
        <w:rPr>
          <w:b/>
          <w:bCs/>
        </w:rPr>
        <w:t xml:space="preserve">Baselines.</w:t>
      </w:r>
      <w:r>
        <w:t xml:space="preserve"> </w:t>
      </w:r>
      <w:r>
        <w:rPr>
          <w:i/>
          <w:iCs/>
        </w:rPr>
        <w:t xml:space="preserve">Local only</w:t>
      </w:r>
      <w:r>
        <w:t xml:space="preserve"> </w:t>
      </w:r>
      <w:r>
        <w:t xml:space="preserve">never offloads.</w:t>
      </w:r>
      <w:r>
        <w:t xml:space="preserve"> </w:t>
      </w:r>
      <w:r>
        <w:rPr>
          <w:i/>
          <w:iCs/>
        </w:rPr>
        <w:t xml:space="preserve">Round-robin</w:t>
      </w:r>
      <w:r>
        <w:t xml:space="preserve"> </w:t>
      </w:r>
      <w:r>
        <w:t xml:space="preserve">(RR) forwards to the next server in a per-server cycle, an InterEdge-style decentralized baseline </w:t>
      </w:r>
      <w:r>
        <w:t xml:space="preserve">[2], [3]</w:t>
      </w:r>
      <w:r>
        <w:t xml:space="preserve">.</w:t>
      </w:r>
      <w:r>
        <w:t xml:space="preserve"> </w:t>
      </w:r>
      <w:r>
        <w:rPr>
          <w:i/>
          <w:iCs/>
        </w:rPr>
        <w:t xml:space="preserve">EPARA-style</w:t>
      </w:r>
      <w:r>
        <w:t xml:space="preserve"> </w:t>
      </w:r>
      <w:r>
        <w:t xml:space="preserve">offloads with probability proportional to</w:t>
      </w:r>
      <w:r>
        <w:t xml:space="preserve"> </w:t>
      </w:r>
      <m:oMath>
        <m:r>
          <m:t>ϕ</m:t>
        </m:r>
        <m:r>
          <m:rPr>
            <m:sty m:val="p"/>
          </m:rPr>
          <m:t>(</m:t>
        </m:r>
        <m:sSub>
          <m:e>
            <m:acc>
              <m:accPr>
                <m:chr m:val="̂"/>
              </m:accPr>
              <m:e>
                <m:r>
                  <m:t>σ</m:t>
                </m:r>
              </m:e>
            </m:acc>
          </m:e>
          <m:sub>
            <m:r>
              <m:t>i</m:t>
            </m:r>
            <m:r>
              <m:t>j</m:t>
            </m:r>
          </m:sub>
        </m:sSub>
        <m:r>
          <m:rPr>
            <m:sty m:val="p"/>
          </m:rPr>
          <m:t>,</m:t>
        </m:r>
        <m:r>
          <m:t>m</m:t>
        </m:r>
        <m:r>
          <m:rPr>
            <m:sty m:val="p"/>
          </m:rPr>
          <m:t>)</m:t>
        </m:r>
      </m:oMath>
      <w:r>
        <w:t xml:space="preserve"> </w:t>
      </w:r>
      <w:r>
        <w:t xml:space="preserve">and proximity, i.e., (3) without the trust and best-fit factors.</w:t>
      </w:r>
      <w:r>
        <w:t xml:space="preserve"> </w:t>
      </w:r>
      <w:r>
        <w:rPr>
          <w:i/>
          <w:iCs/>
        </w:rPr>
        <w:t xml:space="preserve">TF</w:t>
      </w:r>
      <w:r>
        <w:t xml:space="preserve"> </w:t>
      </w:r>
      <w:r>
        <w:t xml:space="preserve">is EPARA-style plus the trust filter (</w:t>
      </w:r>
      <m:oMath>
        <m:r>
          <m:t>γ</m:t>
        </m:r>
        <m:r>
          <m:rPr>
            <m:sty m:val="p"/>
          </m:rPr>
          <m:t>=</m:t>
        </m:r>
        <m:r>
          <m:t>1</m:t>
        </m:r>
      </m:oMath>
      <w:r>
        <w:t xml:space="preserve">). All policies share the same operator layer, placement, topology and arrival sequence for a given seed.</w:t>
      </w:r>
    </w:p>
    <w:p>
      <w:pPr>
        <w:pStyle w:val="BodyText"/>
      </w:pPr>
      <w:r>
        <w:rPr>
          <w:b/>
          <w:bCs/>
        </w:rPr>
        <w:t xml:space="preserve">Metrics and statistics.</w:t>
      </w:r>
      <w:r>
        <w:t xml:space="preserve"> </w:t>
      </w:r>
      <w:r>
        <w:t xml:space="preserve">We report raw and compliant SLO attainment (per request and category-balanced), compliant goodput (2), violation rate, throttled fraction, server availability (outage model), mean forwards per request and wall-clock routing time per request (Python prototype on an Apple M3). Values are means with 95% Student-</w:t>
      </w:r>
      <m:oMath>
        <m:r>
          <m:t>t</m:t>
        </m:r>
      </m:oMath>
      <w:r>
        <w:t xml:space="preserve"> </w:t>
      </w:r>
      <w:r>
        <w:t xml:space="preserve">confidence intervals over 10 seeds (5 in the scale study); pairwise differences use paired Wilcoxon signed-rank tests over seeds. With 10 pairs, the smallest attainable two-sided</w:t>
      </w:r>
      <w:r>
        <w:t xml:space="preserve"> </w:t>
      </w:r>
      <m:oMath>
        <m:r>
          <m:t>p</m:t>
        </m:r>
      </m:oMath>
      <w:r>
        <w:t xml:space="preserve"> </w:t>
      </w:r>
      <w:r>
        <w:t xml:space="preserve">is</w:t>
      </w:r>
      <w:r>
        <w:t xml:space="preserve"> </w:t>
      </w:r>
      <m:oMath>
        <m:r>
          <m:t>0.002</m:t>
        </m:r>
      </m:oMath>
      <w:r>
        <w:t xml:space="preserve">.</w:t>
      </w:r>
    </w:p>
    <w:bookmarkEnd w:id="27"/>
    <w:bookmarkStart w:id="60" w:name="vi.-results"/>
    <w:p>
      <w:pPr>
        <w:pStyle w:val="Heading1"/>
      </w:pPr>
      <w:r>
        <w:t xml:space="preserve">VI. Results</w:t>
      </w:r>
    </w:p>
    <w:bookmarkStart w:id="33" w:name="X4e4bca3245392a4f356ed4fe52c88844469c459"/>
    <w:p>
      <w:pPr>
        <w:pStyle w:val="Heading2"/>
      </w:pPr>
      <w:r>
        <w:t xml:space="preserve">A. Trust violations and compliant goodput under load</w:t>
      </w:r>
    </w:p>
    <w:p>
      <w:pPr>
        <w:pStyle w:val="FirstParagraph"/>
      </w:pPr>
      <w:r>
        <w:t xml:space="preserve">Fig. 2 and Table III compare the routers across offered load. Every router that ignores trust constraints serves a large, load-independent fraction of requests at ineligible servers: 18–20% for EPARA-style and round-robin offloading at all loads, and 17% even for local-only service, because a request’s own origin server is ineligible whenever its clearance is below the request’s sensitivity (Fig. 2d). The trust filter removes all violations by construction.</w:t>
      </w:r>
    </w:p>
    <w:p>
      <w:pPr>
        <w:pStyle w:val="BodyText"/>
      </w:pPr>
      <w:r>
        <w:t xml:space="preserve">The filter costs little raw goodput and gains a great deal of compliant goodput. At</w:t>
      </w:r>
      <w:r>
        <w:t xml:space="preserve"> </w:t>
      </w:r>
      <m:oMath>
        <m:r>
          <m:t>ρ</m:t>
        </m:r>
        <m:r>
          <m:rPr>
            <m:sty m:val="p"/>
          </m:rPr>
          <m:t>=</m:t>
        </m:r>
        <m:r>
          <m:t>0.8</m:t>
        </m:r>
      </m:oMath>
      <w:r>
        <w:t xml:space="preserve">, the EPARA-style router serves 1737 requests/s in time, but only 1391 of them lawfully;</w:t>
      </w:r>
      <w:r>
        <w:t xml:space="preserve"> </w:t>
      </w:r>
      <w:r>
        <w:rPr>
          <w:smallCaps/>
        </w:rPr>
        <w:t xml:space="preserve">Trace</w:t>
      </w:r>
      <w:r>
        <w:t xml:space="preserve"> </w:t>
      </w:r>
      <w:r>
        <w:t xml:space="preserve">serves 1698 requests/s, all lawfully—a 22% increase in compliant goodput, within 2.3% of EPARA-style’s raw goodput. The compliant SLO advantage of</w:t>
      </w:r>
      <w:r>
        <w:t xml:space="preserve"> </w:t>
      </w:r>
      <w:r>
        <w:rPr>
          <w:smallCaps/>
        </w:rPr>
        <w:t xml:space="preserve">Trace</w:t>
      </w:r>
      <w:r>
        <w:t xml:space="preserve"> </w:t>
      </w:r>
      <w:r>
        <w:t xml:space="preserve">over EPARA-style is</w:t>
      </w:r>
      <w:r>
        <w:t xml:space="preserve"> </w:t>
      </w:r>
      <m:oMath>
        <m:r>
          <m:rPr>
            <m:sty m:val="p"/>
          </m:rPr>
          <m:t>+</m:t>
        </m:r>
        <m:r>
          <m:t>0.159</m:t>
        </m:r>
        <m:r>
          <m:rPr>
            <m:sty m:val="p"/>
          </m:rPr>
          <m:t>±</m:t>
        </m:r>
        <m:r>
          <m:t>0.074</m:t>
        </m:r>
      </m:oMath>
      <w:r>
        <w:t xml:space="preserve"> </w:t>
      </w:r>
      <w:r>
        <w:t xml:space="preserve">at</w:t>
      </w:r>
      <w:r>
        <w:t xml:space="preserve"> </w:t>
      </w:r>
      <m:oMath>
        <m:r>
          <m:t>ρ</m:t>
        </m:r>
        <m:r>
          <m:rPr>
            <m:sty m:val="p"/>
          </m:rPr>
          <m:t>=</m:t>
        </m:r>
        <m:r>
          <m:t>0.8</m:t>
        </m:r>
      </m:oMath>
      <w:r>
        <w:t xml:space="preserve"> </w:t>
      </w:r>
      <w:r>
        <w:t xml:space="preserve">and significant at every load we tested (</w:t>
      </w:r>
      <m:oMath>
        <m:r>
          <m:t>p</m:t>
        </m:r>
        <m:r>
          <m:rPr>
            <m:sty m:val="p"/>
          </m:rPr>
          <m:t>=</m:t>
        </m:r>
        <m:r>
          <m:t>0.002</m:t>
        </m:r>
      </m:oMath>
      <w:r>
        <w:t xml:space="preserve">,</w:t>
      </w:r>
      <w:r>
        <w:t xml:space="preserve"> </w:t>
      </w:r>
      <w:r>
        <w:rPr>
          <w:smallCaps/>
        </w:rPr>
        <w:t xml:space="preserve">Trace</w:t>
      </w:r>
      <w:r>
        <w:t xml:space="preserve"> </w:t>
      </w:r>
      <w:r>
        <w:t xml:space="preserve">better on all 10 seeds at</w:t>
      </w:r>
      <w:r>
        <w:t xml:space="preserve"> </w:t>
      </w:r>
      <m:oMath>
        <m:r>
          <m:t>ρ</m:t>
        </m:r>
        <m:r>
          <m:rPr>
            <m:sty m:val="p"/>
          </m:rPr>
          <m:t>∈</m:t>
        </m:r>
        <m:r>
          <m:rPr>
            <m:sty m:val="p"/>
          </m:rPr>
          <m:t>{</m:t>
        </m:r>
        <m:r>
          <m:t>0.4</m:t>
        </m:r>
        <m:r>
          <m:rPr>
            <m:sty m:val="p"/>
          </m:rPr>
          <m:t>,</m:t>
        </m:r>
        <m:r>
          <m:t>0.8</m:t>
        </m:r>
        <m:r>
          <m:rPr>
            <m:sty m:val="p"/>
          </m:rPr>
          <m:t>,</m:t>
        </m:r>
        <m:r>
          <m:t>1.0</m:t>
        </m:r>
        <m:r>
          <m:rPr>
            <m:sty m:val="p"/>
          </m:rPr>
          <m:t>}</m:t>
        </m:r>
      </m:oMath>
      <w:r>
        <w:t xml:space="preserve">). The category-balanced metric tells the same story (</w:t>
      </w:r>
      <m:oMath>
        <m:r>
          <m:rPr>
            <m:sty m:val="p"/>
          </m:rPr>
          <m:t>+</m:t>
        </m:r>
        <m:r>
          <m:t>0.147</m:t>
        </m:r>
        <m:r>
          <m:rPr>
            <m:sty m:val="p"/>
          </m:rPr>
          <m:t>±</m:t>
        </m:r>
        <m:r>
          <m:t>0.039</m:t>
        </m:r>
      </m:oMath>
      <w:r>
        <w:t xml:space="preserve"> </w:t>
      </w:r>
      <w:r>
        <w:t xml:space="preserve">at</w:t>
      </w:r>
      <w:r>
        <w:t xml:space="preserve"> </w:t>
      </w:r>
      <m:oMath>
        <m:r>
          <m:t>ρ</m:t>
        </m:r>
        <m:r>
          <m:rPr>
            <m:sty m:val="p"/>
          </m:rPr>
          <m:t>=</m:t>
        </m:r>
        <m:r>
          <m:t>0.8</m:t>
        </m:r>
      </m:oMath>
      <w:r>
        <w:t xml:space="preserve">). The plain trust filter accounts for most of the gain (</w:t>
      </w:r>
      <m:oMath>
        <m:r>
          <m:rPr>
            <m:sty m:val="p"/>
          </m:rPr>
          <m:t>+</m:t>
        </m:r>
        <m:r>
          <m:t>0.133</m:t>
        </m:r>
        <m:r>
          <m:rPr>
            <m:sty m:val="p"/>
          </m:rPr>
          <m:t>±</m:t>
        </m:r>
        <m:r>
          <m:t>0.060</m:t>
        </m:r>
      </m:oMath>
      <w:r>
        <w:t xml:space="preserve"> </w:t>
      </w:r>
      <w:r>
        <w:t xml:space="preserve">over EPARA-style,</w:t>
      </w:r>
      <w:r>
        <w:t xml:space="preserve"> </w:t>
      </w:r>
      <m:oMath>
        <m:r>
          <m:t>p</m:t>
        </m:r>
        <m:r>
          <m:rPr>
            <m:sty m:val="p"/>
          </m:rPr>
          <m:t>=</m:t>
        </m:r>
        <m:r>
          <m:t>0.004</m:t>
        </m:r>
      </m:oMath>
      <w:r>
        <w:t xml:space="preserve">); with the default sensitivity mix, best-fit clearance adds a further</w:t>
      </w:r>
      <w:r>
        <w:t xml:space="preserve"> </w:t>
      </w:r>
      <m:oMath>
        <m:r>
          <m:rPr>
            <m:sty m:val="p"/>
          </m:rPr>
          <m:t>+</m:t>
        </m:r>
        <m:r>
          <m:t>0.026</m:t>
        </m:r>
        <m:r>
          <m:rPr>
            <m:sty m:val="p"/>
          </m:rPr>
          <m:t>±</m:t>
        </m:r>
        <m:r>
          <m:t>0.041</m:t>
        </m:r>
      </m:oMath>
      <w:r>
        <w:t xml:space="preserve">, which is not significant (</w:t>
      </w:r>
      <m:oMath>
        <m:r>
          <m:t>p</m:t>
        </m:r>
        <m:r>
          <m:rPr>
            <m:sty m:val="p"/>
          </m:rPr>
          <m:t>=</m:t>
        </m:r>
        <m:r>
          <m:t>0.065</m:t>
        </m:r>
      </m:oMath>
      <w:r>
        <w:t xml:space="preserve">).</w:t>
      </w:r>
    </w:p>
    <w:p>
      <w:pPr>
        <w:pStyle w:val="BodyText"/>
      </w:pPr>
      <w:r>
        <w:t xml:space="preserve">Capacity-proportional offloading itself is clearly better than round-robin below saturation (EPARA-style vs. RR at</w:t>
      </w:r>
      <w:r>
        <w:t xml:space="preserve"> </w:t>
      </w:r>
      <m:oMath>
        <m:r>
          <m:t>ρ</m:t>
        </m:r>
        <m:r>
          <m:rPr>
            <m:sty m:val="p"/>
          </m:rPr>
          <m:t>=</m:t>
        </m:r>
        <m:r>
          <m:t>0.8</m:t>
        </m:r>
      </m:oMath>
      <w:r>
        <w:t xml:space="preserve">:</w:t>
      </w:r>
      <w:r>
        <w:t xml:space="preserve"> </w:t>
      </w:r>
      <m:oMath>
        <m:r>
          <m:rPr>
            <m:sty m:val="p"/>
          </m:rPr>
          <m:t>+</m:t>
        </m:r>
        <m:r>
          <m:t>0.157</m:t>
        </m:r>
      </m:oMath>
      <w:r>
        <w:t xml:space="preserve"> </w:t>
      </w:r>
      <w:r>
        <w:t xml:space="preserve">compliant SLO,</w:t>
      </w:r>
      <w:r>
        <w:t xml:space="preserve"> </w:t>
      </w:r>
      <m:oMath>
        <m:r>
          <m:t>p</m:t>
        </m:r>
        <m:r>
          <m:rPr>
            <m:sty m:val="p"/>
          </m:rPr>
          <m:t>=</m:t>
        </m:r>
        <m:r>
          <m:t>0.002</m:t>
        </m:r>
      </m:oMath>
      <w:r>
        <w:t xml:space="preserve">), consistent with EPARA’s design rationale </w:t>
      </w:r>
      <w:r>
        <w:t xml:space="preserve">[2]</w:t>
      </w:r>
      <w:r>
        <w:t xml:space="preserve">. Near saturation the picture changes, which we analyze in Section VI-D.</w:t>
      </w:r>
    </w:p>
    <w:bookmarkStart w:id="31" w:name="fig:load"/>
    <w:p>
      <w:pPr>
        <w:pStyle w:val="CaptionedFigure"/>
      </w:pPr>
      <w:r>
        <w:drawing>
          <wp:inline>
            <wp:extent cx="5943600" cy="1522905"/>
            <wp:effectExtent b="0" l="0" r="0" t="0"/>
            <wp:docPr descr="" title="" id="29" name="Picture"/>
            <a:graphic>
              <a:graphicData uri="http://schemas.openxmlformats.org/drawingml/2006/picture">
                <pic:pic>
                  <pic:nvPicPr>
                    <pic:cNvPr descr="docx_build/fig_load.png" id="30" name="Picture"/>
                    <pic:cNvPicPr>
                      <a:picLocks noChangeArrowheads="1" noChangeAspect="1"/>
                    </pic:cNvPicPr>
                  </pic:nvPicPr>
                  <pic:blipFill>
                    <a:blip r:embed="rId28"/>
                    <a:stretch>
                      <a:fillRect/>
                    </a:stretch>
                  </pic:blipFill>
                  <pic:spPr bwMode="auto">
                    <a:xfrm>
                      <a:off x="0" y="0"/>
                      <a:ext cx="5943600" cy="1522905"/>
                    </a:xfrm>
                    <a:prstGeom prst="rect">
                      <a:avLst/>
                    </a:prstGeom>
                    <a:noFill/>
                    <a:ln w="9525">
                      <a:noFill/>
                      <a:headEnd/>
                      <a:tailEnd/>
                    </a:ln>
                  </pic:spPr>
                </pic:pic>
              </a:graphicData>
            </a:graphic>
          </wp:inline>
        </w:drawing>
      </w:r>
    </w:p>
    <w:p>
      <w:pPr>
        <w:pStyle w:val="ImageCaption"/>
      </w:pPr>
      <w:r>
        <w:t xml:space="preserve">Fig. 2. Routing under increasing offered load (30 servers, default sensitivity mix; mean and 95% CI over 10 seeds). (a) Compliant goodput, (b) per-request and (c) category-balanced compliant SLO attainment, (d) fraction of requests served at a server that violates the trust constraint (1).</w:t>
      </w:r>
    </w:p>
    <w:bookmarkEnd w:id="31"/>
    <w:bookmarkStart w:id="32" w:name="tab:main"/>
    <w:p>
      <w:pPr>
        <w:pStyle w:val="TableCaption"/>
      </w:pPr>
      <w:r>
        <w:t xml:space="preserve">TABLE III. Routers at offered load</w:t>
      </w:r>
      <w:r>
        <w:t xml:space="preserve"> </w:t>
      </w:r>
      <m:oMath>
        <m:r>
          <m:t>ρ</m:t>
        </m:r>
        <m:r>
          <m:rPr>
            <m:sty m:val="p"/>
          </m:rPr>
          <m:t>=</m:t>
        </m:r>
        <m:r>
          <m:t>0.8</m:t>
        </m:r>
      </m:oMath>
      <w:r>
        <w:t xml:space="preserve"> </w:t>
      </w:r>
      <w:r>
        <w:t xml:space="preserve">(mean</w:t>
      </w:r>
      <w:r>
        <w:t xml:space="preserve"> </w:t>
      </w:r>
      <m:oMath>
        <m:r>
          <m:rPr>
            <m:sty m:val="p"/>
          </m:rPr>
          <m:t>±</m:t>
        </m:r>
      </m:oMath>
      <w:r>
        <w:t xml:space="preserve"> </w:t>
      </w:r>
      <w:r>
        <w:t xml:space="preserve">95% CI, 10 seeds). SLO: raw SLO attainment; C-SLO: compliant SLO attainment, per request and category-balanced; Viol.: trust-violation rate; C-goodput: compliant goodput (req/s); Fwd.: forwards per request;</w:t>
      </w:r>
      <w:r>
        <w:t xml:space="preserve"> </w:t>
      </w:r>
      <m:oMath>
        <m:r>
          <m:t>μ</m:t>
        </m:r>
      </m:oMath>
      <w:r>
        <w:t xml:space="preserve">s: routing time per request in the Python prototype.</w:t>
      </w:r>
    </w:p>
    <w:tbl>
      <w:tblPr>
        <w:tblStyle w:val="Table"/>
        <w:tblW w:type="dxa" w:w="9360"/>
        <w:tblLook w:firstRow="1" w:lastRow="0" w:firstColumn="0" w:lastColumn="0" w:noHBand="0" w:noVBand="0" w:val="0020"/>
        <w:tblCaption w:val="TABLE III. Routers at offered load \rho=0.8 (mean \pm 95% CI, 10 seeds). SLO: raw SLO attainment; C-SLO: compliant SLO attainment, per request and category-balanced; Viol.: trust-violation rate; C-goodput: compliant goodput (req/s); Fwd.: forwards per request; \mus: routing time per request in the Python prototype."/>
      </w:tblPr>
      <w:tblGrid>
        <w:gridCol w:w="2463"/>
        <w:gridCol w:w="1084"/>
        <w:gridCol w:w="1084"/>
        <w:gridCol w:w="1084"/>
        <w:gridCol w:w="1084"/>
        <w:gridCol w:w="887"/>
        <w:gridCol w:w="887"/>
        <w:gridCol w:w="787"/>
      </w:tblGrid>
      <w:tr>
        <w:trPr>
          <w:tblHeader w:val="on"/>
        </w:trPr>
        <w:tc>
          <w:tcPr/>
          <w:p>
            <w:pPr>
              <w:pStyle w:val="Compact"/>
              <w:jc w:val="left"/>
            </w:pPr>
            <w:r>
              <w:t xml:space="preserve">Policy</w:t>
            </w:r>
          </w:p>
        </w:tc>
        <w:tc>
          <w:tcPr/>
          <w:p>
            <w:pPr>
              <w:pStyle w:val="Compact"/>
              <w:jc w:val="center"/>
            </w:pPr>
            <w:r>
              <w:t xml:space="preserve">SLO</w:t>
            </w:r>
          </w:p>
        </w:tc>
        <w:tc>
          <w:tcPr/>
          <w:p>
            <w:pPr>
              <w:pStyle w:val="Compact"/>
              <w:jc w:val="center"/>
            </w:pPr>
            <w:r>
              <w:t xml:space="preserve">C-SLO</w:t>
            </w:r>
          </w:p>
        </w:tc>
        <w:tc>
          <w:tcPr/>
          <w:p>
            <w:pPr>
              <w:pStyle w:val="Compact"/>
              <w:jc w:val="center"/>
            </w:pPr>
            <w:r>
              <w:t xml:space="preserve">C-SLO</w:t>
            </w:r>
            <m:oMath>
              <m:sSub>
                <m:e>
                  <m:r>
                    <m:t>​</m:t>
                  </m:r>
                </m:e>
                <m:sub>
                  <m:r>
                    <m:t>b</m:t>
                  </m:r>
                  <m:r>
                    <m:t>a</m:t>
                  </m:r>
                  <m:r>
                    <m:t>l</m:t>
                  </m:r>
                </m:sub>
              </m:sSub>
            </m:oMath>
          </w:p>
        </w:tc>
        <w:tc>
          <w:tcPr/>
          <w:p>
            <w:pPr>
              <w:pStyle w:val="Compact"/>
              <w:jc w:val="center"/>
            </w:pPr>
            <w:r>
              <w:t xml:space="preserve">Viol.</w:t>
            </w:r>
          </w:p>
        </w:tc>
        <w:tc>
          <w:tcPr/>
          <w:p>
            <w:pPr>
              <w:pStyle w:val="Compact"/>
              <w:jc w:val="center"/>
            </w:pPr>
            <w:r>
              <w:t xml:space="preserve">C-goodput</w:t>
            </w:r>
          </w:p>
        </w:tc>
        <w:tc>
          <w:tcPr/>
          <w:p>
            <w:pPr>
              <w:pStyle w:val="Compact"/>
              <w:jc w:val="center"/>
            </w:pPr>
            <w:r>
              <w:t xml:space="preserve">Fwd.</w:t>
            </w:r>
          </w:p>
        </w:tc>
        <w:tc>
          <w:tcPr/>
          <w:p>
            <w:pPr>
              <w:pStyle w:val="Compact"/>
              <w:jc w:val="center"/>
            </w:pPr>
            <m:oMath>
              <m:r>
                <m:t>μ</m:t>
              </m:r>
            </m:oMath>
            <w:r>
              <w:t xml:space="preserve">s</w:t>
            </w:r>
          </w:p>
        </w:tc>
      </w:tr>
      <w:tr>
        <w:tc>
          <w:tcPr/>
          <w:p>
            <w:pPr>
              <w:pStyle w:val="Compact"/>
              <w:jc w:val="left"/>
            </w:pPr>
            <w:r>
              <w:t xml:space="preserve">Local only</w:t>
            </w:r>
          </w:p>
        </w:tc>
        <w:tc>
          <w:tcPr/>
          <w:p>
            <w:pPr>
              <w:pStyle w:val="Compact"/>
              <w:jc w:val="center"/>
            </w:pPr>
            <w:r>
              <w:t xml:space="preserve">0.253</w:t>
            </w:r>
            <m:oMath>
              <m:r>
                <m:rPr>
                  <m:sty m:val="p"/>
                </m:rPr>
                <m:t>±</m:t>
              </m:r>
            </m:oMath>
            <w:r>
              <w:t xml:space="preserve">0.025</w:t>
            </w:r>
          </w:p>
        </w:tc>
        <w:tc>
          <w:tcPr/>
          <w:p>
            <w:pPr>
              <w:pStyle w:val="Compact"/>
              <w:jc w:val="center"/>
            </w:pPr>
            <w:r>
              <w:t xml:space="preserve">0.206</w:t>
            </w:r>
            <m:oMath>
              <m:r>
                <m:rPr>
                  <m:sty m:val="p"/>
                </m:rPr>
                <m:t>±</m:t>
              </m:r>
            </m:oMath>
            <w:r>
              <w:t xml:space="preserve">0.023</w:t>
            </w:r>
          </w:p>
        </w:tc>
        <w:tc>
          <w:tcPr/>
          <w:p>
            <w:pPr>
              <w:pStyle w:val="Compact"/>
              <w:jc w:val="center"/>
            </w:pPr>
            <w:r>
              <w:t xml:space="preserve">0.211</w:t>
            </w:r>
            <m:oMath>
              <m:r>
                <m:rPr>
                  <m:sty m:val="p"/>
                </m:rPr>
                <m:t>±</m:t>
              </m:r>
            </m:oMath>
            <w:r>
              <w:t xml:space="preserve">0.022</w:t>
            </w:r>
          </w:p>
        </w:tc>
        <w:tc>
          <w:tcPr/>
          <w:p>
            <w:pPr>
              <w:pStyle w:val="Compact"/>
              <w:jc w:val="center"/>
            </w:pPr>
            <w:r>
              <w:t xml:space="preserve">0.166</w:t>
            </w:r>
            <m:oMath>
              <m:r>
                <m:rPr>
                  <m:sty m:val="p"/>
                </m:rPr>
                <m:t>±</m:t>
              </m:r>
            </m:oMath>
            <w:r>
              <w:t xml:space="preserve">0.019</w:t>
            </w:r>
          </w:p>
        </w:tc>
        <w:tc>
          <w:tcPr/>
          <w:p>
            <w:pPr>
              <w:pStyle w:val="Compact"/>
              <w:jc w:val="center"/>
            </w:pPr>
            <w:r>
              <w:t xml:space="preserve">407</w:t>
            </w:r>
            <m:oMath>
              <m:r>
                <m:rPr>
                  <m:sty m:val="p"/>
                </m:rPr>
                <m:t>±</m:t>
              </m:r>
            </m:oMath>
            <w:r>
              <w:t xml:space="preserve">57</w:t>
            </w:r>
          </w:p>
        </w:tc>
        <w:tc>
          <w:tcPr/>
          <w:p>
            <w:pPr>
              <w:pStyle w:val="Compact"/>
              <w:jc w:val="center"/>
            </w:pPr>
            <w:r>
              <w:t xml:space="preserve">0.00</w:t>
            </w:r>
            <m:oMath>
              <m:r>
                <m:rPr>
                  <m:sty m:val="p"/>
                </m:rPr>
                <m:t>±</m:t>
              </m:r>
            </m:oMath>
            <w:r>
              <w:t xml:space="preserve">0.00</w:t>
            </w:r>
          </w:p>
        </w:tc>
        <w:tc>
          <w:tcPr/>
          <w:p>
            <w:pPr>
              <w:pStyle w:val="Compact"/>
              <w:jc w:val="center"/>
            </w:pPr>
            <w:r>
              <w:t xml:space="preserve">0.0</w:t>
            </w:r>
            <m:oMath>
              <m:r>
                <m:rPr>
                  <m:sty m:val="p"/>
                </m:rPr>
                <m:t>±</m:t>
              </m:r>
            </m:oMath>
            <w:r>
              <w:t xml:space="preserve">0.0</w:t>
            </w:r>
          </w:p>
        </w:tc>
      </w:tr>
      <w:tr>
        <w:tc>
          <w:tcPr/>
          <w:p>
            <w:pPr>
              <w:pStyle w:val="Compact"/>
              <w:jc w:val="left"/>
            </w:pPr>
            <w:r>
              <w:t xml:space="preserve">Round-robin</w:t>
            </w:r>
          </w:p>
        </w:tc>
        <w:tc>
          <w:tcPr/>
          <w:p>
            <w:pPr>
              <w:pStyle w:val="Compact"/>
              <w:jc w:val="center"/>
            </w:pPr>
            <w:r>
              <w:t xml:space="preserve">0.678</w:t>
            </w:r>
            <m:oMath>
              <m:r>
                <m:rPr>
                  <m:sty m:val="p"/>
                </m:rPr>
                <m:t>±</m:t>
              </m:r>
            </m:oMath>
            <w:r>
              <w:t xml:space="preserve">0.058</w:t>
            </w:r>
          </w:p>
        </w:tc>
        <w:tc>
          <w:tcPr/>
          <w:p>
            <w:pPr>
              <w:pStyle w:val="Compact"/>
              <w:jc w:val="center"/>
            </w:pPr>
            <w:r>
              <w:t xml:space="preserve">0.550</w:t>
            </w:r>
            <m:oMath>
              <m:r>
                <m:rPr>
                  <m:sty m:val="p"/>
                </m:rPr>
                <m:t>±</m:t>
              </m:r>
            </m:oMath>
            <w:r>
              <w:t xml:space="preserve">0.047</w:t>
            </w:r>
          </w:p>
        </w:tc>
        <w:tc>
          <w:tcPr/>
          <w:p>
            <w:pPr>
              <w:pStyle w:val="Compact"/>
              <w:jc w:val="center"/>
            </w:pPr>
            <w:r>
              <w:t xml:space="preserve">0.561</w:t>
            </w:r>
            <m:oMath>
              <m:r>
                <m:rPr>
                  <m:sty m:val="p"/>
                </m:rPr>
                <m:t>±</m:t>
              </m:r>
            </m:oMath>
            <w:r>
              <w:t xml:space="preserve">0.037</w:t>
            </w:r>
          </w:p>
        </w:tc>
        <w:tc>
          <w:tcPr/>
          <w:p>
            <w:pPr>
              <w:pStyle w:val="Compact"/>
              <w:jc w:val="center"/>
            </w:pPr>
            <w:r>
              <w:t xml:space="preserve">0.195</w:t>
            </w:r>
            <m:oMath>
              <m:r>
                <m:rPr>
                  <m:sty m:val="p"/>
                </m:rPr>
                <m:t>±</m:t>
              </m:r>
            </m:oMath>
            <w:r>
              <w:t xml:space="preserve">0.013</w:t>
            </w:r>
          </w:p>
        </w:tc>
        <w:tc>
          <w:tcPr/>
          <w:p>
            <w:pPr>
              <w:pStyle w:val="Compact"/>
              <w:jc w:val="center"/>
            </w:pPr>
            <w:r>
              <w:t xml:space="preserve">1078</w:t>
            </w:r>
            <m:oMath>
              <m:r>
                <m:rPr>
                  <m:sty m:val="p"/>
                </m:rPr>
                <m:t>±</m:t>
              </m:r>
            </m:oMath>
            <w:r>
              <w:t xml:space="preserve">99</w:t>
            </w:r>
          </w:p>
        </w:tc>
        <w:tc>
          <w:tcPr/>
          <w:p>
            <w:pPr>
              <w:pStyle w:val="Compact"/>
              <w:jc w:val="center"/>
            </w:pPr>
            <w:r>
              <w:t xml:space="preserve">1.25</w:t>
            </w:r>
            <m:oMath>
              <m:r>
                <m:rPr>
                  <m:sty m:val="p"/>
                </m:rPr>
                <m:t>±</m:t>
              </m:r>
            </m:oMath>
            <w:r>
              <w:t xml:space="preserve">0.08</w:t>
            </w:r>
          </w:p>
        </w:tc>
        <w:tc>
          <w:tcPr/>
          <w:p>
            <w:pPr>
              <w:pStyle w:val="Compact"/>
              <w:jc w:val="center"/>
            </w:pPr>
            <w:r>
              <w:t xml:space="preserve">1.5</w:t>
            </w:r>
            <m:oMath>
              <m:r>
                <m:rPr>
                  <m:sty m:val="p"/>
                </m:rPr>
                <m:t>±</m:t>
              </m:r>
            </m:oMath>
            <w:r>
              <w:t xml:space="preserve">0.1</w:t>
            </w:r>
          </w:p>
        </w:tc>
      </w:tr>
      <w:tr>
        <w:tc>
          <w:tcPr/>
          <w:p>
            <w:pPr>
              <w:pStyle w:val="Compact"/>
              <w:jc w:val="left"/>
            </w:pPr>
            <w:r>
              <w:t xml:space="preserve">RR, shared pointer (ref.)</w:t>
            </w:r>
          </w:p>
        </w:tc>
        <w:tc>
          <w:tcPr/>
          <w:p>
            <w:pPr>
              <w:pStyle w:val="Compact"/>
              <w:jc w:val="center"/>
            </w:pPr>
            <w:r>
              <w:t xml:space="preserve">0.720</w:t>
            </w:r>
            <m:oMath>
              <m:r>
                <m:rPr>
                  <m:sty m:val="p"/>
                </m:rPr>
                <m:t>±</m:t>
              </m:r>
            </m:oMath>
            <w:r>
              <w:t xml:space="preserve">0.043</w:t>
            </w:r>
          </w:p>
        </w:tc>
        <w:tc>
          <w:tcPr/>
          <w:p>
            <w:pPr>
              <w:pStyle w:val="Compact"/>
              <w:jc w:val="center"/>
            </w:pPr>
            <w:r>
              <w:t xml:space="preserve">0.574</w:t>
            </w:r>
            <m:oMath>
              <m:r>
                <m:rPr>
                  <m:sty m:val="p"/>
                </m:rPr>
                <m:t>±</m:t>
              </m:r>
            </m:oMath>
            <w:r>
              <w:t xml:space="preserve">0.033</w:t>
            </w:r>
          </w:p>
        </w:tc>
        <w:tc>
          <w:tcPr/>
          <w:p>
            <w:pPr>
              <w:pStyle w:val="Compact"/>
              <w:jc w:val="center"/>
            </w:pPr>
            <w:r>
              <w:t xml:space="preserve">0.582</w:t>
            </w:r>
            <m:oMath>
              <m:r>
                <m:rPr>
                  <m:sty m:val="p"/>
                </m:rPr>
                <m:t>±</m:t>
              </m:r>
            </m:oMath>
            <w:r>
              <w:t xml:space="preserve">0.023</w:t>
            </w:r>
          </w:p>
        </w:tc>
        <w:tc>
          <w:tcPr/>
          <w:p>
            <w:pPr>
              <w:pStyle w:val="Compact"/>
              <w:jc w:val="center"/>
            </w:pPr>
            <w:r>
              <w:t xml:space="preserve">0.203</w:t>
            </w:r>
            <m:oMath>
              <m:r>
                <m:rPr>
                  <m:sty m:val="p"/>
                </m:rPr>
                <m:t>±</m:t>
              </m:r>
            </m:oMath>
            <w:r>
              <w:t xml:space="preserve">0.016</w:t>
            </w:r>
          </w:p>
        </w:tc>
        <w:tc>
          <w:tcPr/>
          <w:p>
            <w:pPr>
              <w:pStyle w:val="Compact"/>
              <w:jc w:val="center"/>
            </w:pPr>
            <w:r>
              <w:t xml:space="preserve">1123</w:t>
            </w:r>
            <m:oMath>
              <m:r>
                <m:rPr>
                  <m:sty m:val="p"/>
                </m:rPr>
                <m:t>±</m:t>
              </m:r>
            </m:oMath>
            <w:r>
              <w:t xml:space="preserve">66</w:t>
            </w:r>
          </w:p>
        </w:tc>
        <w:tc>
          <w:tcPr/>
          <w:p>
            <w:pPr>
              <w:pStyle w:val="Compact"/>
              <w:jc w:val="center"/>
            </w:pPr>
            <w:r>
              <w:t xml:space="preserve">1.16</w:t>
            </w:r>
            <m:oMath>
              <m:r>
                <m:rPr>
                  <m:sty m:val="p"/>
                </m:rPr>
                <m:t>±</m:t>
              </m:r>
            </m:oMath>
            <w:r>
              <w:t xml:space="preserve">0.08</w:t>
            </w:r>
          </w:p>
        </w:tc>
        <w:tc>
          <w:tcPr/>
          <w:p>
            <w:pPr>
              <w:pStyle w:val="Compact"/>
              <w:jc w:val="center"/>
            </w:pPr>
            <w:r>
              <w:t xml:space="preserve">0.9</w:t>
            </w:r>
            <m:oMath>
              <m:r>
                <m:rPr>
                  <m:sty m:val="p"/>
                </m:rPr>
                <m:t>±</m:t>
              </m:r>
            </m:oMath>
            <w:r>
              <w:t xml:space="preserve">0.1</w:t>
            </w:r>
          </w:p>
        </w:tc>
      </w:tr>
      <w:tr>
        <w:tc>
          <w:tcPr/>
          <w:p>
            <w:pPr>
              <w:pStyle w:val="Compact"/>
              <w:jc w:val="left"/>
            </w:pPr>
            <w:r>
              <w:t xml:space="preserve">EPARA-style</w:t>
            </w:r>
          </w:p>
        </w:tc>
        <w:tc>
          <w:tcPr/>
          <w:p>
            <w:pPr>
              <w:pStyle w:val="Compact"/>
              <w:jc w:val="center"/>
            </w:pPr>
            <w:r>
              <w:t xml:space="preserve">0.883</w:t>
            </w:r>
            <m:oMath>
              <m:r>
                <m:rPr>
                  <m:sty m:val="p"/>
                </m:rPr>
                <m:t>±</m:t>
              </m:r>
            </m:oMath>
            <w:r>
              <w:t xml:space="preserve">0.110</w:t>
            </w:r>
          </w:p>
        </w:tc>
        <w:tc>
          <w:tcPr/>
          <w:p>
            <w:pPr>
              <w:pStyle w:val="Compact"/>
              <w:jc w:val="center"/>
            </w:pPr>
            <w:r>
              <w:t xml:space="preserve">0.708</w:t>
            </w:r>
            <m:oMath>
              <m:r>
                <m:rPr>
                  <m:sty m:val="p"/>
                </m:rPr>
                <m:t>±</m:t>
              </m:r>
            </m:oMath>
            <w:r>
              <w:t xml:space="preserve">0.082</w:t>
            </w:r>
          </w:p>
        </w:tc>
        <w:tc>
          <w:tcPr/>
          <w:p>
            <w:pPr>
              <w:pStyle w:val="Compact"/>
              <w:jc w:val="center"/>
            </w:pPr>
            <w:r>
              <w:t xml:space="preserve">0.694</w:t>
            </w:r>
            <m:oMath>
              <m:r>
                <m:rPr>
                  <m:sty m:val="p"/>
                </m:rPr>
                <m:t>±</m:t>
              </m:r>
            </m:oMath>
            <w:r>
              <w:t xml:space="preserve">0.056</w:t>
            </w:r>
          </w:p>
        </w:tc>
        <w:tc>
          <w:tcPr/>
          <w:p>
            <w:pPr>
              <w:pStyle w:val="Compact"/>
              <w:jc w:val="center"/>
            </w:pPr>
            <w:r>
              <w:t xml:space="preserve">0.200</w:t>
            </w:r>
            <m:oMath>
              <m:r>
                <m:rPr>
                  <m:sty m:val="p"/>
                </m:rPr>
                <m:t>±</m:t>
              </m:r>
            </m:oMath>
            <w:r>
              <w:t xml:space="preserve">0.016</w:t>
            </w:r>
          </w:p>
        </w:tc>
        <w:tc>
          <w:tcPr/>
          <w:p>
            <w:pPr>
              <w:pStyle w:val="Compact"/>
              <w:jc w:val="center"/>
            </w:pPr>
            <w:r>
              <w:t xml:space="preserve">1391</w:t>
            </w:r>
            <m:oMath>
              <m:r>
                <m:rPr>
                  <m:sty m:val="p"/>
                </m:rPr>
                <m:t>±</m:t>
              </m:r>
            </m:oMath>
            <w:r>
              <w:t xml:space="preserve">187</w:t>
            </w:r>
          </w:p>
        </w:tc>
        <w:tc>
          <w:tcPr/>
          <w:p>
            <w:pPr>
              <w:pStyle w:val="Compact"/>
              <w:jc w:val="center"/>
            </w:pPr>
            <w:r>
              <w:t xml:space="preserve">0.80</w:t>
            </w:r>
            <m:oMath>
              <m:r>
                <m:rPr>
                  <m:sty m:val="p"/>
                </m:rPr>
                <m:t>±</m:t>
              </m:r>
            </m:oMath>
            <w:r>
              <w:t xml:space="preserve">0.15</w:t>
            </w:r>
          </w:p>
        </w:tc>
        <w:tc>
          <w:tcPr/>
          <w:p>
            <w:pPr>
              <w:pStyle w:val="Compact"/>
              <w:jc w:val="center"/>
            </w:pPr>
            <w:r>
              <w:t xml:space="preserve">17.3</w:t>
            </w:r>
            <m:oMath>
              <m:r>
                <m:rPr>
                  <m:sty m:val="p"/>
                </m:rPr>
                <m:t>±</m:t>
              </m:r>
            </m:oMath>
            <w:r>
              <w:t xml:space="preserve">3.2</w:t>
            </w:r>
          </w:p>
        </w:tc>
      </w:tr>
      <w:tr>
        <w:tc>
          <w:tcPr/>
          <w:p>
            <w:pPr>
              <w:pStyle w:val="Compact"/>
              <w:jc w:val="left"/>
            </w:pPr>
            <w:r>
              <w:t xml:space="preserve">TF (trust filter)</w:t>
            </w:r>
          </w:p>
        </w:tc>
        <w:tc>
          <w:tcPr/>
          <w:p>
            <w:pPr>
              <w:pStyle w:val="Compact"/>
              <w:jc w:val="center"/>
            </w:pPr>
            <w:r>
              <w:t xml:space="preserve">0.841</w:t>
            </w:r>
            <m:oMath>
              <m:r>
                <m:rPr>
                  <m:sty m:val="p"/>
                </m:rPr>
                <m:t>±</m:t>
              </m:r>
            </m:oMath>
            <w:r>
              <w:t xml:space="preserve">0.046</w:t>
            </w:r>
          </w:p>
        </w:tc>
        <w:tc>
          <w:tcPr/>
          <w:p>
            <w:pPr>
              <w:pStyle w:val="Compact"/>
              <w:jc w:val="center"/>
            </w:pPr>
            <w:r>
              <w:t xml:space="preserve">0.841</w:t>
            </w:r>
            <m:oMath>
              <m:r>
                <m:rPr>
                  <m:sty m:val="p"/>
                </m:rPr>
                <m:t>±</m:t>
              </m:r>
            </m:oMath>
            <w:r>
              <w:t xml:space="preserve">0.046</w:t>
            </w:r>
          </w:p>
        </w:tc>
        <w:tc>
          <w:tcPr/>
          <w:p>
            <w:pPr>
              <w:pStyle w:val="Compact"/>
              <w:jc w:val="center"/>
            </w:pPr>
            <w:r>
              <w:t xml:space="preserve">0.812</w:t>
            </w:r>
            <m:oMath>
              <m:r>
                <m:rPr>
                  <m:sty m:val="p"/>
                </m:rPr>
                <m:t>±</m:t>
              </m:r>
            </m:oMath>
            <w:r>
              <w:t xml:space="preserve">0.049</w:t>
            </w:r>
          </w:p>
        </w:tc>
        <w:tc>
          <w:tcPr/>
          <w:p>
            <w:pPr>
              <w:pStyle w:val="Compact"/>
              <w:jc w:val="center"/>
            </w:pPr>
            <w:r>
              <w:t xml:space="preserve">0.000</w:t>
            </w:r>
            <m:oMath>
              <m:r>
                <m:rPr>
                  <m:sty m:val="p"/>
                </m:rPr>
                <m:t>±</m:t>
              </m:r>
            </m:oMath>
            <w:r>
              <w:t xml:space="preserve">0.000</w:t>
            </w:r>
          </w:p>
        </w:tc>
        <w:tc>
          <w:tcPr/>
          <w:p>
            <w:pPr>
              <w:pStyle w:val="Compact"/>
              <w:jc w:val="center"/>
            </w:pPr>
            <w:r>
              <w:t xml:space="preserve">1648</w:t>
            </w:r>
            <m:oMath>
              <m:r>
                <m:rPr>
                  <m:sty m:val="p"/>
                </m:rPr>
                <m:t>±</m:t>
              </m:r>
            </m:oMath>
            <w:r>
              <w:t xml:space="preserve">115</w:t>
            </w:r>
          </w:p>
        </w:tc>
        <w:tc>
          <w:tcPr/>
          <w:p>
            <w:pPr>
              <w:pStyle w:val="Compact"/>
              <w:jc w:val="center"/>
            </w:pPr>
            <w:r>
              <w:t xml:space="preserve">0.83</w:t>
            </w:r>
            <m:oMath>
              <m:r>
                <m:rPr>
                  <m:sty m:val="p"/>
                </m:rPr>
                <m:t>±</m:t>
              </m:r>
            </m:oMath>
            <w:r>
              <w:t xml:space="preserve">0.07</w:t>
            </w:r>
          </w:p>
        </w:tc>
        <w:tc>
          <w:tcPr/>
          <w:p>
            <w:pPr>
              <w:pStyle w:val="Compact"/>
              <w:jc w:val="center"/>
            </w:pPr>
            <w:r>
              <w:t xml:space="preserve">30.3</w:t>
            </w:r>
            <m:oMath>
              <m:r>
                <m:rPr>
                  <m:sty m:val="p"/>
                </m:rPr>
                <m:t>±</m:t>
              </m:r>
            </m:oMath>
            <w:r>
              <w:t xml:space="preserve">2.7</w:t>
            </w:r>
          </w:p>
        </w:tc>
      </w:tr>
      <w:tr>
        <w:tc>
          <w:tcPr/>
          <w:p>
            <w:pPr>
              <w:pStyle w:val="Compact"/>
              <w:jc w:val="left"/>
            </w:pPr>
            <w:r>
              <w:rPr>
                <w:b/>
                <w:bCs/>
                <w:smallCaps/>
              </w:rPr>
              <w:t xml:space="preserve">Trace</w:t>
            </w:r>
            <w:r>
              <w:rPr>
                <w:b/>
                <w:bCs/>
              </w:rPr>
              <w:t xml:space="preserve"> </w:t>
            </w:r>
            <w:r>
              <w:rPr>
                <w:b/>
                <w:bCs/>
              </w:rPr>
              <w:t xml:space="preserve">(TF+best-fit)</w:t>
            </w:r>
          </w:p>
        </w:tc>
        <w:tc>
          <w:tcPr/>
          <w:p>
            <w:pPr>
              <w:pStyle w:val="Compact"/>
              <w:jc w:val="center"/>
            </w:pPr>
            <w:r>
              <w:rPr>
                <w:b/>
                <w:bCs/>
              </w:rPr>
              <w:t xml:space="preserve">0.867</w:t>
            </w:r>
            <m:oMath>
              <m:r>
                <m:rPr>
                  <m:sty m:val="p"/>
                </m:rPr>
                <m:t>±</m:t>
              </m:r>
            </m:oMath>
            <w:r>
              <w:t xml:space="preserve">0.060</w:t>
            </w:r>
          </w:p>
        </w:tc>
        <w:tc>
          <w:tcPr/>
          <w:p>
            <w:pPr>
              <w:pStyle w:val="Compact"/>
              <w:jc w:val="center"/>
            </w:pPr>
            <w:r>
              <w:rPr>
                <w:b/>
                <w:bCs/>
              </w:rPr>
              <w:t xml:space="preserve">0.867</w:t>
            </w:r>
            <m:oMath>
              <m:r>
                <m:rPr>
                  <m:sty m:val="p"/>
                </m:rPr>
                <m:t>±</m:t>
              </m:r>
            </m:oMath>
            <w:r>
              <w:t xml:space="preserve">0.060</w:t>
            </w:r>
          </w:p>
        </w:tc>
        <w:tc>
          <w:tcPr/>
          <w:p>
            <w:pPr>
              <w:pStyle w:val="Compact"/>
              <w:jc w:val="center"/>
            </w:pPr>
            <w:r>
              <w:rPr>
                <w:b/>
                <w:bCs/>
              </w:rPr>
              <w:t xml:space="preserve">0.841</w:t>
            </w:r>
            <m:oMath>
              <m:r>
                <m:rPr>
                  <m:sty m:val="p"/>
                </m:rPr>
                <m:t>±</m:t>
              </m:r>
            </m:oMath>
            <w:r>
              <w:t xml:space="preserve">0.043</w:t>
            </w:r>
          </w:p>
        </w:tc>
        <w:tc>
          <w:tcPr/>
          <w:p>
            <w:pPr>
              <w:pStyle w:val="Compact"/>
              <w:jc w:val="center"/>
            </w:pPr>
            <w:r>
              <w:rPr>
                <w:b/>
                <w:bCs/>
              </w:rPr>
              <w:t xml:space="preserve">0.000</w:t>
            </w:r>
            <m:oMath>
              <m:r>
                <m:rPr>
                  <m:sty m:val="p"/>
                </m:rPr>
                <m:t>±</m:t>
              </m:r>
            </m:oMath>
            <w:r>
              <w:t xml:space="preserve">0.000</w:t>
            </w:r>
          </w:p>
        </w:tc>
        <w:tc>
          <w:tcPr/>
          <w:p>
            <w:pPr>
              <w:pStyle w:val="Compact"/>
              <w:jc w:val="center"/>
            </w:pPr>
            <w:r>
              <w:rPr>
                <w:b/>
                <w:bCs/>
              </w:rPr>
              <w:t xml:space="preserve">1698</w:t>
            </w:r>
            <m:oMath>
              <m:r>
                <m:rPr>
                  <m:sty m:val="p"/>
                </m:rPr>
                <m:t>±</m:t>
              </m:r>
            </m:oMath>
            <w:r>
              <w:t xml:space="preserve">135</w:t>
            </w:r>
          </w:p>
        </w:tc>
        <w:tc>
          <w:tcPr/>
          <w:p>
            <w:pPr>
              <w:pStyle w:val="Compact"/>
              <w:jc w:val="center"/>
            </w:pPr>
            <w:r>
              <w:t xml:space="preserve">0.78</w:t>
            </w:r>
            <m:oMath>
              <m:r>
                <m:rPr>
                  <m:sty m:val="p"/>
                </m:rPr>
                <m:t>±</m:t>
              </m:r>
            </m:oMath>
            <w:r>
              <w:t xml:space="preserve">0.10</w:t>
            </w:r>
          </w:p>
        </w:tc>
        <w:tc>
          <w:tcPr/>
          <w:p>
            <w:pPr>
              <w:pStyle w:val="Compact"/>
              <w:jc w:val="center"/>
            </w:pPr>
            <w:r>
              <w:t xml:space="preserve">31.9</w:t>
            </w:r>
            <m:oMath>
              <m:r>
                <m:rPr>
                  <m:sty m:val="p"/>
                </m:rPr>
                <m:t>±</m:t>
              </m:r>
            </m:oMath>
            <w:r>
              <w:t xml:space="preserve">3.6</w:t>
            </w:r>
          </w:p>
        </w:tc>
      </w:tr>
      <w:tr>
        <w:tc>
          <w:tcPr/>
          <w:p>
            <w:pPr>
              <w:pStyle w:val="Compact"/>
              <w:jc w:val="left"/>
            </w:pPr>
            <w:r>
              <w:t xml:space="preserve">TF+EW (energy wt.)</w:t>
            </w:r>
          </w:p>
        </w:tc>
        <w:tc>
          <w:tcPr/>
          <w:p>
            <w:pPr>
              <w:pStyle w:val="Compact"/>
              <w:jc w:val="center"/>
            </w:pPr>
            <w:r>
              <w:t xml:space="preserve">0.812</w:t>
            </w:r>
            <m:oMath>
              <m:r>
                <m:rPr>
                  <m:sty m:val="p"/>
                </m:rPr>
                <m:t>±</m:t>
              </m:r>
            </m:oMath>
            <w:r>
              <w:t xml:space="preserve">0.055</w:t>
            </w:r>
          </w:p>
        </w:tc>
        <w:tc>
          <w:tcPr/>
          <w:p>
            <w:pPr>
              <w:pStyle w:val="Compact"/>
              <w:jc w:val="center"/>
            </w:pPr>
            <w:r>
              <w:t xml:space="preserve">0.812</w:t>
            </w:r>
            <m:oMath>
              <m:r>
                <m:rPr>
                  <m:sty m:val="p"/>
                </m:rPr>
                <m:t>±</m:t>
              </m:r>
            </m:oMath>
            <w:r>
              <w:t xml:space="preserve">0.055</w:t>
            </w:r>
          </w:p>
        </w:tc>
        <w:tc>
          <w:tcPr/>
          <w:p>
            <w:pPr>
              <w:pStyle w:val="Compact"/>
              <w:jc w:val="center"/>
            </w:pPr>
            <w:r>
              <w:t xml:space="preserve">0.808</w:t>
            </w:r>
            <m:oMath>
              <m:r>
                <m:rPr>
                  <m:sty m:val="p"/>
                </m:rPr>
                <m:t>±</m:t>
              </m:r>
            </m:oMath>
            <w:r>
              <w:t xml:space="preserve">0.040</w:t>
            </w:r>
          </w:p>
        </w:tc>
        <w:tc>
          <w:tcPr/>
          <w:p>
            <w:pPr>
              <w:pStyle w:val="Compact"/>
              <w:jc w:val="center"/>
            </w:pPr>
            <w:r>
              <w:t xml:space="preserve">0.000</w:t>
            </w:r>
            <m:oMath>
              <m:r>
                <m:rPr>
                  <m:sty m:val="p"/>
                </m:rPr>
                <m:t>±</m:t>
              </m:r>
            </m:oMath>
            <w:r>
              <w:t xml:space="preserve">0.000</w:t>
            </w:r>
          </w:p>
        </w:tc>
        <w:tc>
          <w:tcPr/>
          <w:p>
            <w:pPr>
              <w:pStyle w:val="Compact"/>
              <w:jc w:val="center"/>
            </w:pPr>
            <w:r>
              <w:t xml:space="preserve">1590</w:t>
            </w:r>
            <m:oMath>
              <m:r>
                <m:rPr>
                  <m:sty m:val="p"/>
                </m:rPr>
                <m:t>±</m:t>
              </m:r>
            </m:oMath>
            <w:r>
              <w:t xml:space="preserve">108</w:t>
            </w:r>
          </w:p>
        </w:tc>
        <w:tc>
          <w:tcPr/>
          <w:p>
            <w:pPr>
              <w:pStyle w:val="Compact"/>
              <w:jc w:val="center"/>
            </w:pPr>
            <w:r>
              <w:t xml:space="preserve">0.91</w:t>
            </w:r>
            <m:oMath>
              <m:r>
                <m:rPr>
                  <m:sty m:val="p"/>
                </m:rPr>
                <m:t>±</m:t>
              </m:r>
            </m:oMath>
            <w:r>
              <w:t xml:space="preserve">0.11</w:t>
            </w:r>
          </w:p>
        </w:tc>
        <w:tc>
          <w:tcPr/>
          <w:p>
            <w:pPr>
              <w:pStyle w:val="Compact"/>
              <w:jc w:val="center"/>
            </w:pPr>
            <w:r>
              <w:t xml:space="preserve">36.7</w:t>
            </w:r>
            <m:oMath>
              <m:r>
                <m:rPr>
                  <m:sty m:val="p"/>
                </m:rPr>
                <m:t>±</m:t>
              </m:r>
            </m:oMath>
            <w:r>
              <w:t xml:space="preserve">4.3</w:t>
            </w:r>
          </w:p>
        </w:tc>
      </w:tr>
    </w:tbl>
    <w:bookmarkEnd w:id="32"/>
    <w:bookmarkEnd w:id="33"/>
    <w:bookmarkStart w:id="39" w:name="X1e93bf15cd43c553526e1d9456c365c1340de74"/>
    <w:p>
      <w:pPr>
        <w:pStyle w:val="Heading2"/>
      </w:pPr>
      <w:r>
        <w:t xml:space="preserve">B. Cost of compliance and the value of best-fit clearance</w:t>
      </w:r>
    </w:p>
    <w:p>
      <w:pPr>
        <w:pStyle w:val="FirstParagraph"/>
      </w:pPr>
      <w:r>
        <w:t xml:space="preserve">Fig. 3 varies the share of sensitive requests at</w:t>
      </w:r>
      <w:r>
        <w:t xml:space="preserve"> </w:t>
      </w:r>
      <m:oMath>
        <m:r>
          <m:t>ρ</m:t>
        </m:r>
        <m:r>
          <m:rPr>
            <m:sty m:val="p"/>
          </m:rPr>
          <m:t>=</m:t>
        </m:r>
        <m:r>
          <m:t>0.8</m:t>
        </m:r>
      </m:oMath>
      <w:r>
        <w:t xml:space="preserve">. The EPARA-style router’s raw SLO attainment is unaffected by sensitivity (0.883 throughout) because it ignores it, but its violation rate grows linearly to 41% when 80% of requests are sensitive, so its compliant SLO falls from 0.883 to 0.523. Enforcing the constraint has a real cost: as sensitive traffic grows, the pool of eligible servers shrinks, and TF’s raw (= compliant) SLO falls from 0.883 to 0.572. Even so, TF delivers more compliant service than the unconstrained router at every non-zero sensitive share, significantly so at 20–60% (</w:t>
      </w:r>
      <m:oMath>
        <m:r>
          <m:rPr>
            <m:sty m:val="p"/>
          </m:rPr>
          <m:t>+</m:t>
        </m:r>
        <m:r>
          <m:t>0.071</m:t>
        </m:r>
      </m:oMath>
      <w:r>
        <w:t xml:space="preserve"> </w:t>
      </w:r>
      <w:r>
        <w:t xml:space="preserve">to</w:t>
      </w:r>
      <w:r>
        <w:t xml:space="preserve"> </w:t>
      </w:r>
      <m:oMath>
        <m:r>
          <m:rPr>
            <m:sty m:val="p"/>
          </m:rPr>
          <m:t>+</m:t>
        </m:r>
        <m:r>
          <m:t>0.142</m:t>
        </m:r>
      </m:oMath>
      <w:r>
        <w:t xml:space="preserve">,</w:t>
      </w:r>
      <w:r>
        <w:t xml:space="preserve"> </w:t>
      </w:r>
      <m:oMath>
        <m:r>
          <m:t>p</m:t>
        </m:r>
        <m:r>
          <m:rPr>
            <m:sty m:val="p"/>
          </m:rPr>
          <m:t>≤</m:t>
        </m:r>
        <m:r>
          <m:t>0.037</m:t>
        </m:r>
      </m:oMath>
      <w:r>
        <w:t xml:space="preserve">).</w:t>
      </w:r>
    </w:p>
    <w:p>
      <w:pPr>
        <w:pStyle w:val="BodyText"/>
      </w:pPr>
      <w:r>
        <w:t xml:space="preserve">Best-fit clearance targets exactly this regime. It improves compliant SLO over TF by</w:t>
      </w:r>
      <w:r>
        <w:t xml:space="preserve"> </w:t>
      </w:r>
      <m:oMath>
        <m:r>
          <m:rPr>
            <m:sty m:val="p"/>
          </m:rPr>
          <m:t>+</m:t>
        </m:r>
        <m:r>
          <m:t>0.027</m:t>
        </m:r>
        <m:r>
          <m:rPr>
            <m:sty m:val="p"/>
          </m:rPr>
          <m:t>±</m:t>
        </m:r>
        <m:r>
          <m:t>0.015</m:t>
        </m:r>
      </m:oMath>
      <w:r>
        <w:t xml:space="preserve"> </w:t>
      </w:r>
      <w:r>
        <w:t xml:space="preserve">(</w:t>
      </w:r>
      <m:oMath>
        <m:r>
          <m:t>p</m:t>
        </m:r>
        <m:r>
          <m:rPr>
            <m:sty m:val="p"/>
          </m:rPr>
          <m:t>=</m:t>
        </m:r>
        <m:r>
          <m:t>0.006</m:t>
        </m:r>
      </m:oMath>
      <w:r>
        <w:t xml:space="preserve">) at 40% and</w:t>
      </w:r>
      <w:r>
        <w:t xml:space="preserve"> </w:t>
      </w:r>
      <m:oMath>
        <m:r>
          <m:rPr>
            <m:sty m:val="p"/>
          </m:rPr>
          <m:t>+</m:t>
        </m:r>
        <m:r>
          <m:t>0.051</m:t>
        </m:r>
        <m:r>
          <m:rPr>
            <m:sty m:val="p"/>
          </m:rPr>
          <m:t>±</m:t>
        </m:r>
        <m:r>
          <m:t>0.024</m:t>
        </m:r>
      </m:oMath>
      <w:r>
        <w:t xml:space="preserve"> </w:t>
      </w:r>
      <w:r>
        <w:t xml:space="preserve">(</w:t>
      </w:r>
      <m:oMath>
        <m:r>
          <m:t>p</m:t>
        </m:r>
        <m:r>
          <m:rPr>
            <m:sty m:val="p"/>
          </m:rPr>
          <m:t>=</m:t>
        </m:r>
        <m:r>
          <m:t>0.002</m:t>
        </m:r>
      </m:oMath>
      <w:r>
        <w:t xml:space="preserve">) at 60% sensitive traffic. At 80%, almost all traffic needs high clearance and there is little capacity left to reserve, so the gain shrinks (</w:t>
      </w:r>
      <m:oMath>
        <m:r>
          <m:rPr>
            <m:sty m:val="p"/>
          </m:rPr>
          <m:t>+</m:t>
        </m:r>
        <m:r>
          <m:t>0.022</m:t>
        </m:r>
      </m:oMath>
      <w:r>
        <w:t xml:space="preserve">,</w:t>
      </w:r>
      <w:r>
        <w:t xml:space="preserve"> </w:t>
      </w:r>
      <m:oMath>
        <m:r>
          <m:t>p</m:t>
        </m:r>
        <m:r>
          <m:rPr>
            <m:sty m:val="p"/>
          </m:rPr>
          <m:t>=</m:t>
        </m:r>
        <m:r>
          <m:t>0.19</m:t>
        </m:r>
      </m:oMath>
      <w:r>
        <w:t xml:space="preserve">). With no sensitive traffic, best-fit only concentrates load on low-clearance servers and costs</w:t>
      </w:r>
      <w:r>
        <w:t xml:space="preserve"> </w:t>
      </w:r>
      <m:oMath>
        <m:r>
          <m:rPr>
            <m:sty m:val="p"/>
          </m:rPr>
          <m:t>−</m:t>
        </m:r>
        <m:r>
          <m:t>0.036</m:t>
        </m:r>
      </m:oMath>
      <w:r>
        <w:t xml:space="preserve"> </w:t>
      </w:r>
      <w:r>
        <w:t xml:space="preserve">(not significant,</w:t>
      </w:r>
      <w:r>
        <w:t xml:space="preserve"> </w:t>
      </w:r>
      <m:oMath>
        <m:r>
          <m:t>p</m:t>
        </m:r>
        <m:r>
          <m:rPr>
            <m:sty m:val="p"/>
          </m:rPr>
          <m:t>=</m:t>
        </m:r>
        <m:r>
          <m:t>0.084</m:t>
        </m:r>
      </m:oMath>
      <w:r>
        <w:t xml:space="preserve">). Table IV shows that at 60% sensitive traffic any</w:t>
      </w:r>
      <w:r>
        <w:t xml:space="preserve"> </w:t>
      </w:r>
      <m:oMath>
        <m:r>
          <m:t>γ</m:t>
        </m:r>
        <m:r>
          <m:rPr>
            <m:sty m:val="p"/>
          </m:rPr>
          <m:t>≤</m:t>
        </m:r>
        <m:r>
          <m:t>0.3</m:t>
        </m:r>
      </m:oMath>
      <w:r>
        <w:t xml:space="preserve"> </w:t>
      </w:r>
      <w:r>
        <w:t xml:space="preserve">captures the benefit (</w:t>
      </w:r>
      <m:oMath>
        <m:r>
          <m:rPr>
            <m:sty m:val="p"/>
          </m:rPr>
          <m:t>+</m:t>
        </m:r>
        <m:r>
          <m:t>0.051</m:t>
        </m:r>
      </m:oMath>
      <w:r>
        <w:t xml:space="preserve"> </w:t>
      </w:r>
      <w:r>
        <w:t xml:space="preserve">to</w:t>
      </w:r>
      <w:r>
        <w:t xml:space="preserve"> </w:t>
      </w:r>
      <m:oMath>
        <m:r>
          <m:rPr>
            <m:sty m:val="p"/>
          </m:rPr>
          <m:t>+</m:t>
        </m:r>
        <m:r>
          <m:t>0.055</m:t>
        </m:r>
      </m:oMath>
      <w:r>
        <w:t xml:space="preserve"> </w:t>
      </w:r>
      <w:r>
        <w:t xml:space="preserve">over</w:t>
      </w:r>
      <w:r>
        <w:t xml:space="preserve"> </w:t>
      </w:r>
      <m:oMath>
        <m:r>
          <m:t>γ</m:t>
        </m:r>
        <m:r>
          <m:rPr>
            <m:sty m:val="p"/>
          </m:rPr>
          <m:t>=</m:t>
        </m:r>
        <m:r>
          <m:t>1</m:t>
        </m:r>
      </m:oMath>
      <w:r>
        <w:t xml:space="preserve">,</w:t>
      </w:r>
      <w:r>
        <w:t xml:space="preserve"> </w:t>
      </w:r>
      <m:oMath>
        <m:r>
          <m:t>p</m:t>
        </m:r>
        <m:r>
          <m:rPr>
            <m:sty m:val="p"/>
          </m:rPr>
          <m:t>=</m:t>
        </m:r>
        <m:r>
          <m:t>0.002</m:t>
        </m:r>
      </m:oMath>
      <w:r>
        <w:t xml:space="preserve">). The gains in the category-balanced metric are smaller and not significant (</w:t>
      </w:r>
      <m:oMath>
        <m:r>
          <m:rPr>
            <m:sty m:val="p"/>
          </m:rPr>
          <m:t>+</m:t>
        </m:r>
        <m:r>
          <m:t>0.015</m:t>
        </m:r>
      </m:oMath>
      <w:r>
        <w:t xml:space="preserve"> </w:t>
      </w:r>
      <w:r>
        <w:t xml:space="preserve">to</w:t>
      </w:r>
      <w:r>
        <w:t xml:space="preserve"> </w:t>
      </w:r>
      <m:oMath>
        <m:r>
          <m:rPr>
            <m:sty m:val="p"/>
          </m:rPr>
          <m:t>+</m:t>
        </m:r>
        <m:r>
          <m:t>0.025</m:t>
        </m:r>
      </m:oMath>
      <w:r>
        <w:t xml:space="preserve">), indicating that best-fit mainly helps the numerous short classification requests. In deployment, best-fit should therefore be enabled when a substantial share of traffic—roughly 30% or more in our setting—is sensitive; the share is directly observable by each server.</w:t>
      </w:r>
    </w:p>
    <w:bookmarkStart w:id="37" w:name="fig:privacy"/>
    <w:p>
      <w:pPr>
        <w:pStyle w:val="CaptionedFigure"/>
      </w:pPr>
      <w:r>
        <w:drawing>
          <wp:inline>
            <wp:extent cx="4206240" cy="2062638"/>
            <wp:effectExtent b="0" l="0" r="0" t="0"/>
            <wp:docPr descr="" title="" id="35" name="Picture"/>
            <a:graphic>
              <a:graphicData uri="http://schemas.openxmlformats.org/drawingml/2006/picture">
                <pic:pic>
                  <pic:nvPicPr>
                    <pic:cNvPr descr="docx_build/fig_privacy.png" id="36" name="Picture"/>
                    <pic:cNvPicPr>
                      <a:picLocks noChangeArrowheads="1" noChangeAspect="1"/>
                    </pic:cNvPicPr>
                  </pic:nvPicPr>
                  <pic:blipFill>
                    <a:blip r:embed="rId34"/>
                    <a:stretch>
                      <a:fillRect/>
                    </a:stretch>
                  </pic:blipFill>
                  <pic:spPr bwMode="auto">
                    <a:xfrm>
                      <a:off x="0" y="0"/>
                      <a:ext cx="4206240" cy="2062638"/>
                    </a:xfrm>
                    <a:prstGeom prst="rect">
                      <a:avLst/>
                    </a:prstGeom>
                    <a:noFill/>
                    <a:ln w="9525">
                      <a:noFill/>
                      <a:headEnd/>
                      <a:tailEnd/>
                    </a:ln>
                  </pic:spPr>
                </pic:pic>
              </a:graphicData>
            </a:graphic>
          </wp:inline>
        </w:drawing>
      </w:r>
    </w:p>
    <w:p>
      <w:pPr>
        <w:pStyle w:val="ImageCaption"/>
      </w:pPr>
      <w:r>
        <w:t xml:space="preserve">Fig. 3. Effect of the share of sensitive requests (</w:t>
      </w:r>
      <m:oMath>
        <m:r>
          <m:t>ρ</m:t>
        </m:r>
        <m:r>
          <m:rPr>
            <m:sty m:val="p"/>
          </m:rPr>
          <m:t>=</m:t>
        </m:r>
        <m:r>
          <m:t>0.8</m:t>
        </m:r>
      </m:oMath>
      <w:r>
        <w:t xml:space="preserve">). (a) Raw SLO attainment ignores violations; (b) compliant SLO counts only lawful, timely requests. Error bars are 95% CIs across seeds; paired differences are reported in the text.</w:t>
      </w:r>
    </w:p>
    <w:bookmarkEnd w:id="37"/>
    <w:bookmarkStart w:id="38" w:name="tab:gamma"/>
    <w:p>
      <w:pPr>
        <w:pStyle w:val="TableCaption"/>
      </w:pPr>
      <w:r>
        <w:t xml:space="preserve">TABLE IV. Best-fit strength</w:t>
      </w:r>
      <w:r>
        <w:t xml:space="preserve"> </w:t>
      </w:r>
      <m:oMath>
        <m:r>
          <m:t>γ</m:t>
        </m:r>
      </m:oMath>
      <w:r>
        <w:t xml:space="preserve"> </w:t>
      </w:r>
      <w:r>
        <w:t xml:space="preserve">with 60% sensitive requests (</w:t>
      </w:r>
      <m:oMath>
        <m:r>
          <m:t>ρ</m:t>
        </m:r>
        <m:r>
          <m:rPr>
            <m:sty m:val="p"/>
          </m:rPr>
          <m:t>=</m:t>
        </m:r>
        <m:r>
          <m:t>0.8</m:t>
        </m:r>
      </m:oMath>
      <w:r>
        <w:t xml:space="preserve">, 10 seeds).</w:t>
      </w:r>
      <w:r>
        <w:t xml:space="preserve"> </w:t>
      </w:r>
      <m:oMath>
        <m:r>
          <m:t>γ</m:t>
        </m:r>
        <m:r>
          <m:rPr>
            <m:sty m:val="p"/>
          </m:rPr>
          <m:t>=</m:t>
        </m:r>
        <m:r>
          <m:t>1</m:t>
        </m:r>
      </m:oMath>
      <w:r>
        <w:t xml:space="preserve"> </w:t>
      </w:r>
      <w:r>
        <w:t xml:space="preserve">is the plain trust filter.</w:t>
      </w:r>
    </w:p>
    <w:tbl>
      <w:tblPr>
        <w:tblStyle w:val="Table"/>
        <w:tblW w:type="dxa" w:w="9360"/>
        <w:tblLook w:firstRow="1" w:lastRow="0" w:firstColumn="0" w:lastColumn="0" w:noHBand="0" w:noVBand="0" w:val="0020"/>
        <w:tblCaption w:val="TABLE IV. Best-fit strength \gamma with 60% sensitive requests (\rho=0.8, 10 seeds). \gamma=1 is the plain trust filter."/>
      </w:tblPr>
      <w:tblGrid>
        <w:gridCol w:w="3120"/>
        <w:gridCol w:w="3120"/>
        <w:gridCol w:w="3120"/>
      </w:tblGrid>
      <w:tr>
        <w:trPr>
          <w:tblHeader w:val="on"/>
        </w:trPr>
        <w:tc>
          <w:tcPr/>
          <w:p>
            <w:pPr>
              <w:pStyle w:val="Compact"/>
              <w:jc w:val="center"/>
            </w:pPr>
            <w:r>
              <w:t xml:space="preserve">​</w:t>
            </w:r>
            <m:oMath>
              <m:r>
                <m:t>γ</m:t>
              </m:r>
            </m:oMath>
          </w:p>
        </w:tc>
        <w:tc>
          <w:tcPr/>
          <w:p>
            <w:pPr>
              <w:pStyle w:val="Compact"/>
              <w:jc w:val="center"/>
            </w:pPr>
            <w:r>
              <w:t xml:space="preserve">C-SLO</w:t>
            </w:r>
          </w:p>
        </w:tc>
        <w:tc>
          <w:tcPr/>
          <w:p>
            <w:pPr>
              <w:pStyle w:val="Compact"/>
              <w:jc w:val="center"/>
            </w:pPr>
            <w:r>
              <w:t xml:space="preserve">C-SLO</w:t>
            </w:r>
            <m:oMath>
              <m:sSub>
                <m:e>
                  <m:r>
                    <m:t>​</m:t>
                  </m:r>
                </m:e>
                <m:sub>
                  <m:r>
                    <m:t>b</m:t>
                  </m:r>
                  <m:r>
                    <m:t>a</m:t>
                  </m:r>
                  <m:r>
                    <m:t>l</m:t>
                  </m:r>
                </m:sub>
              </m:sSub>
            </m:oMath>
          </w:p>
        </w:tc>
      </w:tr>
      <w:tr>
        <w:tc>
          <w:tcPr/>
          <w:p>
            <w:pPr>
              <w:pStyle w:val="Compact"/>
              <w:jc w:val="center"/>
            </w:pPr>
            <w:r>
              <w:t xml:space="preserve">1 (TF)</w:t>
            </w:r>
          </w:p>
        </w:tc>
        <w:tc>
          <w:tcPr/>
          <w:p>
            <w:pPr>
              <w:pStyle w:val="Compact"/>
              <w:jc w:val="center"/>
            </w:pPr>
            <w:r>
              <w:t xml:space="preserve">0.751</w:t>
            </w:r>
            <m:oMath>
              <m:r>
                <m:rPr>
                  <m:sty m:val="p"/>
                </m:rPr>
                <m:t>±</m:t>
              </m:r>
            </m:oMath>
            <w:r>
              <w:t xml:space="preserve">0.049</w:t>
            </w:r>
          </w:p>
        </w:tc>
        <w:tc>
          <w:tcPr/>
          <w:p>
            <w:pPr>
              <w:pStyle w:val="Compact"/>
              <w:jc w:val="center"/>
            </w:pPr>
            <w:r>
              <w:t xml:space="preserve">0.761</w:t>
            </w:r>
            <m:oMath>
              <m:r>
                <m:rPr>
                  <m:sty m:val="p"/>
                </m:rPr>
                <m:t>±</m:t>
              </m:r>
            </m:oMath>
            <w:r>
              <w:t xml:space="preserve">0.051</w:t>
            </w:r>
          </w:p>
        </w:tc>
      </w:tr>
      <w:tr>
        <w:tc>
          <w:tcPr/>
          <w:p>
            <w:pPr>
              <w:pStyle w:val="Compact"/>
              <w:jc w:val="center"/>
            </w:pPr>
            <w:r>
              <w:t xml:space="preserve">0.5</w:t>
            </w:r>
          </w:p>
        </w:tc>
        <w:tc>
          <w:tcPr/>
          <w:p>
            <w:pPr>
              <w:pStyle w:val="Compact"/>
              <w:jc w:val="center"/>
            </w:pPr>
            <w:r>
              <w:t xml:space="preserve">0.790</w:t>
            </w:r>
            <m:oMath>
              <m:r>
                <m:rPr>
                  <m:sty m:val="p"/>
                </m:rPr>
                <m:t>±</m:t>
              </m:r>
            </m:oMath>
            <w:r>
              <w:t xml:space="preserve">0.057</w:t>
            </w:r>
          </w:p>
        </w:tc>
        <w:tc>
          <w:tcPr/>
          <w:p>
            <w:pPr>
              <w:pStyle w:val="Compact"/>
              <w:jc w:val="center"/>
            </w:pPr>
            <w:r>
              <w:t xml:space="preserve">0.775</w:t>
            </w:r>
            <m:oMath>
              <m:r>
                <m:rPr>
                  <m:sty m:val="p"/>
                </m:rPr>
                <m:t>±</m:t>
              </m:r>
            </m:oMath>
            <w:r>
              <w:t xml:space="preserve">0.042</w:t>
            </w:r>
          </w:p>
        </w:tc>
      </w:tr>
      <w:tr>
        <w:tc>
          <w:tcPr/>
          <w:p>
            <w:pPr>
              <w:pStyle w:val="Compact"/>
              <w:jc w:val="center"/>
            </w:pPr>
            <w:r>
              <w:t xml:space="preserve">0.3 (</w:t>
            </w:r>
            <w:r>
              <w:rPr>
                <w:smallCaps/>
              </w:rPr>
              <w:t xml:space="preserve">Trace</w:t>
            </w:r>
            <w:r>
              <w:t xml:space="preserve">)</w:t>
            </w:r>
          </w:p>
        </w:tc>
        <w:tc>
          <w:tcPr/>
          <w:p>
            <w:pPr>
              <w:pStyle w:val="Compact"/>
              <w:jc w:val="center"/>
            </w:pPr>
            <w:r>
              <w:t xml:space="preserve">0.803</w:t>
            </w:r>
            <m:oMath>
              <m:r>
                <m:rPr>
                  <m:sty m:val="p"/>
                </m:rPr>
                <m:t>±</m:t>
              </m:r>
            </m:oMath>
            <w:r>
              <w:t xml:space="preserve">0.045</w:t>
            </w:r>
          </w:p>
        </w:tc>
        <w:tc>
          <w:tcPr/>
          <w:p>
            <w:pPr>
              <w:pStyle w:val="Compact"/>
              <w:jc w:val="center"/>
            </w:pPr>
            <w:r>
              <w:t xml:space="preserve">0.786</w:t>
            </w:r>
            <m:oMath>
              <m:r>
                <m:rPr>
                  <m:sty m:val="p"/>
                </m:rPr>
                <m:t>±</m:t>
              </m:r>
            </m:oMath>
            <w:r>
              <w:t xml:space="preserve">0.040</w:t>
            </w:r>
          </w:p>
        </w:tc>
      </w:tr>
      <w:tr>
        <w:tc>
          <w:tcPr/>
          <w:p>
            <w:pPr>
              <w:pStyle w:val="Compact"/>
              <w:jc w:val="center"/>
            </w:pPr>
            <w:r>
              <w:t xml:space="preserve">0.1</w:t>
            </w:r>
          </w:p>
        </w:tc>
        <w:tc>
          <w:tcPr/>
          <w:p>
            <w:pPr>
              <w:pStyle w:val="Compact"/>
              <w:jc w:val="center"/>
            </w:pPr>
            <w:r>
              <w:t xml:space="preserve">0.806</w:t>
            </w:r>
            <m:oMath>
              <m:r>
                <m:rPr>
                  <m:sty m:val="p"/>
                </m:rPr>
                <m:t>±</m:t>
              </m:r>
            </m:oMath>
            <w:r>
              <w:t xml:space="preserve">0.055</w:t>
            </w:r>
          </w:p>
        </w:tc>
        <w:tc>
          <w:tcPr/>
          <w:p>
            <w:pPr>
              <w:pStyle w:val="Compact"/>
              <w:jc w:val="center"/>
            </w:pPr>
            <w:r>
              <w:t xml:space="preserve">0.789</w:t>
            </w:r>
            <m:oMath>
              <m:r>
                <m:rPr>
                  <m:sty m:val="p"/>
                </m:rPr>
                <m:t>±</m:t>
              </m:r>
            </m:oMath>
            <w:r>
              <w:t xml:space="preserve">0.045</w:t>
            </w:r>
          </w:p>
        </w:tc>
      </w:tr>
    </w:tbl>
    <w:bookmarkEnd w:id="38"/>
    <w:bookmarkEnd w:id="39"/>
    <w:bookmarkStart w:id="49" w:name="c.-energy-aware-routing"/>
    <w:p>
      <w:pPr>
        <w:pStyle w:val="Heading2"/>
      </w:pPr>
      <w:r>
        <w:t xml:space="preserve">C. Energy-aware routing</w:t>
      </w:r>
    </w:p>
    <w:p>
      <w:pPr>
        <w:pStyle w:val="FirstParagraph"/>
      </w:pPr>
      <w:r>
        <w:t xml:space="preserve">Fig. 4 scales every server’s energy cap from</w:t>
      </w:r>
      <w:r>
        <w:t xml:space="preserve"> </w:t>
      </w:r>
      <m:oMath>
        <m:r>
          <m:t>1.0</m:t>
        </m:r>
      </m:oMath>
      <w:r>
        <w:t xml:space="preserve"> </w:t>
      </w:r>
      <w:r>
        <w:t xml:space="preserve">down to</w:t>
      </w:r>
      <w:r>
        <w:t xml:space="preserve"> </w:t>
      </w:r>
      <m:oMath>
        <m:r>
          <m:t>0.35</m:t>
        </m:r>
      </m:oMath>
      <w:r>
        <w:t xml:space="preserve"> </w:t>
      </w:r>
      <w:r>
        <w:t xml:space="preserve">at</w:t>
      </w:r>
      <w:r>
        <w:t xml:space="preserve"> </w:t>
      </w:r>
      <m:oMath>
        <m:r>
          <m:t>ρ</m:t>
        </m:r>
        <m:r>
          <m:rPr>
            <m:sty m:val="p"/>
          </m:rPr>
          <m:t>=</m:t>
        </m:r>
        <m:r>
          <m:t>0.8</m:t>
        </m:r>
      </m:oMath>
      <w:r>
        <w:t xml:space="preserve">. The energy-weighted design does what it was meant to do locally: with unscaled caps it cuts the fraction of throttled requests from 8.4% to 2.2%. It does not, however, improve the quantity that matters.</w:t>
      </w:r>
    </w:p>
    <w:p>
      <w:pPr>
        <w:pStyle w:val="BodyText"/>
      </w:pPr>
      <w:r>
        <w:rPr>
          <w:b/>
          <w:bCs/>
        </w:rPr>
        <w:t xml:space="preserve">Soft throttling.</w:t>
      </w:r>
      <w:r>
        <w:t xml:space="preserve"> </w:t>
      </w:r>
      <w:r>
        <w:t xml:space="preserve">No energy-aware variant significantly outperforms TF at any energy level. TF+EW is never better and is significantly worse under scarce energy (</w:t>
      </w:r>
      <m:oMath>
        <m:r>
          <m:rPr>
            <m:sty m:val="p"/>
          </m:rPr>
          <m:t>−</m:t>
        </m:r>
        <m:r>
          <m:t>0.100</m:t>
        </m:r>
        <m:r>
          <m:rPr>
            <m:sty m:val="p"/>
          </m:rPr>
          <m:t>±</m:t>
        </m:r>
        <m:r>
          <m:t>0.052</m:t>
        </m:r>
      </m:oMath>
      <w:r>
        <w:t xml:space="preserve"> </w:t>
      </w:r>
      <w:r>
        <w:t xml:space="preserve">at cap scale 0.35,</w:t>
      </w:r>
      <w:r>
        <w:t xml:space="preserve"> </w:t>
      </w:r>
      <m:oMath>
        <m:r>
          <m:t>p</m:t>
        </m:r>
        <m:r>
          <m:rPr>
            <m:sty m:val="p"/>
          </m:rPr>
          <m:t>=</m:t>
        </m:r>
        <m:r>
          <m:t>0.002</m:t>
        </m:r>
      </m:oMath>
      <w:r>
        <w:t xml:space="preserve">). The barrier variant TF+EB loses</w:t>
      </w:r>
      <w:r>
        <w:t xml:space="preserve"> </w:t>
      </w:r>
      <m:oMath>
        <m:r>
          <m:t>0.03</m:t>
        </m:r>
      </m:oMath>
      <w:r>
        <w:t xml:space="preserve">–</w:t>
      </w:r>
      <m:oMath>
        <m:r>
          <m:t>0.06</m:t>
        </m:r>
      </m:oMath>
      <w:r>
        <w:t xml:space="preserve">. Energy-as-capacity (TF+EC) is the best variant, within</w:t>
      </w:r>
      <w:r>
        <w:t xml:space="preserve"> </w:t>
      </w:r>
      <m:oMath>
        <m:r>
          <m:rPr>
            <m:sty m:val="p"/>
          </m:rPr>
          <m:t>±</m:t>
        </m:r>
        <m:r>
          <m:t>0.025</m:t>
        </m:r>
      </m:oMath>
      <w:r>
        <w:t xml:space="preserve"> </w:t>
      </w:r>
      <w:r>
        <w:t xml:space="preserve">of TF at every level (all</w:t>
      </w:r>
      <w:r>
        <w:t xml:space="preserve"> </w:t>
      </w:r>
      <m:oMath>
        <m:r>
          <m:t>p</m:t>
        </m:r>
        <m:r>
          <m:rPr>
            <m:sty m:val="p"/>
          </m:rPr>
          <m:t>≥</m:t>
        </m:r>
        <m:r>
          <m:t>0.43</m:t>
        </m:r>
      </m:oMath>
      <w:r>
        <w:t xml:space="preserve">)—in other words, statistically indistinguishable from not modeling energy at all. Applying the energy weight without the trust filter (</w:t>
      </w:r>
      <w:r>
        <w:t xml:space="preserve">“EW only”</w:t>
      </w:r>
      <w:r>
        <w:t xml:space="preserve">) is the worst policy in every setting.</w:t>
      </w:r>
    </w:p>
    <w:p>
      <w:pPr>
        <w:pStyle w:val="BodyText"/>
      </w:pPr>
      <w:r>
        <w:rPr>
          <w:b/>
          <w:bCs/>
        </w:rPr>
        <w:t xml:space="preserve">Hard outage.</w:t>
      </w:r>
      <w:r>
        <w:t xml:space="preserve"> </w:t>
      </w:r>
      <w:r>
        <w:t xml:space="preserve">When drained servers go offline, every energy-aware variant is significantly worse than TF once energy is scarce (cap scale</w:t>
      </w:r>
      <w:r>
        <w:t xml:space="preserve"> </w:t>
      </w:r>
      <m:oMath>
        <m:r>
          <m:rPr>
            <m:sty m:val="p"/>
          </m:rPr>
          <m:t>≤</m:t>
        </m:r>
        <m:r>
          <m:t>0.7</m:t>
        </m:r>
      </m:oMath>
      <w:r>
        <w:t xml:space="preserve">, all</w:t>
      </w:r>
      <w:r>
        <w:t xml:space="preserve"> </w:t>
      </w:r>
      <m:oMath>
        <m:r>
          <m:t>p</m:t>
        </m:r>
        <m:r>
          <m:rPr>
            <m:sty m:val="p"/>
          </m:rPr>
          <m:t>=</m:t>
        </m:r>
        <m:r>
          <m:t>0.002</m:t>
        </m:r>
      </m:oMath>
      <w:r>
        <w:t xml:space="preserve">): by 0.18–0.23 for TF+EW, 0.10–0.14 for TF+EB and 0.23–0.28 for TF+EC. Energy awareness also</w:t>
      </w:r>
      <w:r>
        <w:t xml:space="preserve"> </w:t>
      </w:r>
      <w:r>
        <w:rPr>
          <w:i/>
          <w:iCs/>
        </w:rPr>
        <w:t xml:space="preserve">lowers</w:t>
      </w:r>
      <w:r>
        <w:t xml:space="preserve"> </w:t>
      </w:r>
      <w:r>
        <w:t xml:space="preserve">server availability (at cap scale 0.5: 0.47 for TF vs. 0.40, 0.39 and 0.36) and raises drain events from 154 to 174–178 per minute.</w:t>
      </w:r>
    </w:p>
    <w:p>
      <w:pPr>
        <w:pStyle w:val="BodyText"/>
      </w:pPr>
      <w:r>
        <w:rPr>
          <w:b/>
          <w:bCs/>
        </w:rPr>
        <w:t xml:space="preserve">Ablation.</w:t>
      </w:r>
      <w:r>
        <w:t xml:space="preserve"> </w:t>
      </w:r>
      <w:r>
        <w:t xml:space="preserve">Table V separates the energy weight</w:t>
      </w:r>
      <w:r>
        <w:t xml:space="preserve"> </w:t>
      </w:r>
      <m:oMath>
        <m:r>
          <m:t>β</m:t>
        </m:r>
      </m:oMath>
      <w:r>
        <w:t xml:space="preserve"> </w:t>
      </w:r>
      <w:r>
        <w:t xml:space="preserve">from the retention threshold</w:t>
      </w:r>
      <w:r>
        <w:t xml:space="preserve"> </w:t>
      </w:r>
      <m:oMath>
        <m:r>
          <m:t>θ</m:t>
        </m:r>
      </m:oMath>
      <w:r>
        <w:t xml:space="preserve"> </w:t>
      </w:r>
      <w:r>
        <w:t xml:space="preserve">at cap scale 0.5. Compliant SLO decreases monotonically with</w:t>
      </w:r>
      <w:r>
        <w:t xml:space="preserve"> </w:t>
      </w:r>
      <m:oMath>
        <m:r>
          <m:t>β</m:t>
        </m:r>
      </m:oMath>
      <w:r>
        <w:t xml:space="preserve"> </w:t>
      </w:r>
      <w:r>
        <w:t xml:space="preserve">under both energy models (outage: 0.568 at</w:t>
      </w:r>
      <w:r>
        <w:t xml:space="preserve"> </w:t>
      </w:r>
      <m:oMath>
        <m:r>
          <m:t>β</m:t>
        </m:r>
        <m:r>
          <m:rPr>
            <m:sty m:val="p"/>
          </m:rPr>
          <m:t>=</m:t>
        </m:r>
        <m:r>
          <m:t>0</m:t>
        </m:r>
      </m:oMath>
      <w:r>
        <w:t xml:space="preserve">, 0.438 at</w:t>
      </w:r>
      <w:r>
        <w:t xml:space="preserve"> </w:t>
      </w:r>
      <m:oMath>
        <m:r>
          <m:t>β</m:t>
        </m:r>
        <m:r>
          <m:rPr>
            <m:sty m:val="p"/>
          </m:rPr>
          <m:t>=</m:t>
        </m:r>
        <m:r>
          <m:t>0.5</m:t>
        </m:r>
      </m:oMath>
      <w:r>
        <w:t xml:space="preserve">, 0.334 at</w:t>
      </w:r>
      <w:r>
        <w:t xml:space="preserve"> </w:t>
      </w:r>
      <m:oMath>
        <m:r>
          <m:t>β</m:t>
        </m:r>
        <m:r>
          <m:rPr>
            <m:sty m:val="p"/>
          </m:rPr>
          <m:t>=</m:t>
        </m:r>
        <m:r>
          <m:t>1</m:t>
        </m:r>
      </m:oMath>
      <w:r>
        <w:t xml:space="preserve">, 0.317 at</w:t>
      </w:r>
      <w:r>
        <w:t xml:space="preserve"> </w:t>
      </w:r>
      <m:oMath>
        <m:r>
          <m:t>β</m:t>
        </m:r>
        <m:r>
          <m:rPr>
            <m:sty m:val="p"/>
          </m:rPr>
          <m:t>=</m:t>
        </m:r>
        <m:r>
          <m:t>2</m:t>
        </m:r>
      </m:oMath>
      <w:r>
        <w:t xml:space="preserve">). Retention alone (</w:t>
      </w:r>
      <m:oMath>
        <m:r>
          <m:t>β</m:t>
        </m:r>
        <m:r>
          <m:rPr>
            <m:sty m:val="p"/>
          </m:rPr>
          <m:t>=</m:t>
        </m:r>
        <m:r>
          <m:t>0</m:t>
        </m:r>
      </m:oMath>
      <w:r>
        <w:t xml:space="preserve">,</w:t>
      </w:r>
      <w:r>
        <w:t xml:space="preserve"> </w:t>
      </w:r>
      <m:oMath>
        <m:r>
          <m:t>θ</m:t>
        </m:r>
        <m:r>
          <m:rPr>
            <m:sty m:val="p"/>
          </m:rPr>
          <m:t>=</m:t>
        </m:r>
        <m:r>
          <m:t>0.25</m:t>
        </m:r>
      </m:oMath>
      <w:r>
        <w:t xml:space="preserve">) is neutral, slightly positive under soft throttling (</w:t>
      </w:r>
      <m:oMath>
        <m:r>
          <m:t>0.546</m:t>
        </m:r>
      </m:oMath>
      <w:r>
        <w:t xml:space="preserve"> </w:t>
      </w:r>
      <w:r>
        <w:t xml:space="preserve">vs. </w:t>
      </w:r>
      <m:oMath>
        <m:r>
          <m:t>0.518</m:t>
        </m:r>
      </m:oMath>
      <w:r>
        <w:t xml:space="preserve">) and slightly negative under outage (</w:t>
      </w:r>
      <m:oMath>
        <m:r>
          <m:t>0.556</m:t>
        </m:r>
      </m:oMath>
      <w:r>
        <w:t xml:space="preserve"> </w:t>
      </w:r>
      <w:r>
        <w:t xml:space="preserve">vs. </w:t>
      </w:r>
      <m:oMath>
        <m:r>
          <m:t>0.568</m:t>
        </m:r>
      </m:oMath>
      <w:r>
        <w:t xml:space="preserve">). The configuration of our original proposal (</w:t>
      </w:r>
      <m:oMath>
        <m:r>
          <m:t>β</m:t>
        </m:r>
        <m:r>
          <m:rPr>
            <m:sty m:val="p"/>
          </m:rPr>
          <m:t>=</m:t>
        </m:r>
        <m:r>
          <m:t>1</m:t>
        </m:r>
      </m:oMath>
      <w:r>
        <w:t xml:space="preserve">,</w:t>
      </w:r>
      <w:r>
        <w:t xml:space="preserve"> </w:t>
      </w:r>
      <m:oMath>
        <m:r>
          <m:t>θ</m:t>
        </m:r>
        <m:r>
          <m:rPr>
            <m:sty m:val="p"/>
          </m:rPr>
          <m:t>=</m:t>
        </m:r>
        <m:r>
          <m:t>0.25</m:t>
        </m:r>
      </m:oMath>
      <w:r>
        <w:t xml:space="preserve">) is among the worst.</w:t>
      </w:r>
    </w:p>
    <w:bookmarkStart w:id="43" w:name="fig:energy"/>
    <w:p>
      <w:pPr>
        <w:pStyle w:val="CaptionedFigure"/>
      </w:pPr>
      <w:r>
        <w:drawing>
          <wp:inline>
            <wp:extent cx="5943600" cy="1464008"/>
            <wp:effectExtent b="0" l="0" r="0" t="0"/>
            <wp:docPr descr="" title="" id="41" name="Picture"/>
            <a:graphic>
              <a:graphicData uri="http://schemas.openxmlformats.org/drawingml/2006/picture">
                <pic:pic>
                  <pic:nvPicPr>
                    <pic:cNvPr descr="docx_build/fig_energy.png" id="42" name="Picture"/>
                    <pic:cNvPicPr>
                      <a:picLocks noChangeArrowheads="1" noChangeAspect="1"/>
                    </pic:cNvPicPr>
                  </pic:nvPicPr>
                  <pic:blipFill>
                    <a:blip r:embed="rId40"/>
                    <a:stretch>
                      <a:fillRect/>
                    </a:stretch>
                  </pic:blipFill>
                  <pic:spPr bwMode="auto">
                    <a:xfrm>
                      <a:off x="0" y="0"/>
                      <a:ext cx="5943600" cy="1464008"/>
                    </a:xfrm>
                    <a:prstGeom prst="rect">
                      <a:avLst/>
                    </a:prstGeom>
                    <a:noFill/>
                    <a:ln w="9525">
                      <a:noFill/>
                      <a:headEnd/>
                      <a:tailEnd/>
                    </a:ln>
                  </pic:spPr>
                </pic:pic>
              </a:graphicData>
            </a:graphic>
          </wp:inline>
        </w:drawing>
      </w:r>
    </w:p>
    <w:p>
      <w:pPr>
        <w:pStyle w:val="ImageCaption"/>
      </w:pPr>
      <w:r>
        <w:t xml:space="preserve">Fig. 4. Energy-aware variants as every server’s energy cap is scaled down (</w:t>
      </w:r>
      <m:oMath>
        <m:r>
          <m:t>ρ</m:t>
        </m:r>
        <m:r>
          <m:rPr>
            <m:sty m:val="p"/>
          </m:rPr>
          <m:t>=</m:t>
        </m:r>
        <m:r>
          <m:t>0.8</m:t>
        </m:r>
      </m:oMath>
      <w:r>
        <w:t xml:space="preserve">). (a) Compliant SLO under soft throttling; (b) compliant SLO and (c) mean server availability under the hard-outage model. The x-axis runs from abundant to scarce energy.</w:t>
      </w:r>
    </w:p>
    <w:bookmarkEnd w:id="43"/>
    <w:bookmarkStart w:id="44" w:name="tab:ablation"/>
    <w:p>
      <w:pPr>
        <w:pStyle w:val="TableCaption"/>
      </w:pPr>
      <w:r>
        <w:t xml:space="preserve">TABLE V. Energy ablation for TF+EW at cap scale 0.5,</w:t>
      </w:r>
      <w:r>
        <w:t xml:space="preserve"> </w:t>
      </w:r>
      <m:oMath>
        <m:r>
          <m:t>ρ</m:t>
        </m:r>
        <m:r>
          <m:rPr>
            <m:sty m:val="p"/>
          </m:rPr>
          <m:t>=</m:t>
        </m:r>
        <m:r>
          <m:t>0.8</m:t>
        </m:r>
      </m:oMath>
      <w:r>
        <w:t xml:space="preserve"> </w:t>
      </w:r>
      <w:r>
        <w:t xml:space="preserve">(10 seeds): energy weight</w:t>
      </w:r>
      <w:r>
        <w:t xml:space="preserve"> </w:t>
      </w:r>
      <m:oMath>
        <m:r>
          <m:t>β</m:t>
        </m:r>
      </m:oMath>
      <w:r>
        <w:t xml:space="preserve"> </w:t>
      </w:r>
      <w:r>
        <w:t xml:space="preserve">and retention threshold</w:t>
      </w:r>
      <w:r>
        <w:t xml:space="preserve"> </w:t>
      </w:r>
      <m:oMath>
        <m:r>
          <m:t>θ</m:t>
        </m:r>
      </m:oMath>
      <w:r>
        <w:t xml:space="preserve">.</w:t>
      </w:r>
      <w:r>
        <w:t xml:space="preserve"> </w:t>
      </w:r>
      <m:oMath>
        <m:r>
          <m:t>β</m:t>
        </m:r>
        <m:r>
          <m:rPr>
            <m:sty m:val="p"/>
          </m:rPr>
          <m:t>=</m:t>
        </m:r>
        <m:r>
          <m:t>θ</m:t>
        </m:r>
        <m:r>
          <m:rPr>
            <m:sty m:val="p"/>
          </m:rPr>
          <m:t>=</m:t>
        </m:r>
        <m:r>
          <m:t>0</m:t>
        </m:r>
      </m:oMath>
      <w:r>
        <w:t xml:space="preserve"> </w:t>
      </w:r>
      <w:r>
        <w:t xml:space="preserve">is TF.</w:t>
      </w:r>
    </w:p>
    <w:tbl>
      <w:tblPr>
        <w:tblStyle w:val="Table"/>
        <w:tblW w:type="dxa" w:w="9360"/>
        <w:tblLook w:firstRow="0" w:lastRow="0" w:firstColumn="0" w:lastColumn="0" w:noHBand="0" w:noVBand="0" w:val="0000"/>
        <w:tblCaption w:val="TABLE V. Energy ablation for TF+EW at cap scale 0.5, \rho=0.8 (10 seeds): energy weight \beta and retention threshold \theta. \beta=\theta=0 is TF."/>
      </w:tblPr>
      <w:tblGrid>
        <w:gridCol w:w="500"/>
        <w:gridCol w:w="624"/>
        <w:gridCol w:w="1716"/>
        <w:gridCol w:w="1716"/>
        <w:gridCol w:w="1716"/>
        <w:gridCol w:w="1716"/>
        <w:gridCol w:w="1372"/>
      </w:tblGrid>
      <w:tr>
        <w:tc>
          <w:tcPr/>
          <w:p>
            <w:pPr>
              <w:pStyle w:val="Compact"/>
            </w:pPr>
          </w:p>
        </w:tc>
        <w:tc>
          <w:tcPr/>
          <w:p>
            <w:pPr>
              <w:pStyle w:val="Compact"/>
            </w:pPr>
          </w:p>
        </w:tc>
        <w:tc>
          <w:tcPr>
            <w:gridSpan w:val="2"/>
          </w:tcPr>
          <w:p>
            <w:pPr>
              <w:pStyle w:val="Compact"/>
              <w:jc w:val="center"/>
            </w:pPr>
            <w:r>
              <w:t xml:space="preserve">Soft throttling</w:t>
            </w:r>
          </w:p>
        </w:tc>
        <w:tc>
          <w:tcPr>
            <w:gridSpan w:val="3"/>
          </w:tcPr>
          <w:p>
            <w:pPr>
              <w:pStyle w:val="Compact"/>
              <w:jc w:val="center"/>
            </w:pPr>
            <w:r>
              <w:t xml:space="preserve">Hard outage</w:t>
            </w:r>
          </w:p>
        </w:tc>
      </w:tr>
      <w:tr>
        <w:tc>
          <w:tcPr/>
          <w:p>
            <w:pPr>
              <w:pStyle w:val="Compact"/>
              <w:jc w:val="center"/>
            </w:pPr>
            <w:r>
              <w:t xml:space="preserve">​</w:t>
            </w:r>
            <m:oMath>
              <m:r>
                <m:t>β</m:t>
              </m:r>
            </m:oMath>
          </w:p>
        </w:tc>
        <w:tc>
          <w:tcPr/>
          <w:p>
            <w:pPr>
              <w:pStyle w:val="Compact"/>
              <w:jc w:val="center"/>
            </w:pPr>
            <w:r>
              <w:t xml:space="preserve">​</w:t>
            </w:r>
            <m:oMath>
              <m:r>
                <m:t>θ</m:t>
              </m:r>
            </m:oMath>
          </w:p>
        </w:tc>
        <w:tc>
          <w:tcPr/>
          <w:p>
            <w:pPr>
              <w:pStyle w:val="Compact"/>
              <w:jc w:val="center"/>
            </w:pPr>
            <w:r>
              <w:t xml:space="preserve">Compl. SLO</w:t>
            </w:r>
          </w:p>
        </w:tc>
        <w:tc>
          <w:tcPr/>
          <w:p>
            <w:pPr>
              <w:pStyle w:val="Compact"/>
              <w:jc w:val="center"/>
            </w:pPr>
            <w:r>
              <w:t xml:space="preserve">Throttled</w:t>
            </w:r>
          </w:p>
        </w:tc>
        <w:tc>
          <w:tcPr/>
          <w:p>
            <w:pPr>
              <w:pStyle w:val="Compact"/>
              <w:jc w:val="center"/>
            </w:pPr>
            <w:r>
              <w:t xml:space="preserve">Compl. SLO</w:t>
            </w:r>
          </w:p>
        </w:tc>
        <w:tc>
          <w:tcPr/>
          <w:p>
            <w:pPr>
              <w:pStyle w:val="Compact"/>
              <w:jc w:val="center"/>
            </w:pPr>
            <w:r>
              <w:t xml:space="preserve">Throttled</w:t>
            </w:r>
          </w:p>
        </w:tc>
        <w:tc>
          <w:tcPr/>
          <w:p>
            <w:pPr>
              <w:pStyle w:val="Compact"/>
              <w:jc w:val="center"/>
            </w:pPr>
            <w:r>
              <w:t xml:space="preserve">Avail.</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0.518</w:t>
            </w:r>
            <m:oMath>
              <m:r>
                <m:rPr>
                  <m:sty m:val="p"/>
                </m:rPr>
                <m:t>±</m:t>
              </m:r>
            </m:oMath>
            <w:r>
              <w:t xml:space="preserve">0.132</w:t>
            </w:r>
          </w:p>
        </w:tc>
        <w:tc>
          <w:tcPr/>
          <w:p>
            <w:pPr>
              <w:pStyle w:val="Compact"/>
              <w:jc w:val="center"/>
            </w:pPr>
            <w:r>
              <w:t xml:space="preserve">0.222</w:t>
            </w:r>
            <m:oMath>
              <m:r>
                <m:rPr>
                  <m:sty m:val="p"/>
                </m:rPr>
                <m:t>±</m:t>
              </m:r>
            </m:oMath>
            <w:r>
              <w:t xml:space="preserve">0.068</w:t>
            </w:r>
          </w:p>
        </w:tc>
        <w:tc>
          <w:tcPr/>
          <w:p>
            <w:pPr>
              <w:pStyle w:val="Compact"/>
              <w:jc w:val="center"/>
            </w:pPr>
            <w:r>
              <w:t xml:space="preserve">0.568</w:t>
            </w:r>
            <m:oMath>
              <m:r>
                <m:rPr>
                  <m:sty m:val="p"/>
                </m:rPr>
                <m:t>±</m:t>
              </m:r>
            </m:oMath>
            <w:r>
              <w:t xml:space="preserve">0.048</w:t>
            </w:r>
          </w:p>
        </w:tc>
        <w:tc>
          <w:tcPr/>
          <w:p>
            <w:pPr>
              <w:pStyle w:val="Compact"/>
              <w:jc w:val="center"/>
            </w:pPr>
            <w:r>
              <w:t xml:space="preserve">0.022</w:t>
            </w:r>
            <m:oMath>
              <m:r>
                <m:rPr>
                  <m:sty m:val="p"/>
                </m:rPr>
                <m:t>±</m:t>
              </m:r>
            </m:oMath>
            <w:r>
              <w:t xml:space="preserve">0.004</w:t>
            </w:r>
          </w:p>
        </w:tc>
        <w:tc>
          <w:tcPr/>
          <w:p>
            <w:pPr>
              <w:pStyle w:val="Compact"/>
              <w:jc w:val="center"/>
            </w:pPr>
            <w:r>
              <w:t xml:space="preserve">0.47</w:t>
            </w:r>
            <m:oMath>
              <m:r>
                <m:rPr>
                  <m:sty m:val="p"/>
                </m:rPr>
                <m:t>±</m:t>
              </m:r>
            </m:oMath>
            <w:r>
              <w:t xml:space="preserve">0.04</w:t>
            </w:r>
          </w:p>
        </w:tc>
      </w:tr>
      <w:tr>
        <w:tc>
          <w:tcPr/>
          <w:p>
            <w:pPr>
              <w:pStyle w:val="Compact"/>
              <w:jc w:val="center"/>
            </w:pPr>
            <w:r>
              <w:t xml:space="preserve">0</w:t>
            </w:r>
          </w:p>
        </w:tc>
        <w:tc>
          <w:tcPr/>
          <w:p>
            <w:pPr>
              <w:pStyle w:val="Compact"/>
              <w:jc w:val="center"/>
            </w:pPr>
            <w:r>
              <w:t xml:space="preserve">0.25</w:t>
            </w:r>
          </w:p>
        </w:tc>
        <w:tc>
          <w:tcPr/>
          <w:p>
            <w:pPr>
              <w:pStyle w:val="Compact"/>
              <w:jc w:val="center"/>
            </w:pPr>
            <w:r>
              <w:t xml:space="preserve">0.546</w:t>
            </w:r>
            <m:oMath>
              <m:r>
                <m:rPr>
                  <m:sty m:val="p"/>
                </m:rPr>
                <m:t>±</m:t>
              </m:r>
            </m:oMath>
            <w:r>
              <w:t xml:space="preserve">0.136</w:t>
            </w:r>
          </w:p>
        </w:tc>
        <w:tc>
          <w:tcPr/>
          <w:p>
            <w:pPr>
              <w:pStyle w:val="Compact"/>
              <w:jc w:val="center"/>
            </w:pPr>
            <w:r>
              <w:t xml:space="preserve">0.220</w:t>
            </w:r>
            <m:oMath>
              <m:r>
                <m:rPr>
                  <m:sty m:val="p"/>
                </m:rPr>
                <m:t>±</m:t>
              </m:r>
            </m:oMath>
            <w:r>
              <w:t xml:space="preserve">0.069</w:t>
            </w:r>
          </w:p>
        </w:tc>
        <w:tc>
          <w:tcPr/>
          <w:p>
            <w:pPr>
              <w:pStyle w:val="Compact"/>
              <w:jc w:val="center"/>
            </w:pPr>
            <w:r>
              <w:t xml:space="preserve">0.556</w:t>
            </w:r>
            <m:oMath>
              <m:r>
                <m:rPr>
                  <m:sty m:val="p"/>
                </m:rPr>
                <m:t>±</m:t>
              </m:r>
            </m:oMath>
            <w:r>
              <w:t xml:space="preserve">0.034</w:t>
            </w:r>
          </w:p>
        </w:tc>
        <w:tc>
          <w:tcPr/>
          <w:p>
            <w:pPr>
              <w:pStyle w:val="Compact"/>
              <w:jc w:val="center"/>
            </w:pPr>
            <w:r>
              <w:t xml:space="preserve">0.018</w:t>
            </w:r>
            <m:oMath>
              <m:r>
                <m:rPr>
                  <m:sty m:val="p"/>
                </m:rPr>
                <m:t>±</m:t>
              </m:r>
            </m:oMath>
            <w:r>
              <w:t xml:space="preserve">0.005</w:t>
            </w:r>
          </w:p>
        </w:tc>
        <w:tc>
          <w:tcPr/>
          <w:p>
            <w:pPr>
              <w:pStyle w:val="Compact"/>
              <w:jc w:val="center"/>
            </w:pPr>
            <w:r>
              <w:t xml:space="preserve">0.47</w:t>
            </w:r>
            <m:oMath>
              <m:r>
                <m:rPr>
                  <m:sty m:val="p"/>
                </m:rPr>
                <m:t>±</m:t>
              </m:r>
            </m:oMath>
            <w:r>
              <w:t xml:space="preserve">0.04</w:t>
            </w:r>
          </w:p>
        </w:tc>
      </w:tr>
      <w:tr>
        <w:tc>
          <w:tcPr/>
          <w:p>
            <w:pPr>
              <w:pStyle w:val="Compact"/>
              <w:jc w:val="center"/>
            </w:pPr>
            <w:r>
              <w:t xml:space="preserve">0.5</w:t>
            </w:r>
          </w:p>
        </w:tc>
        <w:tc>
          <w:tcPr/>
          <w:p>
            <w:pPr>
              <w:pStyle w:val="Compact"/>
              <w:jc w:val="center"/>
            </w:pPr>
            <w:r>
              <w:t xml:space="preserve">0</w:t>
            </w:r>
          </w:p>
        </w:tc>
        <w:tc>
          <w:tcPr/>
          <w:p>
            <w:pPr>
              <w:pStyle w:val="Compact"/>
              <w:jc w:val="center"/>
            </w:pPr>
            <w:r>
              <w:t xml:space="preserve">0.513</w:t>
            </w:r>
            <m:oMath>
              <m:r>
                <m:rPr>
                  <m:sty m:val="p"/>
                </m:rPr>
                <m:t>±</m:t>
              </m:r>
            </m:oMath>
            <w:r>
              <w:t xml:space="preserve">0.119</w:t>
            </w:r>
          </w:p>
        </w:tc>
        <w:tc>
          <w:tcPr/>
          <w:p>
            <w:pPr>
              <w:pStyle w:val="Compact"/>
              <w:jc w:val="center"/>
            </w:pPr>
            <w:r>
              <w:t xml:space="preserve">0.236</w:t>
            </w:r>
            <m:oMath>
              <m:r>
                <m:rPr>
                  <m:sty m:val="p"/>
                </m:rPr>
                <m:t>±</m:t>
              </m:r>
            </m:oMath>
            <w:r>
              <w:t xml:space="preserve">0.055</w:t>
            </w:r>
          </w:p>
        </w:tc>
        <w:tc>
          <w:tcPr/>
          <w:p>
            <w:pPr>
              <w:pStyle w:val="Compact"/>
              <w:jc w:val="center"/>
            </w:pPr>
            <w:r>
              <w:t xml:space="preserve">0.438</w:t>
            </w:r>
            <m:oMath>
              <m:r>
                <m:rPr>
                  <m:sty m:val="p"/>
                </m:rPr>
                <m:t>±</m:t>
              </m:r>
            </m:oMath>
            <w:r>
              <w:t xml:space="preserve">0.044</w:t>
            </w:r>
          </w:p>
        </w:tc>
        <w:tc>
          <w:tcPr/>
          <w:p>
            <w:pPr>
              <w:pStyle w:val="Compact"/>
              <w:jc w:val="center"/>
            </w:pPr>
            <w:r>
              <w:t xml:space="preserve">0.016</w:t>
            </w:r>
            <m:oMath>
              <m:r>
                <m:rPr>
                  <m:sty m:val="p"/>
                </m:rPr>
                <m:t>±</m:t>
              </m:r>
            </m:oMath>
            <w:r>
              <w:t xml:space="preserve">0.006</w:t>
            </w:r>
          </w:p>
        </w:tc>
        <w:tc>
          <w:tcPr/>
          <w:p>
            <w:pPr>
              <w:pStyle w:val="Compact"/>
              <w:jc w:val="center"/>
            </w:pPr>
            <w:r>
              <w:t xml:space="preserve">0.38</w:t>
            </w:r>
            <m:oMath>
              <m:r>
                <m:rPr>
                  <m:sty m:val="p"/>
                </m:rPr>
                <m:t>±</m:t>
              </m:r>
            </m:oMath>
            <w:r>
              <w:t xml:space="preserve">0.04</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0.469</w:t>
            </w:r>
            <m:oMath>
              <m:r>
                <m:rPr>
                  <m:sty m:val="p"/>
                </m:rPr>
                <m:t>±</m:t>
              </m:r>
            </m:oMath>
            <w:r>
              <w:t xml:space="preserve">0.111</w:t>
            </w:r>
          </w:p>
        </w:tc>
        <w:tc>
          <w:tcPr/>
          <w:p>
            <w:pPr>
              <w:pStyle w:val="Compact"/>
              <w:jc w:val="center"/>
            </w:pPr>
            <w:r>
              <w:t xml:space="preserve">0.209</w:t>
            </w:r>
            <m:oMath>
              <m:r>
                <m:rPr>
                  <m:sty m:val="p"/>
                </m:rPr>
                <m:t>±</m:t>
              </m:r>
            </m:oMath>
            <w:r>
              <w:t xml:space="preserve">0.052</w:t>
            </w:r>
          </w:p>
        </w:tc>
        <w:tc>
          <w:tcPr/>
          <w:p>
            <w:pPr>
              <w:pStyle w:val="Compact"/>
              <w:jc w:val="center"/>
            </w:pPr>
            <w:r>
              <w:t xml:space="preserve">0.334</w:t>
            </w:r>
            <m:oMath>
              <m:r>
                <m:rPr>
                  <m:sty m:val="p"/>
                </m:rPr>
                <m:t>±</m:t>
              </m:r>
            </m:oMath>
            <w:r>
              <w:t xml:space="preserve">0.043</w:t>
            </w:r>
          </w:p>
        </w:tc>
        <w:tc>
          <w:tcPr/>
          <w:p>
            <w:pPr>
              <w:pStyle w:val="Compact"/>
              <w:jc w:val="center"/>
            </w:pPr>
            <w:r>
              <w:t xml:space="preserve">0.011</w:t>
            </w:r>
            <m:oMath>
              <m:r>
                <m:rPr>
                  <m:sty m:val="p"/>
                </m:rPr>
                <m:t>±</m:t>
              </m:r>
            </m:oMath>
            <w:r>
              <w:t xml:space="preserve">0.005</w:t>
            </w:r>
          </w:p>
        </w:tc>
        <w:tc>
          <w:tcPr/>
          <w:p>
            <w:pPr>
              <w:pStyle w:val="Compact"/>
              <w:jc w:val="center"/>
            </w:pPr>
            <w:r>
              <w:t xml:space="preserve">0.39</w:t>
            </w:r>
            <m:oMath>
              <m:r>
                <m:rPr>
                  <m:sty m:val="p"/>
                </m:rPr>
                <m:t>±</m:t>
              </m:r>
            </m:oMath>
            <w:r>
              <w:t xml:space="preserve">0.05</w:t>
            </w:r>
          </w:p>
        </w:tc>
      </w:tr>
      <w:tr>
        <w:tc>
          <w:tcPr/>
          <w:p>
            <w:pPr>
              <w:pStyle w:val="Compact"/>
              <w:jc w:val="center"/>
            </w:pPr>
            <w:r>
              <w:t xml:space="preserve">1</w:t>
            </w:r>
          </w:p>
        </w:tc>
        <w:tc>
          <w:tcPr/>
          <w:p>
            <w:pPr>
              <w:pStyle w:val="Compact"/>
              <w:jc w:val="center"/>
            </w:pPr>
            <w:r>
              <w:t xml:space="preserve">0.25</w:t>
            </w:r>
          </w:p>
        </w:tc>
        <w:tc>
          <w:tcPr/>
          <w:p>
            <w:pPr>
              <w:pStyle w:val="Compact"/>
              <w:jc w:val="center"/>
            </w:pPr>
            <w:r>
              <w:t xml:space="preserve">0.454</w:t>
            </w:r>
            <m:oMath>
              <m:r>
                <m:rPr>
                  <m:sty m:val="p"/>
                </m:rPr>
                <m:t>±</m:t>
              </m:r>
            </m:oMath>
            <w:r>
              <w:t xml:space="preserve">0.101</w:t>
            </w:r>
          </w:p>
        </w:tc>
        <w:tc>
          <w:tcPr/>
          <w:p>
            <w:pPr>
              <w:pStyle w:val="Compact"/>
              <w:jc w:val="center"/>
            </w:pPr>
            <w:r>
              <w:t xml:space="preserve">0.200</w:t>
            </w:r>
            <m:oMath>
              <m:r>
                <m:rPr>
                  <m:sty m:val="p"/>
                </m:rPr>
                <m:t>±</m:t>
              </m:r>
            </m:oMath>
            <w:r>
              <w:t xml:space="preserve">0.047</w:t>
            </w:r>
          </w:p>
        </w:tc>
        <w:tc>
          <w:tcPr/>
          <w:p>
            <w:pPr>
              <w:pStyle w:val="Compact"/>
              <w:jc w:val="center"/>
            </w:pPr>
            <w:r>
              <w:t xml:space="preserve">0.334</w:t>
            </w:r>
            <m:oMath>
              <m:r>
                <m:rPr>
                  <m:sty m:val="p"/>
                </m:rPr>
                <m:t>±</m:t>
              </m:r>
            </m:oMath>
            <w:r>
              <w:t xml:space="preserve">0.050</w:t>
            </w:r>
          </w:p>
        </w:tc>
        <w:tc>
          <w:tcPr/>
          <w:p>
            <w:pPr>
              <w:pStyle w:val="Compact"/>
              <w:jc w:val="center"/>
            </w:pPr>
            <w:r>
              <w:t xml:space="preserve">0.010</w:t>
            </w:r>
            <m:oMath>
              <m:r>
                <m:rPr>
                  <m:sty m:val="p"/>
                </m:rPr>
                <m:t>±</m:t>
              </m:r>
            </m:oMath>
            <w:r>
              <w:t xml:space="preserve">0.002</w:t>
            </w:r>
          </w:p>
        </w:tc>
        <w:tc>
          <w:tcPr/>
          <w:p>
            <w:pPr>
              <w:pStyle w:val="Compact"/>
              <w:jc w:val="center"/>
            </w:pPr>
            <w:r>
              <w:t xml:space="preserve">0.40</w:t>
            </w:r>
            <m:oMath>
              <m:r>
                <m:rPr>
                  <m:sty m:val="p"/>
                </m:rPr>
                <m:t>±</m:t>
              </m:r>
            </m:oMath>
            <w:r>
              <w:t xml:space="preserve">0.03</w:t>
            </w:r>
          </w:p>
        </w:tc>
      </w:tr>
      <w:tr>
        <w:tc>
          <w:tcPr/>
          <w:p>
            <w:pPr>
              <w:pStyle w:val="Compact"/>
              <w:jc w:val="center"/>
            </w:pPr>
            <w:r>
              <w:t xml:space="preserve">1</w:t>
            </w:r>
          </w:p>
        </w:tc>
        <w:tc>
          <w:tcPr/>
          <w:p>
            <w:pPr>
              <w:pStyle w:val="Compact"/>
              <w:jc w:val="center"/>
            </w:pPr>
            <w:r>
              <w:t xml:space="preserve">0.4</w:t>
            </w:r>
          </w:p>
        </w:tc>
        <w:tc>
          <w:tcPr/>
          <w:p>
            <w:pPr>
              <w:pStyle w:val="Compact"/>
              <w:jc w:val="center"/>
            </w:pPr>
            <w:r>
              <w:t xml:space="preserve">0.463</w:t>
            </w:r>
            <m:oMath>
              <m:r>
                <m:rPr>
                  <m:sty m:val="p"/>
                </m:rPr>
                <m:t>±</m:t>
              </m:r>
            </m:oMath>
            <w:r>
              <w:t xml:space="preserve">0.109</w:t>
            </w:r>
          </w:p>
        </w:tc>
        <w:tc>
          <w:tcPr/>
          <w:p>
            <w:pPr>
              <w:pStyle w:val="Compact"/>
              <w:jc w:val="center"/>
            </w:pPr>
            <w:r>
              <w:t xml:space="preserve">0.206</w:t>
            </w:r>
            <m:oMath>
              <m:r>
                <m:rPr>
                  <m:sty m:val="p"/>
                </m:rPr>
                <m:t>±</m:t>
              </m:r>
            </m:oMath>
            <w:r>
              <w:t xml:space="preserve">0.051</w:t>
            </w:r>
          </w:p>
        </w:tc>
        <w:tc>
          <w:tcPr/>
          <w:p>
            <w:pPr>
              <w:pStyle w:val="Compact"/>
              <w:jc w:val="center"/>
            </w:pPr>
            <w:r>
              <w:t xml:space="preserve">0.346</w:t>
            </w:r>
            <m:oMath>
              <m:r>
                <m:rPr>
                  <m:sty m:val="p"/>
                </m:rPr>
                <m:t>±</m:t>
              </m:r>
            </m:oMath>
            <w:r>
              <w:t xml:space="preserve">0.048</w:t>
            </w:r>
          </w:p>
        </w:tc>
        <w:tc>
          <w:tcPr/>
          <w:p>
            <w:pPr>
              <w:pStyle w:val="Compact"/>
              <w:jc w:val="center"/>
            </w:pPr>
            <w:r>
              <w:t xml:space="preserve">0.009</w:t>
            </w:r>
            <m:oMath>
              <m:r>
                <m:rPr>
                  <m:sty m:val="p"/>
                </m:rPr>
                <m:t>±</m:t>
              </m:r>
            </m:oMath>
            <w:r>
              <w:t xml:space="preserve">0.002</w:t>
            </w:r>
          </w:p>
        </w:tc>
        <w:tc>
          <w:tcPr/>
          <w:p>
            <w:pPr>
              <w:pStyle w:val="Compact"/>
              <w:jc w:val="center"/>
            </w:pPr>
            <w:r>
              <w:t xml:space="preserve">0.39</w:t>
            </w:r>
            <m:oMath>
              <m:r>
                <m:rPr>
                  <m:sty m:val="p"/>
                </m:rPr>
                <m:t>±</m:t>
              </m:r>
            </m:oMath>
            <w:r>
              <w:t xml:space="preserve">0.04</w:t>
            </w:r>
          </w:p>
        </w:tc>
      </w:tr>
      <w:tr>
        <w:tc>
          <w:tcPr/>
          <w:p>
            <w:pPr>
              <w:pStyle w:val="Compact"/>
              <w:jc w:val="center"/>
            </w:pPr>
            <w:r>
              <w:t xml:space="preserve">2</w:t>
            </w:r>
          </w:p>
        </w:tc>
        <w:tc>
          <w:tcPr/>
          <w:p>
            <w:pPr>
              <w:pStyle w:val="Compact"/>
              <w:jc w:val="center"/>
            </w:pPr>
            <w:r>
              <w:t xml:space="preserve">0.25</w:t>
            </w:r>
          </w:p>
        </w:tc>
        <w:tc>
          <w:tcPr/>
          <w:p>
            <w:pPr>
              <w:pStyle w:val="Compact"/>
              <w:jc w:val="center"/>
            </w:pPr>
            <w:r>
              <w:t xml:space="preserve">0.409</w:t>
            </w:r>
            <m:oMath>
              <m:r>
                <m:rPr>
                  <m:sty m:val="p"/>
                </m:rPr>
                <m:t>±</m:t>
              </m:r>
            </m:oMath>
            <w:r>
              <w:t xml:space="preserve">0.081</w:t>
            </w:r>
          </w:p>
        </w:tc>
        <w:tc>
          <w:tcPr/>
          <w:p>
            <w:pPr>
              <w:pStyle w:val="Compact"/>
              <w:jc w:val="center"/>
            </w:pPr>
            <w:r>
              <w:t xml:space="preserve">0.177</w:t>
            </w:r>
            <m:oMath>
              <m:r>
                <m:rPr>
                  <m:sty m:val="p"/>
                </m:rPr>
                <m:t>±</m:t>
              </m:r>
            </m:oMath>
            <w:r>
              <w:t xml:space="preserve">0.029</w:t>
            </w:r>
          </w:p>
        </w:tc>
        <w:tc>
          <w:tcPr/>
          <w:p>
            <w:pPr>
              <w:pStyle w:val="Compact"/>
              <w:jc w:val="center"/>
            </w:pPr>
            <w:r>
              <w:t xml:space="preserve">0.317</w:t>
            </w:r>
            <m:oMath>
              <m:r>
                <m:rPr>
                  <m:sty m:val="p"/>
                </m:rPr>
                <m:t>±</m:t>
              </m:r>
            </m:oMath>
            <w:r>
              <w:t xml:space="preserve">0.045</w:t>
            </w:r>
          </w:p>
        </w:tc>
        <w:tc>
          <w:tcPr/>
          <w:p>
            <w:pPr>
              <w:pStyle w:val="Compact"/>
              <w:jc w:val="center"/>
            </w:pPr>
            <w:r>
              <w:t xml:space="preserve">0.007</w:t>
            </w:r>
            <m:oMath>
              <m:r>
                <m:rPr>
                  <m:sty m:val="p"/>
                </m:rPr>
                <m:t>±</m:t>
              </m:r>
            </m:oMath>
            <w:r>
              <w:t xml:space="preserve">0.002</w:t>
            </w:r>
          </w:p>
        </w:tc>
        <w:tc>
          <w:tcPr/>
          <w:p>
            <w:pPr>
              <w:pStyle w:val="Compact"/>
              <w:jc w:val="center"/>
            </w:pPr>
            <w:r>
              <w:t xml:space="preserve">0.37</w:t>
            </w:r>
            <m:oMath>
              <m:r>
                <m:rPr>
                  <m:sty m:val="p"/>
                </m:rPr>
                <m:t>±</m:t>
              </m:r>
            </m:oMath>
            <w:r>
              <w:t xml:space="preserve">0.05</w:t>
            </w:r>
          </w:p>
        </w:tc>
      </w:tr>
    </w:tbl>
    <w:bookmarkEnd w:id="44"/>
    <w:p>
      <w:pPr>
        <w:pStyle w:val="BodyText"/>
      </w:pPr>
      <w:r>
        <w:rPr>
          <w:b/>
          <w:bCs/>
        </w:rPr>
        <w:t xml:space="preserve">Is it stale information?</w:t>
      </w:r>
      <w:r>
        <w:t xml:space="preserve"> </w:t>
      </w:r>
      <w:r>
        <w:t xml:space="preserve">A natural explanation is herding: all servers see the same stale headroom values and pile onto the same</w:t>
      </w:r>
      <w:r>
        <w:t xml:space="preserve"> </w:t>
      </w:r>
      <w:r>
        <w:t xml:space="preserve">“energy-rich”</w:t>
      </w:r>
      <w:r>
        <w:t xml:space="preserve"> </w:t>
      </w:r>
      <w:r>
        <w:t xml:space="preserve">peers </w:t>
      </w:r>
      <w:r>
        <w:t xml:space="preserve">[20]</w:t>
      </w:r>
      <w:r>
        <w:t xml:space="preserve">. If so, fresher state should shrink the penalty. Fig. 5 shows the opposite. Under hard outage, the penalty of TF+EW</w:t>
      </w:r>
      <w:r>
        <w:t xml:space="preserve"> </w:t>
      </w:r>
      <w:r>
        <w:rPr>
          <w:i/>
          <w:iCs/>
        </w:rPr>
        <w:t xml:space="preserve">grows</w:t>
      </w:r>
      <w:r>
        <w:t xml:space="preserve"> </w:t>
      </w:r>
      <w:r>
        <w:t xml:space="preserve">as the sync period shrinks, from</w:t>
      </w:r>
      <w:r>
        <w:t xml:space="preserve"> </w:t>
      </w:r>
      <m:oMath>
        <m:r>
          <m:rPr>
            <m:sty m:val="p"/>
          </m:rPr>
          <m:t>−</m:t>
        </m:r>
        <m:r>
          <m:t>0.170</m:t>
        </m:r>
      </m:oMath>
      <w:r>
        <w:t xml:space="preserve"> </w:t>
      </w:r>
      <w:r>
        <w:t xml:space="preserve">at</w:t>
      </w:r>
      <w:r>
        <w:t xml:space="preserve"> </w:t>
      </w:r>
      <m:oMath>
        <m:r>
          <m:t>H</m:t>
        </m:r>
        <m:r>
          <m:rPr>
            <m:sty m:val="p"/>
          </m:rPr>
          <m:t>=</m:t>
        </m:r>
        <m:r>
          <m:t>2</m:t>
        </m:r>
      </m:oMath>
      <w:r>
        <w:t xml:space="preserve"> s to</w:t>
      </w:r>
      <w:r>
        <w:t xml:space="preserve"> </w:t>
      </w:r>
      <m:oMath>
        <m:r>
          <m:rPr>
            <m:sty m:val="p"/>
          </m:rPr>
          <m:t>−</m:t>
        </m:r>
        <m:r>
          <m:t>0.388</m:t>
        </m:r>
      </m:oMath>
      <w:r>
        <w:t xml:space="preserve"> </w:t>
      </w:r>
      <w:r>
        <w:t xml:space="preserve">at</w:t>
      </w:r>
      <w:r>
        <w:t xml:space="preserve"> </w:t>
      </w:r>
      <m:oMath>
        <m:r>
          <m:t>H</m:t>
        </m:r>
        <m:r>
          <m:rPr>
            <m:sty m:val="p"/>
          </m:rPr>
          <m:t>=</m:t>
        </m:r>
        <m:r>
          <m:t>0.1</m:t>
        </m:r>
      </m:oMath>
      <w:r>
        <w:t xml:space="preserve"> s (TF+EC:</w:t>
      </w:r>
      <w:r>
        <w:t xml:space="preserve"> </w:t>
      </w:r>
      <m:oMath>
        <m:r>
          <m:rPr>
            <m:sty m:val="p"/>
          </m:rPr>
          <m:t>−</m:t>
        </m:r>
        <m:r>
          <m:t>0.183</m:t>
        </m:r>
      </m:oMath>
      <w:r>
        <w:t xml:space="preserve"> </w:t>
      </w:r>
      <w:r>
        <w:t xml:space="preserve">to</w:t>
      </w:r>
      <w:r>
        <w:t xml:space="preserve"> </w:t>
      </w:r>
      <m:oMath>
        <m:r>
          <m:rPr>
            <m:sty m:val="p"/>
          </m:rPr>
          <m:t>−</m:t>
        </m:r>
        <m:r>
          <m:t>0.443</m:t>
        </m:r>
      </m:oMath>
      <w:r>
        <w:t xml:space="preserve">; all</w:t>
      </w:r>
      <w:r>
        <w:t xml:space="preserve"> </w:t>
      </w:r>
      <m:oMath>
        <m:r>
          <m:t>p</m:t>
        </m:r>
        <m:r>
          <m:rPr>
            <m:sty m:val="p"/>
          </m:rPr>
          <m:t>=</m:t>
        </m:r>
        <m:r>
          <m:t>0.002</m:t>
        </m:r>
      </m:oMath>
      <w:r>
        <w:t xml:space="preserve">), and availability falls with it. Stale information therefore does not cause the failure; the more accurately the router acts on energy headroom, the worse it does. We explain why in Section VII.</w:t>
      </w:r>
    </w:p>
    <w:bookmarkStart w:id="48" w:name="fig:estale"/>
    <w:p>
      <w:pPr>
        <w:pStyle w:val="CaptionedFigure"/>
      </w:pPr>
      <w:r>
        <w:drawing>
          <wp:inline>
            <wp:extent cx="4206240" cy="2204007"/>
            <wp:effectExtent b="0" l="0" r="0" t="0"/>
            <wp:docPr descr="" title="" id="46" name="Picture"/>
            <a:graphic>
              <a:graphicData uri="http://schemas.openxmlformats.org/drawingml/2006/picture">
                <pic:pic>
                  <pic:nvPicPr>
                    <pic:cNvPr descr="docx_build/fig_estale.png" id="47" name="Picture"/>
                    <pic:cNvPicPr>
                      <a:picLocks noChangeArrowheads="1" noChangeAspect="1"/>
                    </pic:cNvPicPr>
                  </pic:nvPicPr>
                  <pic:blipFill>
                    <a:blip r:embed="rId45"/>
                    <a:stretch>
                      <a:fillRect/>
                    </a:stretch>
                  </pic:blipFill>
                  <pic:spPr bwMode="auto">
                    <a:xfrm>
                      <a:off x="0" y="0"/>
                      <a:ext cx="4206240" cy="2204007"/>
                    </a:xfrm>
                    <a:prstGeom prst="rect">
                      <a:avLst/>
                    </a:prstGeom>
                    <a:noFill/>
                    <a:ln w="9525">
                      <a:noFill/>
                      <a:headEnd/>
                      <a:tailEnd/>
                    </a:ln>
                  </pic:spPr>
                </pic:pic>
              </a:graphicData>
            </a:graphic>
          </wp:inline>
        </w:drawing>
      </w:r>
    </w:p>
    <w:p>
      <w:pPr>
        <w:pStyle w:val="ImageCaption"/>
      </w:pPr>
      <w:r>
        <w:t xml:space="preserve">Fig. 5. Energy-aware variants vs. the state-sync period</w:t>
      </w:r>
      <w:r>
        <w:t xml:space="preserve"> </w:t>
      </w:r>
      <m:oMath>
        <m:r>
          <m:t>H</m:t>
        </m:r>
      </m:oMath>
      <w:r>
        <w:t xml:space="preserve"> </w:t>
      </w:r>
      <w:r>
        <w:t xml:space="preserve">(cap scale 0.5,</w:t>
      </w:r>
      <w:r>
        <w:t xml:space="preserve"> </w:t>
      </w:r>
      <m:oMath>
        <m:r>
          <m:t>ρ</m:t>
        </m:r>
        <m:r>
          <m:rPr>
            <m:sty m:val="p"/>
          </m:rPr>
          <m:t>=</m:t>
        </m:r>
        <m:r>
          <m:t>0.8</m:t>
        </m:r>
      </m:oMath>
      <w:r>
        <w:t xml:space="preserve">). Under hard outages (b), fresher state makes energy weighting worse, ruling out stale-information herding as the main cause.</w:t>
      </w:r>
    </w:p>
    <w:bookmarkEnd w:id="48"/>
    <w:bookmarkEnd w:id="49"/>
    <w:bookmarkStart w:id="54" w:name="d.-state-staleness-and-saturation"/>
    <w:p>
      <w:pPr>
        <w:pStyle w:val="Heading2"/>
      </w:pPr>
      <w:r>
        <w:t xml:space="preserve">D. State staleness and saturation</w:t>
      </w:r>
    </w:p>
    <w:p>
      <w:pPr>
        <w:pStyle w:val="FirstParagraph"/>
      </w:pPr>
      <w:r>
        <w:t xml:space="preserve">Fig. 6 varies the sync period</w:t>
      </w:r>
      <w:r>
        <w:t xml:space="preserve"> </w:t>
      </w:r>
      <m:oMath>
        <m:r>
          <m:t>H</m:t>
        </m:r>
      </m:oMath>
      <w:r>
        <w:t xml:space="preserve"> </w:t>
      </w:r>
      <w:r>
        <w:t xml:space="preserve">for the trust-oblivious routers and TF. At</w:t>
      </w:r>
      <w:r>
        <w:t xml:space="preserve"> </w:t>
      </w:r>
      <m:oMath>
        <m:r>
          <m:t>ρ</m:t>
        </m:r>
        <m:r>
          <m:rPr>
            <m:sty m:val="p"/>
          </m:rPr>
          <m:t>=</m:t>
        </m:r>
        <m:r>
          <m:t>0.8</m:t>
        </m:r>
      </m:oMath>
      <w:r>
        <w:t xml:space="preserve">, capacity-proportional routing is insensitive to staleness up to</w:t>
      </w:r>
      <w:r>
        <w:t xml:space="preserve"> </w:t>
      </w:r>
      <m:oMath>
        <m:r>
          <m:t>H</m:t>
        </m:r>
        <m:r>
          <m:rPr>
            <m:sty m:val="p"/>
          </m:rPr>
          <m:t>=</m:t>
        </m:r>
        <m:r>
          <m:t>1</m:t>
        </m:r>
      </m:oMath>
      <w:r>
        <w:t xml:space="preserve"> s (EPARA-style 0.88–0.92, TF 0.84–0.86 raw SLO) and degrades at</w:t>
      </w:r>
      <w:r>
        <w:t xml:space="preserve"> </w:t>
      </w:r>
      <m:oMath>
        <m:r>
          <m:t>H</m:t>
        </m:r>
        <m:r>
          <m:rPr>
            <m:sty m:val="p"/>
          </m:rPr>
          <m:t>=</m:t>
        </m:r>
        <m:r>
          <m:t>2</m:t>
        </m:r>
      </m:oMath>
      <w:r>
        <w:t xml:space="preserve"> s (TF 0.781).</w:t>
      </w:r>
    </w:p>
    <w:p>
      <w:pPr>
        <w:pStyle w:val="BodyText"/>
      </w:pPr>
      <w:r>
        <w:t xml:space="preserve">At saturation (</w:t>
      </w:r>
      <m:oMath>
        <m:r>
          <m:t>ρ</m:t>
        </m:r>
        <m:r>
          <m:rPr>
            <m:sty m:val="p"/>
          </m:rPr>
          <m:t>=</m:t>
        </m:r>
        <m:r>
          <m:t>1.0</m:t>
        </m:r>
      </m:oMath>
      <w:r>
        <w:t xml:space="preserve">) the effect reverses: fresher state</w:t>
      </w:r>
      <w:r>
        <w:t xml:space="preserve"> </w:t>
      </w:r>
      <w:r>
        <w:rPr>
          <w:i/>
          <w:iCs/>
        </w:rPr>
        <w:t xml:space="preserve">hurts</w:t>
      </w:r>
      <w:r>
        <w:t xml:space="preserve">. TF’s raw SLO is 0.176 with</w:t>
      </w:r>
      <w:r>
        <w:t xml:space="preserve"> </w:t>
      </w:r>
      <m:oMath>
        <m:r>
          <m:t>H</m:t>
        </m:r>
        <m:r>
          <m:rPr>
            <m:sty m:val="p"/>
          </m:rPr>
          <m:t>=</m:t>
        </m:r>
        <m:r>
          <m:t>0.1</m:t>
        </m:r>
      </m:oMath>
      <w:r>
        <w:t xml:space="preserve"> s but 0.289 with</w:t>
      </w:r>
      <w:r>
        <w:t xml:space="preserve"> </w:t>
      </w:r>
      <m:oMath>
        <m:r>
          <m:t>H</m:t>
        </m:r>
        <m:r>
          <m:rPr>
            <m:sty m:val="p"/>
          </m:rPr>
          <m:t>=</m:t>
        </m:r>
        <m:r>
          <m:t>1</m:t>
        </m:r>
      </m:oMath>
      <w:r>
        <w:t xml:space="preserve"> s, and forwards per request fall from 1.08 to 0.80. The capacity view averages spare slots over a 0.5 s horizon; when every server is saturated, a fresh view correctly reports almost no spare capacity, the offload weights collapse, and requests are served late locally. A stale view overstates spare capacity and keeps requests moving, so they find the short-lived free slots that 30 ms classification jobs leave behind. Round-robin forwards regardless and therefore performs comparatively well at saturation (raw SLO 0.281). Even so,</w:t>
      </w:r>
      <w:r>
        <w:t xml:space="preserve"> </w:t>
      </w:r>
      <w:r>
        <w:rPr>
          <w:smallCaps/>
        </w:rPr>
        <w:t xml:space="preserve">Trace</w:t>
      </w:r>
      <w:r>
        <w:t xml:space="preserve"> </w:t>
      </w:r>
      <w:r>
        <w:t xml:space="preserve">retains a significant category-balanced advantage over round-robin at</w:t>
      </w:r>
      <w:r>
        <w:t xml:space="preserve"> </w:t>
      </w:r>
      <m:oMath>
        <m:r>
          <m:t>ρ</m:t>
        </m:r>
        <m:r>
          <m:rPr>
            <m:sty m:val="p"/>
          </m:rPr>
          <m:t>=</m:t>
        </m:r>
        <m:r>
          <m:t>1.0</m:t>
        </m:r>
      </m:oMath>
      <w:r>
        <w:t xml:space="preserve"> </w:t>
      </w:r>
      <w:r>
        <w:t xml:space="preserve">(</w:t>
      </w:r>
      <m:oMath>
        <m:r>
          <m:rPr>
            <m:sty m:val="p"/>
          </m:rPr>
          <m:t>+</m:t>
        </m:r>
        <m:r>
          <m:t>0.109</m:t>
        </m:r>
        <m:r>
          <m:rPr>
            <m:sty m:val="p"/>
          </m:rPr>
          <m:t>±</m:t>
        </m:r>
        <m:r>
          <m:t>0.051</m:t>
        </m:r>
      </m:oMath>
      <w:r>
        <w:t xml:space="preserve">,</w:t>
      </w:r>
      <w:r>
        <w:t xml:space="preserve"> </w:t>
      </w:r>
      <m:oMath>
        <m:r>
          <m:t>p</m:t>
        </m:r>
        <m:r>
          <m:rPr>
            <m:sty m:val="p"/>
          </m:rPr>
          <m:t>=</m:t>
        </m:r>
        <m:r>
          <m:t>0.004</m:t>
        </m:r>
      </m:oMath>
      <w:r>
        <w:t xml:space="preserve">), while the per-request difference is not significant (</w:t>
      </w:r>
      <m:oMath>
        <m:r>
          <m:rPr>
            <m:sty m:val="p"/>
          </m:rPr>
          <m:t>+</m:t>
        </m:r>
        <m:r>
          <m:t>0.047</m:t>
        </m:r>
      </m:oMath>
      <w:r>
        <w:t xml:space="preserve">,</w:t>
      </w:r>
      <w:r>
        <w:t xml:space="preserve"> </w:t>
      </w:r>
      <m:oMath>
        <m:r>
          <m:t>p</m:t>
        </m:r>
        <m:r>
          <m:rPr>
            <m:sty m:val="p"/>
          </m:rPr>
          <m:t>=</m:t>
        </m:r>
        <m:r>
          <m:t>0.084</m:t>
        </m:r>
      </m:oMath>
      <w:r>
        <w:t xml:space="preserve">).</w:t>
      </w:r>
    </w:p>
    <w:p>
      <w:pPr>
        <w:pStyle w:val="BodyText"/>
      </w:pPr>
      <w:r>
        <w:rPr>
          <w:b/>
          <w:bCs/>
        </w:rPr>
        <w:t xml:space="preserve">The shared-pointer artifact.</w:t>
      </w:r>
      <w:r>
        <w:t xml:space="preserve"> </w:t>
      </w:r>
      <w:r>
        <w:t xml:space="preserve">A round-robin baseline whose pointer is shared by all servers—a natural implementation in a simulator—spreads load more evenly than any decentralized policy could, because it uses implicit global coordination. It overstates round-robin’s compliant SLO at saturation by</w:t>
      </w:r>
      <w:r>
        <w:t xml:space="preserve"> </w:t>
      </w:r>
      <m:oMath>
        <m:r>
          <m:rPr>
            <m:sty m:val="p"/>
          </m:rPr>
          <m:t>+</m:t>
        </m:r>
        <m:r>
          <m:t>0.057</m:t>
        </m:r>
        <m:r>
          <m:rPr>
            <m:sty m:val="p"/>
          </m:rPr>
          <m:t>±</m:t>
        </m:r>
        <m:r>
          <m:t>0.035</m:t>
        </m:r>
      </m:oMath>
      <w:r>
        <w:t xml:space="preserve"> </w:t>
      </w:r>
      <w:r>
        <w:t xml:space="preserve">(</w:t>
      </w:r>
      <m:oMath>
        <m:r>
          <m:t>p</m:t>
        </m:r>
        <m:r>
          <m:rPr>
            <m:sty m:val="p"/>
          </m:rPr>
          <m:t>=</m:t>
        </m:r>
        <m:r>
          <m:t>0.014</m:t>
        </m:r>
      </m:oMath>
      <w:r>
        <w:t xml:space="preserve">); below saturation the difference is not significant. Our earlier experiments used the shared pointer and wrongly suggested that round-robin beats capacity-aware routing at saturation; we report the decentralized version throughout.</w:t>
      </w:r>
    </w:p>
    <w:bookmarkStart w:id="53" w:name="fig:stale"/>
    <w:p>
      <w:pPr>
        <w:pStyle w:val="CaptionedFigure"/>
      </w:pPr>
      <w:r>
        <w:drawing>
          <wp:inline>
            <wp:extent cx="4206240" cy="2005770"/>
            <wp:effectExtent b="0" l="0" r="0" t="0"/>
            <wp:docPr descr="" title="" id="51" name="Picture"/>
            <a:graphic>
              <a:graphicData uri="http://schemas.openxmlformats.org/drawingml/2006/picture">
                <pic:pic>
                  <pic:nvPicPr>
                    <pic:cNvPr descr="docx_build/fig_stale.png" id="52" name="Picture"/>
                    <pic:cNvPicPr>
                      <a:picLocks noChangeArrowheads="1" noChangeAspect="1"/>
                    </pic:cNvPicPr>
                  </pic:nvPicPr>
                  <pic:blipFill>
                    <a:blip r:embed="rId50"/>
                    <a:stretch>
                      <a:fillRect/>
                    </a:stretch>
                  </pic:blipFill>
                  <pic:spPr bwMode="auto">
                    <a:xfrm>
                      <a:off x="0" y="0"/>
                      <a:ext cx="4206240" cy="2005770"/>
                    </a:xfrm>
                    <a:prstGeom prst="rect">
                      <a:avLst/>
                    </a:prstGeom>
                    <a:noFill/>
                    <a:ln w="9525">
                      <a:noFill/>
                      <a:headEnd/>
                      <a:tailEnd/>
                    </a:ln>
                  </pic:spPr>
                </pic:pic>
              </a:graphicData>
            </a:graphic>
          </wp:inline>
        </w:drawing>
      </w:r>
    </w:p>
    <w:p>
      <w:pPr>
        <w:pStyle w:val="ImageCaption"/>
      </w:pPr>
      <w:r>
        <w:t xml:space="preserve">Fig. 6. Sensitivity to the state-sync period</w:t>
      </w:r>
      <w:r>
        <w:t xml:space="preserve"> </w:t>
      </w:r>
      <m:oMath>
        <m:r>
          <m:t>H</m:t>
        </m:r>
      </m:oMath>
      <w:r>
        <w:t xml:space="preserve"> </w:t>
      </w:r>
      <w:r>
        <w:t xml:space="preserve">at (a)</w:t>
      </w:r>
      <w:r>
        <w:t xml:space="preserve"> </w:t>
      </w:r>
      <m:oMath>
        <m:r>
          <m:t>ρ</m:t>
        </m:r>
        <m:r>
          <m:rPr>
            <m:sty m:val="p"/>
          </m:rPr>
          <m:t>=</m:t>
        </m:r>
        <m:r>
          <m:t>0.8</m:t>
        </m:r>
      </m:oMath>
      <w:r>
        <w:t xml:space="preserve"> </w:t>
      </w:r>
      <w:r>
        <w:t xml:space="preserve">and (b)</w:t>
      </w:r>
      <w:r>
        <w:t xml:space="preserve"> </w:t>
      </w:r>
      <m:oMath>
        <m:r>
          <m:t>ρ</m:t>
        </m:r>
        <m:r>
          <m:rPr>
            <m:sty m:val="p"/>
          </m:rPr>
          <m:t>=</m:t>
        </m:r>
        <m:r>
          <m:t>1.0</m:t>
        </m:r>
      </m:oMath>
      <w:r>
        <w:t xml:space="preserve">. At saturation, fresher state reduces forwarding and lowers SLO attainment of capacity-proportional routers.</w:t>
      </w:r>
    </w:p>
    <w:bookmarkEnd w:id="53"/>
    <w:bookmarkEnd w:id="54"/>
    <w:bookmarkStart w:id="59" w:name="e.-scale-and-decision-overhead"/>
    <w:p>
      <w:pPr>
        <w:pStyle w:val="Heading2"/>
      </w:pPr>
      <w:r>
        <w:t xml:space="preserve">E. Scale and decision overhead</w:t>
      </w:r>
    </w:p>
    <w:p>
      <w:pPr>
        <w:pStyle w:val="FirstParagraph"/>
      </w:pPr>
      <w:r>
        <w:t xml:space="preserve">Fig. 7 varies the number of servers from 10 to 120 at</w:t>
      </w:r>
      <w:r>
        <w:t xml:space="preserve"> </w:t>
      </w:r>
      <m:oMath>
        <m:r>
          <m:t>ρ</m:t>
        </m:r>
        <m:r>
          <m:rPr>
            <m:sty m:val="p"/>
          </m:rPr>
          <m:t>=</m:t>
        </m:r>
        <m:r>
          <m:t>0.8</m:t>
        </m:r>
      </m:oMath>
      <w:r>
        <w:t xml:space="preserve"> </w:t>
      </w:r>
      <w:r>
        <w:t xml:space="preserve">(5 seeds).</w:t>
      </w:r>
      <w:r>
        <w:t xml:space="preserve"> </w:t>
      </w:r>
      <w:r>
        <w:rPr>
          <w:smallCaps/>
        </w:rPr>
        <w:t xml:space="preserve">Trace</w:t>
      </w:r>
      <w:r>
        <w:t xml:space="preserve">’s compliant SLO attainment stays high and rises with scale (0.854 at</w:t>
      </w:r>
      <w:r>
        <w:t xml:space="preserve"> </w:t>
      </w:r>
      <m:oMath>
        <m:r>
          <m:t>N</m:t>
        </m:r>
        <m:r>
          <m:rPr>
            <m:sty m:val="p"/>
          </m:rPr>
          <m:t>=</m:t>
        </m:r>
        <m:r>
          <m:t>10</m:t>
        </m:r>
      </m:oMath>
      <w:r>
        <w:t xml:space="preserve">, 0.933 at</w:t>
      </w:r>
      <w:r>
        <w:t xml:space="preserve"> </w:t>
      </w:r>
      <m:oMath>
        <m:r>
          <m:t>N</m:t>
        </m:r>
        <m:r>
          <m:rPr>
            <m:sty m:val="p"/>
          </m:rPr>
          <m:t>=</m:t>
        </m:r>
        <m:r>
          <m:t>120</m:t>
        </m:r>
      </m:oMath>
      <w:r>
        <w:t xml:space="preserve">), because larger systems contain more eligible peers for every sensitivity level; TF follows the same trend at a lower level (0.823 to 0.883), and round-robin stays between 0.57 and 0.62. Routing time per request grows linearly with</w:t>
      </w:r>
      <w:r>
        <w:t xml:space="preserve"> </w:t>
      </w:r>
      <m:oMath>
        <m:r>
          <m:t>N</m:t>
        </m:r>
      </m:oMath>
      <w:r>
        <w:t xml:space="preserve">, from 20 </w:t>
      </w:r>
      <m:oMath>
        <m:r>
          <m:t>μ</m:t>
        </m:r>
      </m:oMath>
      <w:r>
        <w:t xml:space="preserve">s at</w:t>
      </w:r>
      <w:r>
        <w:t xml:space="preserve"> </w:t>
      </w:r>
      <m:oMath>
        <m:r>
          <m:t>N</m:t>
        </m:r>
        <m:r>
          <m:rPr>
            <m:sty m:val="p"/>
          </m:rPr>
          <m:t>=</m:t>
        </m:r>
        <m:r>
          <m:t>10</m:t>
        </m:r>
      </m:oMath>
      <w:r>
        <w:t xml:space="preserve"> </w:t>
      </w:r>
      <w:r>
        <w:t xml:space="preserve">to 51 </w:t>
      </w:r>
      <m:oMath>
        <m:r>
          <m:t>μ</m:t>
        </m:r>
      </m:oMath>
      <w:r>
        <w:t xml:space="preserve">s at</w:t>
      </w:r>
      <w:r>
        <w:t xml:space="preserve"> </w:t>
      </w:r>
      <m:oMath>
        <m:r>
          <m:t>N</m:t>
        </m:r>
        <m:r>
          <m:rPr>
            <m:sty m:val="p"/>
          </m:rPr>
          <m:t>=</m:t>
        </m:r>
        <m:r>
          <m:t>120</m:t>
        </m:r>
      </m:oMath>
      <w:r>
        <w:t xml:space="preserve">, in an unoptimized Python implementation measured while seven simulations shared an 8-core Apple M3. This is three orders of magnitude below the 150 ms SLO of the tightest service, and</w:t>
      </w:r>
      <w:r>
        <w:t xml:space="preserve"> </w:t>
      </w:r>
      <w:r>
        <w:rPr>
          <w:smallCaps/>
        </w:rPr>
        <w:t xml:space="preserve">Trace</w:t>
      </w:r>
      <w:r>
        <w:t xml:space="preserve"> </w:t>
      </w:r>
      <w:r>
        <w:t xml:space="preserve">adds only 2–3 </w:t>
      </w:r>
      <m:oMath>
        <m:r>
          <m:t>μ</m:t>
        </m:r>
      </m:oMath>
      <w:r>
        <w:t xml:space="preserve">s over TF. Since decisions use only local state, no communication is added on the request path.</w:t>
      </w:r>
    </w:p>
    <w:bookmarkStart w:id="58" w:name="fig:scale"/>
    <w:p>
      <w:pPr>
        <w:pStyle w:val="CaptionedFigure"/>
      </w:pPr>
      <w:r>
        <w:drawing>
          <wp:inline>
            <wp:extent cx="4206240" cy="2064530"/>
            <wp:effectExtent b="0" l="0" r="0" t="0"/>
            <wp:docPr descr="" title="" id="56" name="Picture"/>
            <a:graphic>
              <a:graphicData uri="http://schemas.openxmlformats.org/drawingml/2006/picture">
                <pic:pic>
                  <pic:nvPicPr>
                    <pic:cNvPr descr="docx_build/fig_scale.png" id="57" name="Picture"/>
                    <pic:cNvPicPr>
                      <a:picLocks noChangeArrowheads="1" noChangeAspect="1"/>
                    </pic:cNvPicPr>
                  </pic:nvPicPr>
                  <pic:blipFill>
                    <a:blip r:embed="rId55"/>
                    <a:stretch>
                      <a:fillRect/>
                    </a:stretch>
                  </pic:blipFill>
                  <pic:spPr bwMode="auto">
                    <a:xfrm>
                      <a:off x="0" y="0"/>
                      <a:ext cx="4206240" cy="2064530"/>
                    </a:xfrm>
                    <a:prstGeom prst="rect">
                      <a:avLst/>
                    </a:prstGeom>
                    <a:noFill/>
                    <a:ln w="9525">
                      <a:noFill/>
                      <a:headEnd/>
                      <a:tailEnd/>
                    </a:ln>
                  </pic:spPr>
                </pic:pic>
              </a:graphicData>
            </a:graphic>
          </wp:inline>
        </w:drawing>
      </w:r>
    </w:p>
    <w:p>
      <w:pPr>
        <w:pStyle w:val="ImageCaption"/>
      </w:pPr>
      <w:r>
        <w:t xml:space="preserve">Fig. 7. Scaling the number of edge servers (</w:t>
      </w:r>
      <m:oMath>
        <m:r>
          <m:t>ρ</m:t>
        </m:r>
        <m:r>
          <m:rPr>
            <m:sty m:val="p"/>
          </m:rPr>
          <m:t>=</m:t>
        </m:r>
        <m:r>
          <m:t>0.8</m:t>
        </m:r>
      </m:oMath>
      <w:r>
        <w:t xml:space="preserve">, 5 seeds): (a) compliant SLO attainment, (b) routing time per request.</w:t>
      </w:r>
    </w:p>
    <w:bookmarkEnd w:id="58"/>
    <w:bookmarkEnd w:id="59"/>
    <w:bookmarkEnd w:id="60"/>
    <w:bookmarkStart w:id="61" w:name="vii.-discussion"/>
    <w:p>
      <w:pPr>
        <w:pStyle w:val="Heading1"/>
      </w:pPr>
      <w:r>
        <w:t xml:space="preserve">VII. Discussion</w:t>
      </w:r>
    </w:p>
    <w:p>
      <w:pPr>
        <w:pStyle w:val="FirstParagraph"/>
      </w:pPr>
      <w:r>
        <w:rPr>
          <w:b/>
          <w:bCs/>
        </w:rPr>
        <w:t xml:space="preserve">Why energy-aware routing fails.</w:t>
      </w:r>
      <w:r>
        <w:t xml:space="preserve"> </w:t>
      </w:r>
      <w:r>
        <w:t xml:space="preserve">In our setting, energy is the binding resource, and every policy spends all of it: under the hard-outage model at cap scale 0.5, total power drawn is 10.0–10.6 kW for all variants, and at most 0.1% of the energy income is lost to full buffers. A router therefore cannot</w:t>
      </w:r>
      <w:r>
        <w:t xml:space="preserve"> </w:t>
      </w:r>
      <w:r>
        <w:rPr>
          <w:i/>
          <w:iCs/>
        </w:rPr>
        <w:t xml:space="preserve">save</w:t>
      </w:r>
      <w:r>
        <w:t xml:space="preserve"> </w:t>
      </w:r>
      <w:r>
        <w:t xml:space="preserve">energy; it can only decide how much useful work each joule buys. TF spends 9.1 J per successful request, TF+EW 16.7 J and TF+EC 20.2 J. Energy-aware routing loses for three related reasons.</w:t>
      </w:r>
      <w:r>
        <w:t xml:space="preserve"> </w:t>
      </w:r>
      <w:r>
        <w:t xml:space="preserve">(i)</w:t>
      </w:r>
      <w:r>
        <w:t xml:space="preserve"> </w:t>
      </w:r>
      <w:r>
        <w:rPr>
          <w:i/>
          <w:iCs/>
        </w:rPr>
        <w:t xml:space="preserve">It is not work-conserving.</w:t>
      </w:r>
      <w:r>
        <w:t xml:space="preserve"> </w:t>
      </w:r>
      <w:r>
        <w:t xml:space="preserve">It declines compute that is free right now on servers with low headroom, even though serving a short request there would use energy those servers already hold.</w:t>
      </w:r>
      <w:r>
        <w:t xml:space="preserve"> </w:t>
      </w:r>
      <w:r>
        <w:t xml:space="preserve">(ii)</w:t>
      </w:r>
      <w:r>
        <w:t xml:space="preserve"> </w:t>
      </w:r>
      <w:r>
        <w:rPr>
          <w:i/>
          <w:iCs/>
        </w:rPr>
        <w:t xml:space="preserve">It concentrates load.</w:t>
      </w:r>
      <w:r>
        <w:t xml:space="preserve"> </w:t>
      </w:r>
      <w:r>
        <w:t xml:space="preserve">Requests flow to whichever servers currently have the most energy, which drains them faster and synchronizes outages; availability falls (0.47 to 0.36–0.40) and drain events rise.</w:t>
      </w:r>
      <w:r>
        <w:t xml:space="preserve"> </w:t>
      </w:r>
      <w:r>
        <w:t xml:space="preserve">(iii)</w:t>
      </w:r>
      <w:r>
        <w:t xml:space="preserve"> </w:t>
      </w:r>
      <w:r>
        <w:rPr>
          <w:i/>
          <w:iCs/>
        </w:rPr>
        <w:t xml:space="preserve">Weighting adds forwarding.</w:t>
      </w:r>
      <w:r>
        <w:t xml:space="preserve"> </w:t>
      </w:r>
      <w:r>
        <w:t xml:space="preserve">With TF+EW and TF+EB, forwards per request rise from 1.36 to 1.59 and 1.52, adding latency and missed SLOs. TF+EC forwards less (1.14) yet loses the most, consistent with (i) and (ii) dominating.</w:t>
      </w:r>
      <w:r>
        <w:t xml:space="preserve"> </w:t>
      </w:r>
      <w:r>
        <w:t xml:space="preserve">Because the first two effects grow with the accuracy of the headroom signal, fresher state makes them worse (Fig. 5), which is the opposite of the herding signature. Our conclusion is that, at the per-request timescale, energy should enter routing only through</w:t>
      </w:r>
      <w:r>
        <w:t xml:space="preserve"> </w:t>
      </w:r>
      <w:r>
        <w:rPr>
          <w:i/>
          <w:iCs/>
        </w:rPr>
        <w:t xml:space="preserve">local feasibility</w:t>
      </w:r>
      <w:r>
        <w:t xml:space="preserve">—whether a server can run the request now without throttling—and not as a preference among peers. Energy-aware decisions belong at slower layers that can act on forecasts: service placement, admission control and DVFS.</w:t>
      </w:r>
    </w:p>
    <w:p>
      <w:pPr>
        <w:pStyle w:val="BodyText"/>
      </w:pPr>
      <w:r>
        <w:rPr>
          <w:b/>
          <w:bCs/>
        </w:rPr>
        <w:t xml:space="preserve">Averaged signals and fast jobs.</w:t>
      </w:r>
      <w:r>
        <w:t xml:space="preserve"> </w:t>
      </w:r>
      <w:r>
        <w:t xml:space="preserve">The saturation result (Section VI-D) and the energy result share a pattern: the router acts on a signal averaged over a horizon (0.5 s of capacity, a 20 s energy buffer) that is coarser than the jobs it routes (30 ms classifications), and it acts on it too decisively. Sampling peers in proportion to the signal, rather than picking the best one, already softens this; a natural refinement is to keep a small exploration probability, or to use power-of-two choices </w:t>
      </w:r>
      <w:r>
        <w:t xml:space="preserve">[21]</w:t>
      </w:r>
      <w:r>
        <w:t xml:space="preserve"> </w:t>
      </w:r>
      <w:r>
        <w:t xml:space="preserve">over eligible peers, whenever the view says no peer has spare capacity. A preliminary test of uniform probing among eligible peers in that case did not help at saturation, so we leave the design of such a fallback to future work.</w:t>
      </w:r>
    </w:p>
    <w:p>
      <w:pPr>
        <w:pStyle w:val="BodyText"/>
      </w:pPr>
      <w:r>
        <w:rPr>
          <w:b/>
          <w:bCs/>
        </w:rPr>
        <w:t xml:space="preserve">Implications for EPARA-style systems.</w:t>
      </w:r>
      <w:r>
        <w:t xml:space="preserve"> </w:t>
      </w:r>
      <w:r>
        <w:t xml:space="preserve">The trust filter is a small, local change to EPARA’s handler: it adds a per-peer eligibility test, keeps decisions in tens of microseconds and needs only static clearance and domain labels in the synchronized state. Given that trust-oblivious handlers serve about one in five requests unlawfully under our assumptions, we argue that compliant goodput, not raw goodput, should be the headline metric for edge inference systems that handle regulated data.</w:t>
      </w:r>
    </w:p>
    <w:p>
      <w:pPr>
        <w:pStyle w:val="BodyText"/>
      </w:pPr>
      <w:r>
        <w:rPr>
          <w:b/>
          <w:bCs/>
        </w:rPr>
        <w:t xml:space="preserve">Threats to validity and limitations.</w:t>
      </w:r>
      <w:r>
        <w:t xml:space="preserve"> </w:t>
      </w:r>
      <w:r>
        <w:rPr>
          <w:i/>
          <w:iCs/>
        </w:rPr>
        <w:t xml:space="preserve">Simulation only.</w:t>
      </w:r>
      <w:r>
        <w:t xml:space="preserve"> </w:t>
      </w:r>
      <w:r>
        <w:t xml:space="preserve">All results come from an event-driven simulator. Service times, slot power, clearance and domain distributions, energy caps and the network model are assumptions modeled on EPARA’s testbed scale, not measurements; absolute values should not be compared with EPARA’s results </w:t>
      </w:r>
      <w:r>
        <w:t xml:space="preserve">[2]</w:t>
      </w:r>
      <w:r>
        <w:t xml:space="preserve">. The qualitative conclusions—violation rates set by the fraction of ineligible servers, the cost of compliance growing with sensitive share, and energy-aware routing being non-work-conserving—depend on the structure of the problem rather than on specific constants, but we have not verified them on hardware.</w:t>
      </w:r>
      <w:r>
        <w:t xml:space="preserve"> </w:t>
      </w:r>
      <w:r>
        <w:rPr>
          <w:i/>
          <w:iCs/>
        </w:rPr>
        <w:t xml:space="preserve">Workload.</w:t>
      </w:r>
      <w:r>
        <w:t xml:space="preserve"> </w:t>
      </w:r>
      <w:r>
        <w:t xml:space="preserve">Arrivals are synthetic (Poisson with hot spots and bursts), not the Azure function and LLM traces used by EPARA </w:t>
      </w:r>
      <w:r>
        <w:t xml:space="preserve">[2], [22]</w:t>
      </w:r>
      <w:r>
        <w:t xml:space="preserve">.</w:t>
      </w:r>
      <w:r>
        <w:t xml:space="preserve"> </w:t>
      </w:r>
      <w:r>
        <w:rPr>
          <w:i/>
          <w:iCs/>
        </w:rPr>
        <w:t xml:space="preserve">Fixed layers.</w:t>
      </w:r>
      <w:r>
        <w:t xml:space="preserve"> </w:t>
      </w:r>
      <w:r>
        <w:t xml:space="preserve">Service placement and operator selection are fixed and identical across policies; we do not evaluate trust-aware placement, which could reduce the cost of compliance further.</w:t>
      </w:r>
      <w:r>
        <w:t xml:space="preserve"> </w:t>
      </w:r>
      <w:r>
        <w:rPr>
          <w:i/>
          <w:iCs/>
        </w:rPr>
        <w:t xml:space="preserve">Trust model.</w:t>
      </w:r>
      <w:r>
        <w:t xml:space="preserve"> </w:t>
      </w:r>
      <w:r>
        <w:t xml:space="preserve">Clearance and domains are static labels with a single eligibility rule (1); real policies (consent, purpose limitation, cross-border transfer rules) are richer.</w:t>
      </w:r>
      <w:r>
        <w:t xml:space="preserve"> </w:t>
      </w:r>
      <w:r>
        <w:rPr>
          <w:i/>
          <w:iCs/>
        </w:rPr>
        <w:t xml:space="preserve">Energy model.</w:t>
      </w:r>
      <w:r>
        <w:t xml:space="preserve"> </w:t>
      </w:r>
      <w:r>
        <w:t xml:space="preserve">Energy is a leaky bucket with fixed per-slot power; DVFS, idle power and cooling are not modeled.</w:t>
      </w:r>
      <w:r>
        <w:t xml:space="preserve"> </w:t>
      </w:r>
      <w:r>
        <w:rPr>
          <w:i/>
          <w:iCs/>
        </w:rPr>
        <w:t xml:space="preserve">Statistics and tuning.</w:t>
      </w:r>
      <w:r>
        <w:t xml:space="preserve"> </w:t>
      </w:r>
      <w:r>
        <w:t xml:space="preserve">Each configuration was run for 30 s with 10 seeds (5 in the scale study); confidence intervals across seeds are wide because topologies differ, so we base claims on paired tests.</w:t>
      </w:r>
      <w:r>
        <w:t xml:space="preserve"> </w:t>
      </w:r>
      <m:oMath>
        <m:r>
          <m:t>γ</m:t>
        </m:r>
      </m:oMath>
      <w:r>
        <w:t xml:space="preserve"> </w:t>
      </w:r>
      <w:r>
        <w:t xml:space="preserve">was selected at a single sensitivity level.</w:t>
      </w:r>
      <w:r>
        <w:t xml:space="preserve"> </w:t>
      </w:r>
      <w:r>
        <w:rPr>
          <w:i/>
          <w:iCs/>
        </w:rPr>
        <w:t xml:space="preserve">Timing.</w:t>
      </w:r>
      <w:r>
        <w:t xml:space="preserve"> </w:t>
      </w:r>
      <w:r>
        <w:t xml:space="preserve">Routing times are from an unoptimized Python prototype on a shared machine and are indicative only.</w:t>
      </w:r>
    </w:p>
    <w:bookmarkEnd w:id="61"/>
    <w:bookmarkStart w:id="62" w:name="viii.-conclusion"/>
    <w:p>
      <w:pPr>
        <w:pStyle w:val="Heading1"/>
      </w:pPr>
      <w:r>
        <w:t xml:space="preserve">VIII. Conclusion</w:t>
      </w:r>
    </w:p>
    <w:p>
      <w:pPr>
        <w:pStyle w:val="FirstParagraph"/>
      </w:pPr>
      <w:r>
        <w:t xml:space="preserve">Decentralized, capacity-proportional request routing is an effective way to pool the scattered capacity of edge servers for AI inference, but routers designed this way treat every server as a lawful destination. We formalized trust-constrained routing for EPARA-style categorized inference, defined compliant goodput, and proposed</w:t>
      </w:r>
      <w:r>
        <w:t xml:space="preserve"> </w:t>
      </w:r>
      <w:r>
        <w:rPr>
          <w:smallCaps/>
        </w:rPr>
        <w:t xml:space="preserve">Trace</w:t>
      </w:r>
      <w:r>
        <w:t xml:space="preserve">, which adds a hard trust filter and a best-fit clearance preference to capacity-proportional offloading at a cost of tens of microseconds per decision. In simulation, trust-oblivious routers serve roughly one in five requests outside its trust boundary at every load.</w:t>
      </w:r>
      <w:r>
        <w:t xml:space="preserve"> </w:t>
      </w:r>
      <w:r>
        <w:rPr>
          <w:smallCaps/>
        </w:rPr>
        <w:t xml:space="preserve">Trace</w:t>
      </w:r>
      <w:r>
        <w:t xml:space="preserve"> </w:t>
      </w:r>
      <w:r>
        <w:t xml:space="preserve">eliminates these violations and raises compliant goodput over an EPARA-style router; best-fit clearance helps further when much of the traffic is sensitive. Energy-headroom weighting, which we had expected to help on power-capped and battery-backed sites, did not improve compliant SLO attainment in any variant we tried and hurt substantially when drained servers go offline.</w:t>
      </w:r>
    </w:p>
    <w:p>
      <w:pPr>
        <w:pStyle w:val="BodyText"/>
      </w:pPr>
      <w:r>
        <w:t xml:space="preserve">The next steps are to replace the assumed service and power profiles with measurements on edge hardware, to drive the simulator with production traces, to co-design trust-aware service placement with the router, to adapt the best-fit strength online, and to revisit energy awareness at the placement and admission-control layers, where it can act on forecasts rather than on a stale per-request signal.</w:t>
      </w:r>
    </w:p>
    <w:bookmarkEnd w:id="62"/>
    <w:bookmarkStart w:id="63" w:name="data-and-code-availability"/>
    <w:p>
      <w:pPr>
        <w:pStyle w:val="Heading1"/>
      </w:pPr>
      <w:r>
        <w:t xml:space="preserve">Data and Code Availability</w:t>
      </w:r>
    </w:p>
    <w:p>
      <w:pPr>
        <w:pStyle w:val="FirstParagraph"/>
      </w:pPr>
      <w:r>
        <w:t xml:space="preserve">The simulator (</w:t>
      </w:r>
      <w:r>
        <w:rPr>
          <w:rStyle w:val="VerbatimChar"/>
        </w:rPr>
        <w:t xml:space="preserve">ecsim.py</w:t>
      </w:r>
      <w:r>
        <w:t xml:space="preserve">), the experiment suite (</w:t>
      </w:r>
      <w:r>
        <w:rPr>
          <w:rStyle w:val="VerbatimChar"/>
        </w:rPr>
        <w:t xml:space="preserve">experiments_v2.py</w:t>
      </w:r>
      <w:r>
        <w:t xml:space="preserve">), the analysis scripts and the raw per-run results (1,740 runs) that produce every number, figure and table in this article are publicly available at</w:t>
      </w:r>
      <w:r>
        <w:t xml:space="preserve"> </w:t>
      </w:r>
      <w:hyperlink r:id="rId25">
        <w:r>
          <w:rPr>
            <w:rStyle w:val="Hyperlink"/>
          </w:rPr>
          <w:t xml:space="preserve">https://github.com/gaurav3611/edge-cloud-ai-routing</w:t>
        </w:r>
      </w:hyperlink>
      <w:r>
        <w:t xml:space="preserve">. The repository’s README lists the steps to reproduce all results (about 30 minutes on an 8-core laptop).</w:t>
      </w:r>
    </w:p>
    <w:bookmarkEnd w:id="63"/>
    <w:bookmarkStart w:id="64" w:name="acknowledgment"/>
    <w:p>
      <w:pPr>
        <w:pStyle w:val="Heading1"/>
      </w:pPr>
      <w:r>
        <w:t xml:space="preserve">Acknowledgment</w:t>
      </w:r>
    </w:p>
    <w:p>
      <w:pPr>
        <w:pStyle w:val="FirstParagraph"/>
      </w:pPr>
      <w:r>
        <w:t xml:space="preserve">The authors thank [Name, Department, University] for guidance and feedback on this work. [This work was supported by [funding body], grant no. [XXXX].] The authors used Claude (Anthropic), an AI assistant, to help develop the simulation code, run and analyze the experiments, and draft and edit the manuscript; the authors reviewed and verified all content and take full responsibility for it.</w:t>
      </w:r>
    </w:p>
    <w:bookmarkEnd w:id="64"/>
    <w:bookmarkStart w:id="88" w:name="references"/>
    <w:p>
      <w:pPr>
        <w:pStyle w:val="Heading1"/>
      </w:pPr>
      <w:r>
        <w:t xml:space="preserve">References</w:t>
      </w:r>
    </w:p>
    <w:bookmarkStart w:id="87" w:name="refs"/>
    <w:bookmarkStart w:id="65" w:name="ref-liu2025eccc"/>
    <w:p>
      <w:pPr>
        <w:pStyle w:val="Bibliography"/>
      </w:pPr>
      <w:r>
        <w:t xml:space="preserve">[1]</w:t>
      </w:r>
      <w:r>
        <w:t xml:space="preserve"> </w:t>
      </w:r>
      <w:r>
        <w:t xml:space="preserve">	</w:t>
      </w:r>
      <w:r>
        <w:t xml:space="preserve">J. Liu</w:t>
      </w:r>
      <w:r>
        <w:t xml:space="preserve"> </w:t>
      </w:r>
      <w:r>
        <w:rPr>
          <w:i/>
          <w:iCs/>
        </w:rPr>
        <w:t xml:space="preserve">et al.</w:t>
      </w:r>
      <w:r>
        <w:t xml:space="preserve">,</w:t>
      </w:r>
      <w:r>
        <w:t xml:space="preserve"> </w:t>
      </w:r>
      <w:r>
        <w:t xml:space="preserve">“Edge-cloud collaborative computing on distributed intelligence and model optimization: A survey,”</w:t>
      </w:r>
      <w:r>
        <w:t xml:space="preserve"> </w:t>
      </w:r>
      <w:r>
        <w:rPr>
          <w:i/>
          <w:iCs/>
        </w:rPr>
        <w:t xml:space="preserve">arXiv preprint arXiv:2505.01821</w:t>
      </w:r>
      <w:r>
        <w:t xml:space="preserve">, 2025.</w:t>
      </w:r>
    </w:p>
    <w:bookmarkEnd w:id="65"/>
    <w:bookmarkStart w:id="66" w:name="ref-epara2025"/>
    <w:p>
      <w:pPr>
        <w:pStyle w:val="Bibliography"/>
      </w:pPr>
      <w:r>
        <w:t xml:space="preserve">[2]</w:t>
      </w:r>
      <w:r>
        <w:t xml:space="preserve"> </w:t>
      </w:r>
      <w:r>
        <w:t xml:space="preserve">	</w:t>
      </w:r>
      <w:r>
        <w:t xml:space="preserve">Y. Wang</w:t>
      </w:r>
      <w:r>
        <w:t xml:space="preserve"> </w:t>
      </w:r>
      <w:r>
        <w:rPr>
          <w:i/>
          <w:iCs/>
        </w:rPr>
        <w:t xml:space="preserve">et al.</w:t>
      </w:r>
      <w:r>
        <w:t xml:space="preserve">,</w:t>
      </w:r>
      <w:r>
        <w:t xml:space="preserve"> </w:t>
      </w:r>
      <w:r>
        <w:t xml:space="preserve">“</w:t>
      </w:r>
      <w:r>
        <w:t xml:space="preserve">EPARA</w:t>
      </w:r>
      <w:r>
        <w:t xml:space="preserve">: Parallelizing categorized</w:t>
      </w:r>
      <w:r>
        <w:t xml:space="preserve"> </w:t>
      </w:r>
      <w:r>
        <w:t xml:space="preserve">AI</w:t>
      </w:r>
      <w:r>
        <w:t xml:space="preserve"> </w:t>
      </w:r>
      <w:r>
        <w:t xml:space="preserve">inference in edge clouds,”</w:t>
      </w:r>
      <w:r>
        <w:t xml:space="preserve"> </w:t>
      </w:r>
      <w:r>
        <w:rPr>
          <w:i/>
          <w:iCs/>
        </w:rPr>
        <w:t xml:space="preserve">arXiv preprint arXiv:2511.00603</w:t>
      </w:r>
      <w:r>
        <w:t xml:space="preserve">, 2025.</w:t>
      </w:r>
    </w:p>
    <w:bookmarkEnd w:id="66"/>
    <w:bookmarkStart w:id="67" w:name="ref-interedge"/>
    <w:p>
      <w:pPr>
        <w:pStyle w:val="Bibliography"/>
      </w:pPr>
      <w:r>
        <w:t xml:space="preserve">[3]</w:t>
      </w:r>
      <w:r>
        <w:t xml:space="preserve"> </w:t>
      </w:r>
      <w:r>
        <w:t xml:space="preserve">	</w:t>
      </w:r>
      <w:r>
        <w:t xml:space="preserve">L. Brown, E. Marx, D. Bali, E. Amaro, D. Sur,</w:t>
      </w:r>
      <w:r>
        <w:t xml:space="preserve"> </w:t>
      </w:r>
      <w:r>
        <w:rPr>
          <w:i/>
          <w:iCs/>
        </w:rPr>
        <w:t xml:space="preserve">et al.</w:t>
      </w:r>
      <w:r>
        <w:t xml:space="preserve">,</w:t>
      </w:r>
      <w:r>
        <w:t xml:space="preserve"> </w:t>
      </w:r>
      <w:r>
        <w:t xml:space="preserve">“An architecture for edge networking services,”</w:t>
      </w:r>
      <w:r>
        <w:t xml:space="preserve"> </w:t>
      </w:r>
      <w:r>
        <w:t xml:space="preserve">in</w:t>
      </w:r>
      <w:r>
        <w:t xml:space="preserve"> </w:t>
      </w:r>
      <w:r>
        <w:rPr>
          <w:i/>
          <w:iCs/>
        </w:rPr>
        <w:t xml:space="preserve">Proc. ACM SIGCOMM</w:t>
      </w:r>
      <w:r>
        <w:t xml:space="preserve">, 2024, pp. 645–660.</w:t>
      </w:r>
    </w:p>
    <w:bookmarkEnd w:id="67"/>
    <w:bookmarkStart w:id="68" w:name="ref-galaxy"/>
    <w:p>
      <w:pPr>
        <w:pStyle w:val="Bibliography"/>
      </w:pPr>
      <w:r>
        <w:t xml:space="preserve">[4]</w:t>
      </w:r>
      <w:r>
        <w:t xml:space="preserve"> </w:t>
      </w:r>
      <w:r>
        <w:t xml:space="preserve">	</w:t>
      </w:r>
      <w:r>
        <w:t xml:space="preserve">S. Ye, J. Du, L. Zeng, W. Ou, X. Chu,</w:t>
      </w:r>
      <w:r>
        <w:t xml:space="preserve"> </w:t>
      </w:r>
      <w:r>
        <w:rPr>
          <w:i/>
          <w:iCs/>
        </w:rPr>
        <w:t xml:space="preserve">et al.</w:t>
      </w:r>
      <w:r>
        <w:t xml:space="preserve">,</w:t>
      </w:r>
      <w:r>
        <w:t xml:space="preserve"> </w:t>
      </w:r>
      <w:r>
        <w:t xml:space="preserve">“Galaxy: A resource-efficient collaborative edge</w:t>
      </w:r>
      <w:r>
        <w:t xml:space="preserve"> </w:t>
      </w:r>
      <w:r>
        <w:t xml:space="preserve">AI</w:t>
      </w:r>
      <w:r>
        <w:t xml:space="preserve"> </w:t>
      </w:r>
      <w:r>
        <w:t xml:space="preserve">system for in-situ transformer inference,”</w:t>
      </w:r>
      <w:r>
        <w:t xml:space="preserve"> </w:t>
      </w:r>
      <w:r>
        <w:t xml:space="preserve">in</w:t>
      </w:r>
      <w:r>
        <w:t xml:space="preserve"> </w:t>
      </w:r>
      <w:r>
        <w:rPr>
          <w:i/>
          <w:iCs/>
        </w:rPr>
        <w:t xml:space="preserve">Proc. IEEE INFOCOM</w:t>
      </w:r>
      <w:r>
        <w:t xml:space="preserve">, 2024, pp. 1001–1010.</w:t>
      </w:r>
    </w:p>
    <w:bookmarkEnd w:id="68"/>
    <w:bookmarkStart w:id="69" w:name="ref-servp"/>
    <w:p>
      <w:pPr>
        <w:pStyle w:val="Bibliography"/>
      </w:pPr>
      <w:r>
        <w:t xml:space="preserve">[5]</w:t>
      </w:r>
      <w:r>
        <w:t xml:space="preserve"> </w:t>
      </w:r>
      <w:r>
        <w:t xml:space="preserve">	</w:t>
      </w:r>
      <w:r>
        <w:t xml:space="preserve">V. Farhadi, F. Mehmeti, T. He, T. F. La Porta, H. Khamfroush,</w:t>
      </w:r>
      <w:r>
        <w:t xml:space="preserve"> </w:t>
      </w:r>
      <w:r>
        <w:rPr>
          <w:i/>
          <w:iCs/>
        </w:rPr>
        <w:t xml:space="preserve">et al.</w:t>
      </w:r>
      <w:r>
        <w:t xml:space="preserve">,</w:t>
      </w:r>
      <w:r>
        <w:t xml:space="preserve"> </w:t>
      </w:r>
      <w:r>
        <w:t xml:space="preserve">“Service placement and request scheduling for data-intensive applications in edge clouds,”</w:t>
      </w:r>
      <w:r>
        <w:t xml:space="preserve"> </w:t>
      </w:r>
      <w:r>
        <w:rPr>
          <w:i/>
          <w:iCs/>
        </w:rPr>
        <w:t xml:space="preserve">IEEE/ACM Trans. Netw.</w:t>
      </w:r>
      <w:r>
        <w:t xml:space="preserve">, vol. 29, no. 2, pp. 779–792, 2021.</w:t>
      </w:r>
    </w:p>
    <w:bookmarkEnd w:id="69"/>
    <w:bookmarkStart w:id="70" w:name="ref-alpaserve"/>
    <w:p>
      <w:pPr>
        <w:pStyle w:val="Bibliography"/>
      </w:pPr>
      <w:r>
        <w:t xml:space="preserve">[6]</w:t>
      </w:r>
      <w:r>
        <w:t xml:space="preserve"> </w:t>
      </w:r>
      <w:r>
        <w:t xml:space="preserve">	</w:t>
      </w:r>
      <w:r>
        <w:t xml:space="preserve">Z. Li, L. Zheng, Y. Zhong, V. Liu, Y. Sheng,</w:t>
      </w:r>
      <w:r>
        <w:t xml:space="preserve"> </w:t>
      </w:r>
      <w:r>
        <w:rPr>
          <w:i/>
          <w:iCs/>
        </w:rPr>
        <w:t xml:space="preserve">et al.</w:t>
      </w:r>
      <w:r>
        <w:t xml:space="preserve">,</w:t>
      </w:r>
      <w:r>
        <w:t xml:space="preserve"> </w:t>
      </w:r>
      <w:r>
        <w:t xml:space="preserve">“</w:t>
      </w:r>
      <w:r>
        <w:t xml:space="preserve">AlpaServe</w:t>
      </w:r>
      <w:r>
        <w:t xml:space="preserve">: Statistical multiplexing with model parallelism for deep learning serving,”</w:t>
      </w:r>
      <w:r>
        <w:t xml:space="preserve"> </w:t>
      </w:r>
      <w:r>
        <w:t xml:space="preserve">in</w:t>
      </w:r>
      <w:r>
        <w:t xml:space="preserve"> </w:t>
      </w:r>
      <w:r>
        <w:rPr>
          <w:i/>
          <w:iCs/>
        </w:rPr>
        <w:t xml:space="preserve">Proc. USENIX OSDI</w:t>
      </w:r>
      <w:r>
        <w:t xml:space="preserve">, 2023, pp. 663–679.</w:t>
      </w:r>
    </w:p>
    <w:bookmarkEnd w:id="70"/>
    <w:bookmarkStart w:id="71" w:name="ref-usher"/>
    <w:p>
      <w:pPr>
        <w:pStyle w:val="Bibliography"/>
      </w:pPr>
      <w:r>
        <w:t xml:space="preserve">[7]</w:t>
      </w:r>
      <w:r>
        <w:t xml:space="preserve"> </w:t>
      </w:r>
      <w:r>
        <w:t xml:space="preserve">	</w:t>
      </w:r>
      <w:r>
        <w:t xml:space="preserve">S. S. Shubha, H. Shen, and A. Iyer,</w:t>
      </w:r>
      <w:r>
        <w:t xml:space="preserve"> </w:t>
      </w:r>
      <w:r>
        <w:t xml:space="preserve">“</w:t>
      </w:r>
      <w:r>
        <w:t xml:space="preserve">USHER</w:t>
      </w:r>
      <w:r>
        <w:t xml:space="preserve">: Holistic interference avoidance for resource optimized</w:t>
      </w:r>
      <w:r>
        <w:t xml:space="preserve"> </w:t>
      </w:r>
      <w:r>
        <w:t xml:space="preserve">ML</w:t>
      </w:r>
      <w:r>
        <w:t xml:space="preserve"> </w:t>
      </w:r>
      <w:r>
        <w:t xml:space="preserve">inference,”</w:t>
      </w:r>
      <w:r>
        <w:t xml:space="preserve"> </w:t>
      </w:r>
      <w:r>
        <w:t xml:space="preserve">in</w:t>
      </w:r>
      <w:r>
        <w:t xml:space="preserve"> </w:t>
      </w:r>
      <w:r>
        <w:rPr>
          <w:i/>
          <w:iCs/>
        </w:rPr>
        <w:t xml:space="preserve">Proc. USENIX OSDI</w:t>
      </w:r>
      <w:r>
        <w:t xml:space="preserve">, 2024, pp. 947–964.</w:t>
      </w:r>
    </w:p>
    <w:bookmarkEnd w:id="71"/>
    <w:bookmarkStart w:id="72" w:name="ref-gdpr"/>
    <w:p>
      <w:pPr>
        <w:pStyle w:val="Bibliography"/>
      </w:pPr>
      <w:r>
        <w:t xml:space="preserve">[8]</w:t>
      </w:r>
      <w:r>
        <w:t xml:space="preserve"> </w:t>
      </w:r>
      <w:r>
        <w:t xml:space="preserve">	</w:t>
      </w:r>
      <w:r>
        <w:t xml:space="preserve">European Parliament and Council,</w:t>
      </w:r>
      <w:r>
        <w:t xml:space="preserve"> </w:t>
      </w:r>
      <w:r>
        <w:t xml:space="preserve">“Regulation (</w:t>
      </w:r>
      <w:r>
        <w:t xml:space="preserve">EU</w:t>
      </w:r>
      <w:r>
        <w:t xml:space="preserve">) 2016/679 (</w:t>
      </w:r>
      <w:r>
        <w:t xml:space="preserve">General Data Protection Regulation</w:t>
      </w:r>
      <w:r>
        <w:t xml:space="preserve">).”</w:t>
      </w:r>
      <w:r>
        <w:t xml:space="preserve"> </w:t>
      </w:r>
      <w:r>
        <w:t xml:space="preserve">Official Journal of the European Union, L 119, 2016.</w:t>
      </w:r>
    </w:p>
    <w:bookmarkEnd w:id="72"/>
    <w:bookmarkStart w:id="73" w:name="ref-mao2016harvest"/>
    <w:p>
      <w:pPr>
        <w:pStyle w:val="Bibliography"/>
      </w:pPr>
      <w:r>
        <w:t xml:space="preserve">[9]</w:t>
      </w:r>
      <w:r>
        <w:t xml:space="preserve"> </w:t>
      </w:r>
      <w:r>
        <w:t xml:space="preserve">	</w:t>
      </w:r>
      <w:r>
        <w:t xml:space="preserve">Y. Mao, J. Zhang, and K. B. Letaief,</w:t>
      </w:r>
      <w:r>
        <w:t xml:space="preserve"> </w:t>
      </w:r>
      <w:r>
        <w:t xml:space="preserve">“Dynamic computation offloading for mobile-edge computing with energy harvesting devices,”</w:t>
      </w:r>
      <w:r>
        <w:t xml:space="preserve"> </w:t>
      </w:r>
      <w:r>
        <w:rPr>
          <w:i/>
          <w:iCs/>
        </w:rPr>
        <w:t xml:space="preserve">IEEE J. Sel. Areas Commun.</w:t>
      </w:r>
      <w:r>
        <w:t xml:space="preserve">, vol. 34, no. 12, pp. 3590–3605, 2016.</w:t>
      </w:r>
    </w:p>
    <w:bookmarkEnd w:id="73"/>
    <w:bookmarkStart w:id="74" w:name="ref-min2019privacy"/>
    <w:p>
      <w:pPr>
        <w:pStyle w:val="Bibliography"/>
      </w:pPr>
      <w:r>
        <w:t xml:space="preserve">[10]</w:t>
      </w:r>
      <w:r>
        <w:t xml:space="preserve"> </w:t>
      </w:r>
      <w:r>
        <w:t xml:space="preserve">	</w:t>
      </w:r>
      <w:r>
        <w:t xml:space="preserve">M. Min</w:t>
      </w:r>
      <w:r>
        <w:t xml:space="preserve"> </w:t>
      </w:r>
      <w:r>
        <w:rPr>
          <w:i/>
          <w:iCs/>
        </w:rPr>
        <w:t xml:space="preserve">et al.</w:t>
      </w:r>
      <w:r>
        <w:t xml:space="preserve">,</w:t>
      </w:r>
      <w:r>
        <w:t xml:space="preserve"> </w:t>
      </w:r>
      <w:r>
        <w:t xml:space="preserve">“Learning-based privacy-aware offloading for healthcare</w:t>
      </w:r>
      <w:r>
        <w:t xml:space="preserve"> </w:t>
      </w:r>
      <w:r>
        <w:t xml:space="preserve">IoT</w:t>
      </w:r>
      <w:r>
        <w:t xml:space="preserve"> </w:t>
      </w:r>
      <w:r>
        <w:t xml:space="preserve">with energy harvesting,”</w:t>
      </w:r>
      <w:r>
        <w:t xml:space="preserve"> </w:t>
      </w:r>
      <w:r>
        <w:rPr>
          <w:i/>
          <w:iCs/>
        </w:rPr>
        <w:t xml:space="preserve">IEEE Internet Things J.</w:t>
      </w:r>
      <w:r>
        <w:t xml:space="preserve">, vol. 6, no. 3, pp. 4307–4316, 2019.</w:t>
      </w:r>
    </w:p>
    <w:bookmarkEnd w:id="74"/>
    <w:bookmarkStart w:id="75" w:name="ref-fisher1978submodular"/>
    <w:p>
      <w:pPr>
        <w:pStyle w:val="Bibliography"/>
      </w:pPr>
      <w:r>
        <w:t xml:space="preserve">[11]</w:t>
      </w:r>
      <w:r>
        <w:t xml:space="preserve"> </w:t>
      </w:r>
      <w:r>
        <w:t xml:space="preserve">	</w:t>
      </w:r>
      <w:r>
        <w:t xml:space="preserve">M. L. Fisher, G. L. Nemhauser, and L. A. Wolsey,</w:t>
      </w:r>
      <w:r>
        <w:t xml:space="preserve"> </w:t>
      </w:r>
      <w:r>
        <w:t xml:space="preserve">“An analysis of approximations for maximizing submodular set functions—</w:t>
      </w:r>
      <w:r>
        <w:t xml:space="preserve">II</w:t>
      </w:r>
      <w:r>
        <w:t xml:space="preserve">,”</w:t>
      </w:r>
      <w:r>
        <w:t xml:space="preserve"> </w:t>
      </w:r>
      <w:r>
        <w:rPr>
          <w:i/>
          <w:iCs/>
        </w:rPr>
        <w:t xml:space="preserve">Mathematical Programming Study</w:t>
      </w:r>
      <w:r>
        <w:t xml:space="preserve">, vol. 8, pp. 73–87, 1978.</w:t>
      </w:r>
    </w:p>
    <w:bookmarkEnd w:id="75"/>
    <w:bookmarkStart w:id="76" w:name="ref-nexus"/>
    <w:p>
      <w:pPr>
        <w:pStyle w:val="Bibliography"/>
      </w:pPr>
      <w:r>
        <w:t xml:space="preserve">[12]</w:t>
      </w:r>
      <w:r>
        <w:t xml:space="preserve"> </w:t>
      </w:r>
      <w:r>
        <w:t xml:space="preserve">	</w:t>
      </w:r>
      <w:r>
        <w:t xml:space="preserve">H. Shen, L. Chen, Y. Jin, L. Zhao, B. Kong,</w:t>
      </w:r>
      <w:r>
        <w:t xml:space="preserve"> </w:t>
      </w:r>
      <w:r>
        <w:rPr>
          <w:i/>
          <w:iCs/>
        </w:rPr>
        <w:t xml:space="preserve">et al.</w:t>
      </w:r>
      <w:r>
        <w:t xml:space="preserve">,</w:t>
      </w:r>
      <w:r>
        <w:t xml:space="preserve"> </w:t>
      </w:r>
      <w:r>
        <w:t xml:space="preserve">“Nexus: A</w:t>
      </w:r>
      <w:r>
        <w:t xml:space="preserve"> </w:t>
      </w:r>
      <w:r>
        <w:t xml:space="preserve">GPU</w:t>
      </w:r>
      <w:r>
        <w:t xml:space="preserve"> </w:t>
      </w:r>
      <w:r>
        <w:t xml:space="preserve">cluster engine for accelerating</w:t>
      </w:r>
      <w:r>
        <w:t xml:space="preserve"> </w:t>
      </w:r>
      <w:r>
        <w:t xml:space="preserve">DNN</w:t>
      </w:r>
      <w:r>
        <w:t xml:space="preserve">-based video analysis,”</w:t>
      </w:r>
      <w:r>
        <w:t xml:space="preserve"> </w:t>
      </w:r>
      <w:r>
        <w:t xml:space="preserve">in</w:t>
      </w:r>
      <w:r>
        <w:t xml:space="preserve"> </w:t>
      </w:r>
      <w:r>
        <w:rPr>
          <w:i/>
          <w:iCs/>
        </w:rPr>
        <w:t xml:space="preserve">Proc. ACM SOSP</w:t>
      </w:r>
      <w:r>
        <w:t xml:space="preserve">, 2019, pp. 322–337.</w:t>
      </w:r>
    </w:p>
    <w:bookmarkEnd w:id="76"/>
    <w:bookmarkStart w:id="77" w:name="ref-shepherd"/>
    <w:p>
      <w:pPr>
        <w:pStyle w:val="Bibliography"/>
      </w:pPr>
      <w:r>
        <w:t xml:space="preserve">[13]</w:t>
      </w:r>
      <w:r>
        <w:t xml:space="preserve"> </w:t>
      </w:r>
      <w:r>
        <w:t xml:space="preserve">	</w:t>
      </w:r>
      <w:r>
        <w:t xml:space="preserve">H. Zhang, Y. Tang, A. Khandelwal, and I. Stoica,</w:t>
      </w:r>
      <w:r>
        <w:t xml:space="preserve"> </w:t>
      </w:r>
      <w:r>
        <w:t xml:space="preserve">“</w:t>
      </w:r>
      <w:r>
        <w:t xml:space="preserve">SHEPHERD</w:t>
      </w:r>
      <w:r>
        <w:t xml:space="preserve">: Serving</w:t>
      </w:r>
      <w:r>
        <w:t xml:space="preserve"> </w:t>
      </w:r>
      <w:r>
        <w:t xml:space="preserve">DNNs</w:t>
      </w:r>
      <w:r>
        <w:t xml:space="preserve"> </w:t>
      </w:r>
      <w:r>
        <w:t xml:space="preserve">in the wild,”</w:t>
      </w:r>
      <w:r>
        <w:t xml:space="preserve"> </w:t>
      </w:r>
      <w:r>
        <w:t xml:space="preserve">in</w:t>
      </w:r>
      <w:r>
        <w:t xml:space="preserve"> </w:t>
      </w:r>
      <w:r>
        <w:rPr>
          <w:i/>
          <w:iCs/>
        </w:rPr>
        <w:t xml:space="preserve">Proc. USENIX NSDI</w:t>
      </w:r>
      <w:r>
        <w:t xml:space="preserve">, 2023, pp. 787–808.</w:t>
      </w:r>
    </w:p>
    <w:bookmarkEnd w:id="77"/>
    <w:bookmarkStart w:id="78" w:name="ref-clockwork"/>
    <w:p>
      <w:pPr>
        <w:pStyle w:val="Bibliography"/>
      </w:pPr>
      <w:r>
        <w:t xml:space="preserve">[14]</w:t>
      </w:r>
      <w:r>
        <w:t xml:space="preserve"> </w:t>
      </w:r>
      <w:r>
        <w:t xml:space="preserve">	</w:t>
      </w:r>
      <w:r>
        <w:t xml:space="preserve">A. Gujarati</w:t>
      </w:r>
      <w:r>
        <w:t xml:space="preserve"> </w:t>
      </w:r>
      <w:r>
        <w:rPr>
          <w:i/>
          <w:iCs/>
        </w:rPr>
        <w:t xml:space="preserve">et al.</w:t>
      </w:r>
      <w:r>
        <w:t xml:space="preserve">,</w:t>
      </w:r>
      <w:r>
        <w:t xml:space="preserve"> </w:t>
      </w:r>
      <w:r>
        <w:t xml:space="preserve">“Serving</w:t>
      </w:r>
      <w:r>
        <w:t xml:space="preserve"> </w:t>
      </w:r>
      <w:r>
        <w:t xml:space="preserve">DNNs</w:t>
      </w:r>
      <w:r>
        <w:t xml:space="preserve"> </w:t>
      </w:r>
      <w:r>
        <w:t xml:space="preserve">like clockwork: Performance predictability from the bottom up,”</w:t>
      </w:r>
      <w:r>
        <w:t xml:space="preserve"> </w:t>
      </w:r>
      <w:r>
        <w:t xml:space="preserve">in</w:t>
      </w:r>
      <w:r>
        <w:t xml:space="preserve"> </w:t>
      </w:r>
      <w:r>
        <w:rPr>
          <w:i/>
          <w:iCs/>
        </w:rPr>
        <w:t xml:space="preserve">Proc. USENIX OSDI</w:t>
      </w:r>
      <w:r>
        <w:t xml:space="preserve">, 2020, pp. 443–462.</w:t>
      </w:r>
    </w:p>
    <w:bookmarkEnd w:id="78"/>
    <w:bookmarkStart w:id="79" w:name="ref-infaas"/>
    <w:p>
      <w:pPr>
        <w:pStyle w:val="Bibliography"/>
      </w:pPr>
      <w:r>
        <w:t xml:space="preserve">[15]</w:t>
      </w:r>
      <w:r>
        <w:t xml:space="preserve"> </w:t>
      </w:r>
      <w:r>
        <w:t xml:space="preserve">	</w:t>
      </w:r>
      <w:r>
        <w:t xml:space="preserve">F. Romero, Q. Li, N. J. Yadwadkar, and C. Kozyrakis,</w:t>
      </w:r>
      <w:r>
        <w:t xml:space="preserve"> </w:t>
      </w:r>
      <w:r>
        <w:t xml:space="preserve">“</w:t>
      </w:r>
      <w:r>
        <w:t xml:space="preserve">INFaaS</w:t>
      </w:r>
      <w:r>
        <w:t xml:space="preserve">: Automated model-less inference serving,”</w:t>
      </w:r>
      <w:r>
        <w:t xml:space="preserve"> </w:t>
      </w:r>
      <w:r>
        <w:t xml:space="preserve">in</w:t>
      </w:r>
      <w:r>
        <w:t xml:space="preserve"> </w:t>
      </w:r>
      <w:r>
        <w:rPr>
          <w:i/>
          <w:iCs/>
        </w:rPr>
        <w:t xml:space="preserve">Proc. USENIX ATC</w:t>
      </w:r>
      <w:r>
        <w:t xml:space="preserve">, 2021, pp. 397–411.</w:t>
      </w:r>
    </w:p>
    <w:bookmarkEnd w:id="79"/>
    <w:bookmarkStart w:id="80" w:name="ref-neurosurgeon"/>
    <w:p>
      <w:pPr>
        <w:pStyle w:val="Bibliography"/>
      </w:pPr>
      <w:r>
        <w:t xml:space="preserve">[16]</w:t>
      </w:r>
      <w:r>
        <w:t xml:space="preserve"> </w:t>
      </w:r>
      <w:r>
        <w:t xml:space="preserve">	</w:t>
      </w:r>
      <w:r>
        <w:t xml:space="preserve">Y. Kang</w:t>
      </w:r>
      <w:r>
        <w:t xml:space="preserve"> </w:t>
      </w:r>
      <w:r>
        <w:rPr>
          <w:i/>
          <w:iCs/>
        </w:rPr>
        <w:t xml:space="preserve">et al.</w:t>
      </w:r>
      <w:r>
        <w:t xml:space="preserve">,</w:t>
      </w:r>
      <w:r>
        <w:t xml:space="preserve"> </w:t>
      </w:r>
      <w:r>
        <w:t xml:space="preserve">“Neurosurgeon: Collaborative intelligence between the cloud and mobile edge,”</w:t>
      </w:r>
      <w:r>
        <w:t xml:space="preserve"> </w:t>
      </w:r>
      <w:r>
        <w:t xml:space="preserve">in</w:t>
      </w:r>
      <w:r>
        <w:t xml:space="preserve"> </w:t>
      </w:r>
      <w:r>
        <w:rPr>
          <w:i/>
          <w:iCs/>
        </w:rPr>
        <w:t xml:space="preserve">Proc. ACM ASPLOS</w:t>
      </w:r>
      <w:r>
        <w:t xml:space="preserve">, 2017, pp. 615–629.</w:t>
      </w:r>
    </w:p>
    <w:bookmarkEnd w:id="80"/>
    <w:bookmarkStart w:id="81" w:name="ref-edgeshard"/>
    <w:p>
      <w:pPr>
        <w:pStyle w:val="Bibliography"/>
      </w:pPr>
      <w:r>
        <w:t xml:space="preserve">[17]</w:t>
      </w:r>
      <w:r>
        <w:t xml:space="preserve"> </w:t>
      </w:r>
      <w:r>
        <w:t xml:space="preserve">	</w:t>
      </w:r>
      <w:r>
        <w:t xml:space="preserve">M. Zhang, J. Cao, X. Shen, and Z. Cui,</w:t>
      </w:r>
      <w:r>
        <w:t xml:space="preserve"> </w:t>
      </w:r>
      <w:r>
        <w:t xml:space="preserve">“</w:t>
      </w:r>
      <w:r>
        <w:t xml:space="preserve">EdgeShard</w:t>
      </w:r>
      <w:r>
        <w:t xml:space="preserve">: Efficient</w:t>
      </w:r>
      <w:r>
        <w:t xml:space="preserve"> </w:t>
      </w:r>
      <w:r>
        <w:t xml:space="preserve">LLM</w:t>
      </w:r>
      <w:r>
        <w:t xml:space="preserve"> </w:t>
      </w:r>
      <w:r>
        <w:t xml:space="preserve">inference via collaborative edge computing,”</w:t>
      </w:r>
      <w:r>
        <w:t xml:space="preserve"> </w:t>
      </w:r>
      <w:r>
        <w:rPr>
          <w:i/>
          <w:iCs/>
        </w:rPr>
        <w:t xml:space="preserve">arXiv preprint arXiv:2405.14371</w:t>
      </w:r>
      <w:r>
        <w:t xml:space="preserve">, 2024.</w:t>
      </w:r>
    </w:p>
    <w:bookmarkEnd w:id="81"/>
    <w:bookmarkStart w:id="82" w:name="ref-mcmahan2017fl"/>
    <w:p>
      <w:pPr>
        <w:pStyle w:val="Bibliography"/>
      </w:pPr>
      <w:r>
        <w:t xml:space="preserve">[18]</w:t>
      </w:r>
      <w:r>
        <w:t xml:space="preserve"> </w:t>
      </w:r>
      <w:r>
        <w:t xml:space="preserve">	</w:t>
      </w:r>
      <w:r>
        <w:t xml:space="preserve">B. McMahan, E. Moore, D. Ramage, S. Hampson, and B. Agüera y Arcas,</w:t>
      </w:r>
      <w:r>
        <w:t xml:space="preserve"> </w:t>
      </w:r>
      <w:r>
        <w:t xml:space="preserve">“Communication-efficient learning of deep networks from decentralized data,”</w:t>
      </w:r>
      <w:r>
        <w:t xml:space="preserve"> </w:t>
      </w:r>
      <w:r>
        <w:t xml:space="preserve">in</w:t>
      </w:r>
      <w:r>
        <w:t xml:space="preserve"> </w:t>
      </w:r>
      <w:r>
        <w:rPr>
          <w:i/>
          <w:iCs/>
        </w:rPr>
        <w:t xml:space="preserve">Proc. AISTATS</w:t>
      </w:r>
      <w:r>
        <w:t xml:space="preserve">, 2017, pp. 1273–1282.</w:t>
      </w:r>
    </w:p>
    <w:bookmarkEnd w:id="82"/>
    <w:bookmarkStart w:id="83" w:name="ref-ecoserve"/>
    <w:p>
      <w:pPr>
        <w:pStyle w:val="Bibliography"/>
      </w:pPr>
      <w:r>
        <w:t xml:space="preserve">[19]</w:t>
      </w:r>
      <w:r>
        <w:t xml:space="preserve"> </w:t>
      </w:r>
      <w:r>
        <w:t xml:space="preserve">	</w:t>
      </w:r>
      <w:r>
        <w:t xml:space="preserve">Y. Li, Z. Hu, E. Choukse, R. Fonseca, G. E. Suh, and U. Gupta,</w:t>
      </w:r>
      <w:r>
        <w:t xml:space="preserve"> </w:t>
      </w:r>
      <w:r>
        <w:t xml:space="preserve">“</w:t>
      </w:r>
      <w:r>
        <w:t xml:space="preserve">EcoServe</w:t>
      </w:r>
      <w:r>
        <w:t xml:space="preserve">: Designing carbon-aware</w:t>
      </w:r>
      <w:r>
        <w:t xml:space="preserve"> </w:t>
      </w:r>
      <w:r>
        <w:t xml:space="preserve">AI</w:t>
      </w:r>
      <w:r>
        <w:t xml:space="preserve"> </w:t>
      </w:r>
      <w:r>
        <w:t xml:space="preserve">inference systems,”</w:t>
      </w:r>
      <w:r>
        <w:t xml:space="preserve"> </w:t>
      </w:r>
      <w:r>
        <w:rPr>
          <w:i/>
          <w:iCs/>
        </w:rPr>
        <w:t xml:space="preserve">arXiv preprint arXiv:2502.05043</w:t>
      </w:r>
      <w:r>
        <w:t xml:space="preserve">, 2025.</w:t>
      </w:r>
    </w:p>
    <w:bookmarkEnd w:id="83"/>
    <w:bookmarkStart w:id="84" w:name="ref-mitzenmacher2000old"/>
    <w:p>
      <w:pPr>
        <w:pStyle w:val="Bibliography"/>
      </w:pPr>
      <w:r>
        <w:t xml:space="preserve">[20]</w:t>
      </w:r>
      <w:r>
        <w:t xml:space="preserve"> </w:t>
      </w:r>
      <w:r>
        <w:t xml:space="preserve">	</w:t>
      </w:r>
      <w:r>
        <w:t xml:space="preserve">M. Mitzenmacher,</w:t>
      </w:r>
      <w:r>
        <w:t xml:space="preserve"> </w:t>
      </w:r>
      <w:r>
        <w:t xml:space="preserve">“How useful is old information?”</w:t>
      </w:r>
      <w:r>
        <w:t xml:space="preserve"> </w:t>
      </w:r>
      <w:r>
        <w:rPr>
          <w:i/>
          <w:iCs/>
        </w:rPr>
        <w:t xml:space="preserve">IEEE Trans. Parallel Distrib. Syst.</w:t>
      </w:r>
      <w:r>
        <w:t xml:space="preserve">, vol. 11, no. 1, pp. 6–20, 2000.</w:t>
      </w:r>
    </w:p>
    <w:bookmarkEnd w:id="84"/>
    <w:bookmarkStart w:id="85" w:name="ref-mitzenmacher2001two"/>
    <w:p>
      <w:pPr>
        <w:pStyle w:val="Bibliography"/>
      </w:pPr>
      <w:r>
        <w:t xml:space="preserve">[21]</w:t>
      </w:r>
      <w:r>
        <w:t xml:space="preserve"> </w:t>
      </w:r>
      <w:r>
        <w:t xml:space="preserve">	</w:t>
      </w:r>
      <w:r>
        <w:t xml:space="preserve">M. Mitzenmacher,</w:t>
      </w:r>
      <w:r>
        <w:t xml:space="preserve"> </w:t>
      </w:r>
      <w:r>
        <w:t xml:space="preserve">“The power of two choices in randomized load balancing,”</w:t>
      </w:r>
      <w:r>
        <w:t xml:space="preserve"> </w:t>
      </w:r>
      <w:r>
        <w:rPr>
          <w:i/>
          <w:iCs/>
        </w:rPr>
        <w:t xml:space="preserve">IEEE Trans. Parallel Distrib. Syst.</w:t>
      </w:r>
      <w:r>
        <w:t xml:space="preserve">, vol. 12, no. 10, pp. 1094–1104, 2001.</w:t>
      </w:r>
    </w:p>
    <w:bookmarkEnd w:id="85"/>
    <w:bookmarkStart w:id="86" w:name="ref-shahrad2020serverless"/>
    <w:p>
      <w:pPr>
        <w:pStyle w:val="Bibliography"/>
      </w:pPr>
      <w:r>
        <w:t xml:space="preserve">[22]</w:t>
      </w:r>
      <w:r>
        <w:t xml:space="preserve"> </w:t>
      </w:r>
      <w:r>
        <w:t xml:space="preserve">	</w:t>
      </w:r>
      <w:r>
        <w:t xml:space="preserve">M. Shahrad</w:t>
      </w:r>
      <w:r>
        <w:t xml:space="preserve"> </w:t>
      </w:r>
      <w:r>
        <w:rPr>
          <w:i/>
          <w:iCs/>
        </w:rPr>
        <w:t xml:space="preserve">et al.</w:t>
      </w:r>
      <w:r>
        <w:t xml:space="preserve">,</w:t>
      </w:r>
      <w:r>
        <w:t xml:space="preserve"> </w:t>
      </w:r>
      <w:r>
        <w:t xml:space="preserve">“Serverless in the wild: Characterizing and optimizing the serverless workload at a large cloud provider,”</w:t>
      </w:r>
      <w:r>
        <w:t xml:space="preserve"> </w:t>
      </w:r>
      <w:r>
        <w:t xml:space="preserve">in</w:t>
      </w:r>
      <w:r>
        <w:t xml:space="preserve"> </w:t>
      </w:r>
      <w:r>
        <w:rPr>
          <w:i/>
          <w:iCs/>
        </w:rPr>
        <w:t xml:space="preserve">Proc. USENIX ATC</w:t>
      </w:r>
      <w:r>
        <w:t xml:space="preserve">, 2020, pp. 205–218.</w:t>
      </w:r>
    </w:p>
    <w:bookmarkEnd w:id="86"/>
    <w:bookmarkEnd w:id="87"/>
    <w:bookmarkEnd w:id="88"/>
    <w:bookmarkStart w:id="92" w:name="appendix-a-additional-results"/>
    <w:p>
      <w:pPr>
        <w:pStyle w:val="Heading1"/>
      </w:pPr>
      <w:r>
        <w:t xml:space="preserve">Appendix A: Additional Results</w:t>
      </w:r>
    </w:p>
    <w:p>
      <w:pPr>
        <w:pStyle w:val="FirstParagraph"/>
      </w:pPr>
      <w:r>
        <w:t xml:space="preserve">Table VI breaks down compliant SLO attainment by request category at</w:t>
      </w:r>
      <w:r>
        <w:t xml:space="preserve"> </w:t>
      </w:r>
      <m:oMath>
        <m:r>
          <m:t>ρ</m:t>
        </m:r>
        <m:r>
          <m:rPr>
            <m:sty m:val="p"/>
          </m:rPr>
          <m:t>=</m:t>
        </m:r>
        <m:r>
          <m:t>0.8</m:t>
        </m:r>
      </m:oMath>
      <w:r>
        <w:t xml:space="preserve">.</w:t>
      </w:r>
      <w:r>
        <w:t xml:space="preserve"> </w:t>
      </w:r>
      <w:r>
        <w:rPr>
          <w:smallCaps/>
        </w:rPr>
        <w:t xml:space="preserve">Trace</w:t>
      </w:r>
      <w:r>
        <w:t xml:space="preserve"> </w:t>
      </w:r>
      <w:r>
        <w:t xml:space="preserve">has the highest attainment in every category; the frequency-sensitive multi-GPU category (FS</w:t>
      </w:r>
      <m:oMath>
        <m:r>
          <m:rPr>
            <m:sty m:val="p"/>
          </m:rPr>
          <m:t>&gt;</m:t>
        </m:r>
      </m:oMath>
      <w:r>
        <w:t xml:space="preserve">1, video segmentation) is the hardest for every router because its eight-slot streams need a large contiguous allocation on an eligible server.</w:t>
      </w:r>
    </w:p>
    <w:bookmarkStart w:id="89" w:name="tab:category"/>
    <w:p>
      <w:pPr>
        <w:pStyle w:val="TableCaption"/>
      </w:pPr>
      <w:r>
        <w:t xml:space="preserve">TABLE VI. Compliant SLO attainment per request category at</w:t>
      </w:r>
      <w:r>
        <w:t xml:space="preserve"> </w:t>
      </w:r>
      <m:oMath>
        <m:r>
          <m:t>ρ</m:t>
        </m:r>
        <m:r>
          <m:rPr>
            <m:sty m:val="p"/>
          </m:rPr>
          <m:t>=</m:t>
        </m:r>
        <m:r>
          <m:t>0.8</m:t>
        </m:r>
      </m:oMath>
      <w:r>
        <w:t xml:space="preserve"> </w:t>
      </w:r>
      <w:r>
        <w:t xml:space="preserve">(10 seeds).</w:t>
      </w:r>
    </w:p>
    <w:tbl>
      <w:tblPr>
        <w:tblStyle w:val="Table"/>
        <w:tblW w:type="dxa" w:w="9360"/>
        <w:tblLook w:firstRow="1" w:lastRow="0" w:firstColumn="0" w:lastColumn="0" w:noHBand="0" w:noVBand="0" w:val="0020"/>
        <w:tblCaption w:val="TABLE VI. Compliant SLO attainment per request category at \rho=0.8 (10 seeds)."/>
      </w:tblPr>
      <w:tblGrid>
        <w:gridCol w:w="2717"/>
        <w:gridCol w:w="1661"/>
        <w:gridCol w:w="1661"/>
        <w:gridCol w:w="1661"/>
        <w:gridCol w:w="1660"/>
      </w:tblGrid>
      <w:tr>
        <w:trPr>
          <w:tblHeader w:val="on"/>
        </w:trPr>
        <w:tc>
          <w:tcPr/>
          <w:p>
            <w:pPr>
              <w:pStyle w:val="Compact"/>
              <w:jc w:val="left"/>
            </w:pPr>
            <w:r>
              <w:t xml:space="preserve">Policy</w:t>
            </w:r>
          </w:p>
        </w:tc>
        <w:tc>
          <w:tcPr/>
          <w:p>
            <w:pPr>
              <w:pStyle w:val="Compact"/>
              <w:jc w:val="center"/>
            </w:pPr>
            <w:r>
              <w:t xml:space="preserve">LS</w:t>
            </w:r>
            <m:oMath>
              <m:r>
                <m:rPr>
                  <m:sty m:val="p"/>
                </m:rPr>
                <m:t>&lt;</m:t>
              </m:r>
            </m:oMath>
            <w:r>
              <w:t xml:space="preserve">1</w:t>
            </w:r>
          </w:p>
        </w:tc>
        <w:tc>
          <w:tcPr/>
          <w:p>
            <w:pPr>
              <w:pStyle w:val="Compact"/>
              <w:jc w:val="center"/>
            </w:pPr>
            <w:r>
              <w:t xml:space="preserve">LS</w:t>
            </w:r>
            <m:oMath>
              <m:r>
                <m:rPr>
                  <m:sty m:val="p"/>
                </m:rPr>
                <m:t>&gt;</m:t>
              </m:r>
            </m:oMath>
            <w:r>
              <w:t xml:space="preserve">1</w:t>
            </w:r>
          </w:p>
        </w:tc>
        <w:tc>
          <w:tcPr/>
          <w:p>
            <w:pPr>
              <w:pStyle w:val="Compact"/>
              <w:jc w:val="center"/>
            </w:pPr>
            <w:r>
              <w:t xml:space="preserve">FS</w:t>
            </w:r>
            <m:oMath>
              <m:r>
                <m:rPr>
                  <m:sty m:val="p"/>
                </m:rPr>
                <m:t>&lt;</m:t>
              </m:r>
            </m:oMath>
            <w:r>
              <w:t xml:space="preserve">1</w:t>
            </w:r>
          </w:p>
        </w:tc>
        <w:tc>
          <w:tcPr/>
          <w:p>
            <w:pPr>
              <w:pStyle w:val="Compact"/>
              <w:jc w:val="center"/>
            </w:pPr>
            <w:r>
              <w:t xml:space="preserve">FS</w:t>
            </w:r>
            <m:oMath>
              <m:r>
                <m:rPr>
                  <m:sty m:val="p"/>
                </m:rPr>
                <m:t>&gt;</m:t>
              </m:r>
            </m:oMath>
            <w:r>
              <w:t xml:space="preserve">1</w:t>
            </w:r>
          </w:p>
        </w:tc>
      </w:tr>
      <w:tr>
        <w:tc>
          <w:tcPr/>
          <w:p>
            <w:pPr>
              <w:pStyle w:val="Compact"/>
              <w:jc w:val="left"/>
            </w:pPr>
            <w:r>
              <w:t xml:space="preserve">Local only</w:t>
            </w:r>
          </w:p>
        </w:tc>
        <w:tc>
          <w:tcPr/>
          <w:p>
            <w:pPr>
              <w:pStyle w:val="Compact"/>
              <w:jc w:val="center"/>
            </w:pPr>
            <w:r>
              <w:t xml:space="preserve">0.206</w:t>
            </w:r>
            <m:oMath>
              <m:r>
                <m:rPr>
                  <m:sty m:val="p"/>
                </m:rPr>
                <m:t>±</m:t>
              </m:r>
            </m:oMath>
            <w:r>
              <w:t xml:space="preserve">0.023</w:t>
            </w:r>
          </w:p>
        </w:tc>
        <w:tc>
          <w:tcPr/>
          <w:p>
            <w:pPr>
              <w:pStyle w:val="Compact"/>
              <w:jc w:val="center"/>
            </w:pPr>
            <w:r>
              <w:t xml:space="preserve">0.244</w:t>
            </w:r>
            <m:oMath>
              <m:r>
                <m:rPr>
                  <m:sty m:val="p"/>
                </m:rPr>
                <m:t>±</m:t>
              </m:r>
            </m:oMath>
            <w:r>
              <w:t xml:space="preserve">0.038</w:t>
            </w:r>
          </w:p>
        </w:tc>
        <w:tc>
          <w:tcPr/>
          <w:p>
            <w:pPr>
              <w:pStyle w:val="Compact"/>
              <w:jc w:val="center"/>
            </w:pPr>
            <w:r>
              <w:t xml:space="preserve">0.200</w:t>
            </w:r>
            <m:oMath>
              <m:r>
                <m:rPr>
                  <m:sty m:val="p"/>
                </m:rPr>
                <m:t>±</m:t>
              </m:r>
            </m:oMath>
            <w:r>
              <w:t xml:space="preserve">0.031</w:t>
            </w:r>
          </w:p>
        </w:tc>
        <w:tc>
          <w:tcPr/>
          <w:p>
            <w:pPr>
              <w:pStyle w:val="Compact"/>
              <w:jc w:val="center"/>
            </w:pPr>
            <w:r>
              <w:t xml:space="preserve">0.192</w:t>
            </w:r>
            <m:oMath>
              <m:r>
                <m:rPr>
                  <m:sty m:val="p"/>
                </m:rPr>
                <m:t>±</m:t>
              </m:r>
            </m:oMath>
            <w:r>
              <w:t xml:space="preserve">0.059</w:t>
            </w:r>
          </w:p>
        </w:tc>
      </w:tr>
      <w:tr>
        <w:tc>
          <w:tcPr/>
          <w:p>
            <w:pPr>
              <w:pStyle w:val="Compact"/>
              <w:jc w:val="left"/>
            </w:pPr>
            <w:r>
              <w:t xml:space="preserve">Round-robin</w:t>
            </w:r>
          </w:p>
        </w:tc>
        <w:tc>
          <w:tcPr/>
          <w:p>
            <w:pPr>
              <w:pStyle w:val="Compact"/>
              <w:jc w:val="center"/>
            </w:pPr>
            <w:r>
              <w:t xml:space="preserve">0.549</w:t>
            </w:r>
            <m:oMath>
              <m:r>
                <m:rPr>
                  <m:sty m:val="p"/>
                </m:rPr>
                <m:t>±</m:t>
              </m:r>
            </m:oMath>
            <w:r>
              <w:t xml:space="preserve">0.047</w:t>
            </w:r>
          </w:p>
        </w:tc>
        <w:tc>
          <w:tcPr/>
          <w:p>
            <w:pPr>
              <w:pStyle w:val="Compact"/>
              <w:jc w:val="center"/>
            </w:pPr>
            <w:r>
              <w:t xml:space="preserve">0.700</w:t>
            </w:r>
            <m:oMath>
              <m:r>
                <m:rPr>
                  <m:sty m:val="p"/>
                </m:rPr>
                <m:t>±</m:t>
              </m:r>
            </m:oMath>
            <w:r>
              <w:t xml:space="preserve">0.035</w:t>
            </w:r>
          </w:p>
        </w:tc>
        <w:tc>
          <w:tcPr/>
          <w:p>
            <w:pPr>
              <w:pStyle w:val="Compact"/>
              <w:jc w:val="center"/>
            </w:pPr>
            <w:r>
              <w:t xml:space="preserve">0.585</w:t>
            </w:r>
            <m:oMath>
              <m:r>
                <m:rPr>
                  <m:sty m:val="p"/>
                </m:rPr>
                <m:t>±</m:t>
              </m:r>
            </m:oMath>
            <w:r>
              <w:t xml:space="preserve">0.042</w:t>
            </w:r>
          </w:p>
        </w:tc>
        <w:tc>
          <w:tcPr/>
          <w:p>
            <w:pPr>
              <w:pStyle w:val="Compact"/>
              <w:jc w:val="center"/>
            </w:pPr>
            <w:r>
              <w:t xml:space="preserve">0.412</w:t>
            </w:r>
            <m:oMath>
              <m:r>
                <m:rPr>
                  <m:sty m:val="p"/>
                </m:rPr>
                <m:t>±</m:t>
              </m:r>
            </m:oMath>
            <w:r>
              <w:t xml:space="preserve">0.072</w:t>
            </w:r>
          </w:p>
        </w:tc>
      </w:tr>
      <w:tr>
        <w:tc>
          <w:tcPr/>
          <w:p>
            <w:pPr>
              <w:pStyle w:val="Compact"/>
              <w:jc w:val="left"/>
            </w:pPr>
            <w:r>
              <w:t xml:space="preserve">EPARA-style</w:t>
            </w:r>
          </w:p>
        </w:tc>
        <w:tc>
          <w:tcPr/>
          <w:p>
            <w:pPr>
              <w:pStyle w:val="Compact"/>
              <w:jc w:val="center"/>
            </w:pPr>
            <w:r>
              <w:t xml:space="preserve">0.707</w:t>
            </w:r>
            <m:oMath>
              <m:r>
                <m:rPr>
                  <m:sty m:val="p"/>
                </m:rPr>
                <m:t>±</m:t>
              </m:r>
            </m:oMath>
            <w:r>
              <w:t xml:space="preserve">0.083</w:t>
            </w:r>
          </w:p>
        </w:tc>
        <w:tc>
          <w:tcPr/>
          <w:p>
            <w:pPr>
              <w:pStyle w:val="Compact"/>
              <w:jc w:val="center"/>
            </w:pPr>
            <w:r>
              <w:t xml:space="preserve">0.787</w:t>
            </w:r>
            <m:oMath>
              <m:r>
                <m:rPr>
                  <m:sty m:val="p"/>
                </m:rPr>
                <m:t>±</m:t>
              </m:r>
            </m:oMath>
            <w:r>
              <w:t xml:space="preserve">0.037</w:t>
            </w:r>
          </w:p>
        </w:tc>
        <w:tc>
          <w:tcPr/>
          <w:p>
            <w:pPr>
              <w:pStyle w:val="Compact"/>
              <w:jc w:val="center"/>
            </w:pPr>
            <w:r>
              <w:t xml:space="preserve">0.718</w:t>
            </w:r>
            <m:oMath>
              <m:r>
                <m:rPr>
                  <m:sty m:val="p"/>
                </m:rPr>
                <m:t>±</m:t>
              </m:r>
            </m:oMath>
            <w:r>
              <w:t xml:space="preserve">0.043</w:t>
            </w:r>
          </w:p>
        </w:tc>
        <w:tc>
          <w:tcPr/>
          <w:p>
            <w:pPr>
              <w:pStyle w:val="Compact"/>
              <w:jc w:val="center"/>
            </w:pPr>
            <w:r>
              <w:t xml:space="preserve">0.563</w:t>
            </w:r>
            <m:oMath>
              <m:r>
                <m:rPr>
                  <m:sty m:val="p"/>
                </m:rPr>
                <m:t>±</m:t>
              </m:r>
            </m:oMath>
            <w:r>
              <w:t xml:space="preserve">0.104</w:t>
            </w:r>
          </w:p>
        </w:tc>
      </w:tr>
      <w:tr>
        <w:tc>
          <w:tcPr/>
          <w:p>
            <w:pPr>
              <w:pStyle w:val="Compact"/>
              <w:jc w:val="left"/>
            </w:pPr>
            <w:r>
              <w:t xml:space="preserve">TF (trust filter)</w:t>
            </w:r>
          </w:p>
        </w:tc>
        <w:tc>
          <w:tcPr/>
          <w:p>
            <w:pPr>
              <w:pStyle w:val="Compact"/>
              <w:jc w:val="center"/>
            </w:pPr>
            <w:r>
              <w:t xml:space="preserve">0.840</w:t>
            </w:r>
            <m:oMath>
              <m:r>
                <m:rPr>
                  <m:sty m:val="p"/>
                </m:rPr>
                <m:t>±</m:t>
              </m:r>
            </m:oMath>
            <w:r>
              <w:t xml:space="preserve">0.046</w:t>
            </w:r>
          </w:p>
        </w:tc>
        <w:tc>
          <w:tcPr/>
          <w:p>
            <w:pPr>
              <w:pStyle w:val="Compact"/>
              <w:jc w:val="center"/>
            </w:pPr>
            <w:r>
              <w:t xml:space="preserve">0.909</w:t>
            </w:r>
            <m:oMath>
              <m:r>
                <m:rPr>
                  <m:sty m:val="p"/>
                </m:rPr>
                <m:t>±</m:t>
              </m:r>
            </m:oMath>
            <w:r>
              <w:t xml:space="preserve">0.027</w:t>
            </w:r>
          </w:p>
        </w:tc>
        <w:tc>
          <w:tcPr/>
          <w:p>
            <w:pPr>
              <w:pStyle w:val="Compact"/>
              <w:jc w:val="center"/>
            </w:pPr>
            <w:r>
              <w:t xml:space="preserve">0.852</w:t>
            </w:r>
            <m:oMath>
              <m:r>
                <m:rPr>
                  <m:sty m:val="p"/>
                </m:rPr>
                <m:t>±</m:t>
              </m:r>
            </m:oMath>
            <w:r>
              <w:t xml:space="preserve">0.028</w:t>
            </w:r>
          </w:p>
        </w:tc>
        <w:tc>
          <w:tcPr/>
          <w:p>
            <w:pPr>
              <w:pStyle w:val="Compact"/>
              <w:jc w:val="center"/>
            </w:pPr>
            <w:r>
              <w:t xml:space="preserve">0.646</w:t>
            </w:r>
            <m:oMath>
              <m:r>
                <m:rPr>
                  <m:sty m:val="p"/>
                </m:rPr>
                <m:t>±</m:t>
              </m:r>
            </m:oMath>
            <w:r>
              <w:t xml:space="preserve">0.117</w:t>
            </w:r>
          </w:p>
        </w:tc>
      </w:tr>
      <w:tr>
        <w:tc>
          <w:tcPr/>
          <w:p>
            <w:pPr>
              <w:pStyle w:val="Compact"/>
              <w:jc w:val="left"/>
            </w:pPr>
            <w:r>
              <w:rPr>
                <w:smallCaps/>
              </w:rPr>
              <w:t xml:space="preserve">Trace</w:t>
            </w:r>
          </w:p>
        </w:tc>
        <w:tc>
          <w:tcPr/>
          <w:p>
            <w:pPr>
              <w:pStyle w:val="Compact"/>
              <w:jc w:val="center"/>
            </w:pPr>
            <w:r>
              <w:t xml:space="preserve">0.866</w:t>
            </w:r>
            <m:oMath>
              <m:r>
                <m:rPr>
                  <m:sty m:val="p"/>
                </m:rPr>
                <m:t>±</m:t>
              </m:r>
            </m:oMath>
            <w:r>
              <w:t xml:space="preserve">0.061</w:t>
            </w:r>
          </w:p>
        </w:tc>
        <w:tc>
          <w:tcPr/>
          <w:p>
            <w:pPr>
              <w:pStyle w:val="Compact"/>
              <w:jc w:val="center"/>
            </w:pPr>
            <w:r>
              <w:t xml:space="preserve">0.929</w:t>
            </w:r>
            <m:oMath>
              <m:r>
                <m:rPr>
                  <m:sty m:val="p"/>
                </m:rPr>
                <m:t>±</m:t>
              </m:r>
            </m:oMath>
            <w:r>
              <w:t xml:space="preserve">0.023</w:t>
            </w:r>
          </w:p>
        </w:tc>
        <w:tc>
          <w:tcPr/>
          <w:p>
            <w:pPr>
              <w:pStyle w:val="Compact"/>
              <w:jc w:val="center"/>
            </w:pPr>
            <w:r>
              <w:t xml:space="preserve">0.868</w:t>
            </w:r>
            <m:oMath>
              <m:r>
                <m:rPr>
                  <m:sty m:val="p"/>
                </m:rPr>
                <m:t>±</m:t>
              </m:r>
            </m:oMath>
            <w:r>
              <w:t xml:space="preserve">0.034</w:t>
            </w:r>
          </w:p>
        </w:tc>
        <w:tc>
          <w:tcPr/>
          <w:p>
            <w:pPr>
              <w:pStyle w:val="Compact"/>
              <w:jc w:val="center"/>
            </w:pPr>
            <w:r>
              <w:t xml:space="preserve">0.701</w:t>
            </w:r>
            <m:oMath>
              <m:r>
                <m:rPr>
                  <m:sty m:val="p"/>
                </m:rPr>
                <m:t>±</m:t>
              </m:r>
            </m:oMath>
            <w:r>
              <w:t xml:space="preserve">0.099</w:t>
            </w:r>
          </w:p>
        </w:tc>
      </w:tr>
      <w:tr>
        <w:tc>
          <w:tcPr/>
          <w:p>
            <w:pPr>
              <w:pStyle w:val="Compact"/>
              <w:jc w:val="left"/>
            </w:pPr>
            <w:r>
              <w:t xml:space="preserve">TF+EW (energy wt.)</w:t>
            </w:r>
          </w:p>
        </w:tc>
        <w:tc>
          <w:tcPr/>
          <w:p>
            <w:pPr>
              <w:pStyle w:val="Compact"/>
              <w:jc w:val="center"/>
            </w:pPr>
            <w:r>
              <w:t xml:space="preserve">0.812</w:t>
            </w:r>
            <m:oMath>
              <m:r>
                <m:rPr>
                  <m:sty m:val="p"/>
                </m:rPr>
                <m:t>±</m:t>
              </m:r>
            </m:oMath>
            <w:r>
              <w:t xml:space="preserve">0.056</w:t>
            </w:r>
          </w:p>
        </w:tc>
        <w:tc>
          <w:tcPr/>
          <w:p>
            <w:pPr>
              <w:pStyle w:val="Compact"/>
              <w:jc w:val="center"/>
            </w:pPr>
            <w:r>
              <w:t xml:space="preserve">0.912</w:t>
            </w:r>
            <m:oMath>
              <m:r>
                <m:rPr>
                  <m:sty m:val="p"/>
                </m:rPr>
                <m:t>±</m:t>
              </m:r>
            </m:oMath>
            <w:r>
              <w:t xml:space="preserve">0.024</w:t>
            </w:r>
          </w:p>
        </w:tc>
        <w:tc>
          <w:tcPr/>
          <w:p>
            <w:pPr>
              <w:pStyle w:val="Compact"/>
              <w:jc w:val="center"/>
            </w:pPr>
            <w:r>
              <w:t xml:space="preserve">0.865</w:t>
            </w:r>
            <m:oMath>
              <m:r>
                <m:rPr>
                  <m:sty m:val="p"/>
                </m:rPr>
                <m:t>±</m:t>
              </m:r>
            </m:oMath>
            <w:r>
              <w:t xml:space="preserve">0.030</w:t>
            </w:r>
          </w:p>
        </w:tc>
        <w:tc>
          <w:tcPr/>
          <w:p>
            <w:pPr>
              <w:pStyle w:val="Compact"/>
              <w:jc w:val="center"/>
            </w:pPr>
            <w:r>
              <w:t xml:space="preserve">0.644</w:t>
            </w:r>
            <m:oMath>
              <m:r>
                <m:rPr>
                  <m:sty m:val="p"/>
                </m:rPr>
                <m:t>±</m:t>
              </m:r>
            </m:oMath>
            <w:r>
              <w:t xml:space="preserve">0.089</w:t>
            </w:r>
          </w:p>
        </w:tc>
      </w:tr>
    </w:tbl>
    <w:bookmarkEnd w:id="89"/>
    <w:p>
      <w:pPr>
        <w:pStyle w:val="BodyText"/>
      </w:pPr>
      <w:r>
        <w:t xml:space="preserve">Table VII lists compliant SLO attainment for every energy-aware variant, energy model and cap scale shown in Fig. 4.</w:t>
      </w:r>
    </w:p>
    <w:bookmarkStart w:id="90" w:name="tab:energyfull"/>
    <w:p>
      <w:pPr>
        <w:pStyle w:val="TableCaption"/>
      </w:pPr>
      <w:r>
        <w:t xml:space="preserve">TABLE VII. Compliant SLO attainment of the energy-aware variants (</w:t>
      </w:r>
      <m:oMath>
        <m:r>
          <m:t>ρ</m:t>
        </m:r>
        <m:r>
          <m:rPr>
            <m:sty m:val="p"/>
          </m:rPr>
          <m:t>=</m:t>
        </m:r>
        <m:r>
          <m:t>0.8</m:t>
        </m:r>
      </m:oMath>
      <w:r>
        <w:t xml:space="preserve">, 10 seeds).</w:t>
      </w:r>
    </w:p>
    <w:tbl>
      <w:tblPr>
        <w:tblStyle w:val="Table"/>
        <w:tblW w:type="dxa" w:w="9360"/>
        <w:tblLook w:firstRow="1" w:lastRow="0" w:firstColumn="0" w:lastColumn="0" w:noHBand="0" w:noVBand="0" w:val="0020"/>
        <w:tblCaption w:val="TABLE VII. Compliant SLO attainment of the energy-aware variants (\rho=0.8, 10 seeds)."/>
      </w:tblPr>
      <w:tblGrid>
        <w:gridCol w:w="1021"/>
        <w:gridCol w:w="681"/>
        <w:gridCol w:w="1532"/>
        <w:gridCol w:w="1532"/>
        <w:gridCol w:w="1532"/>
        <w:gridCol w:w="1532"/>
        <w:gridCol w:w="1530"/>
      </w:tblGrid>
      <w:tr>
        <w:trPr>
          <w:tblHeader w:val="on"/>
        </w:trPr>
        <w:tc>
          <w:tcPr/>
          <w:p>
            <w:pPr>
              <w:pStyle w:val="Compact"/>
              <w:jc w:val="left"/>
            </w:pPr>
            <w:r>
              <w:t xml:space="preserve">Model</w:t>
            </w:r>
          </w:p>
        </w:tc>
        <w:tc>
          <w:tcPr/>
          <w:p>
            <w:pPr>
              <w:pStyle w:val="Compact"/>
              <w:jc w:val="left"/>
            </w:pPr>
            <w:r>
              <w:t xml:space="preserve">Cap</w:t>
            </w:r>
          </w:p>
        </w:tc>
        <w:tc>
          <w:tcPr/>
          <w:p>
            <w:pPr>
              <w:pStyle w:val="Compact"/>
              <w:jc w:val="center"/>
            </w:pPr>
            <w:r>
              <w:t xml:space="preserve">TF</w:t>
            </w:r>
          </w:p>
        </w:tc>
        <w:tc>
          <w:tcPr/>
          <w:p>
            <w:pPr>
              <w:pStyle w:val="Compact"/>
              <w:jc w:val="center"/>
            </w:pPr>
            <w:r>
              <w:t xml:space="preserve">TF+EW</w:t>
            </w:r>
          </w:p>
        </w:tc>
        <w:tc>
          <w:tcPr/>
          <w:p>
            <w:pPr>
              <w:pStyle w:val="Compact"/>
              <w:jc w:val="center"/>
            </w:pPr>
            <w:r>
              <w:t xml:space="preserve">TF+EB</w:t>
            </w:r>
          </w:p>
        </w:tc>
        <w:tc>
          <w:tcPr/>
          <w:p>
            <w:pPr>
              <w:pStyle w:val="Compact"/>
              <w:jc w:val="center"/>
            </w:pPr>
            <w:r>
              <w:t xml:space="preserve">TF+EC</w:t>
            </w:r>
          </w:p>
        </w:tc>
        <w:tc>
          <w:tcPr/>
          <w:p>
            <w:pPr>
              <w:pStyle w:val="Compact"/>
              <w:jc w:val="center"/>
            </w:pPr>
            <w:r>
              <w:t xml:space="preserve">EW only</w:t>
            </w:r>
          </w:p>
        </w:tc>
      </w:tr>
      <w:tr>
        <w:tc>
          <w:tcPr/>
          <w:p>
            <w:pPr>
              <w:pStyle w:val="Compact"/>
              <w:jc w:val="left"/>
            </w:pPr>
            <w:r>
              <w:t xml:space="preserve">Soft</w:t>
            </w:r>
          </w:p>
        </w:tc>
        <w:tc>
          <w:tcPr/>
          <w:p>
            <w:pPr>
              <w:pStyle w:val="Compact"/>
              <w:jc w:val="left"/>
            </w:pPr>
            <w:r>
              <w:t xml:space="preserve">1</w:t>
            </w:r>
          </w:p>
        </w:tc>
        <w:tc>
          <w:tcPr/>
          <w:p>
            <w:pPr>
              <w:pStyle w:val="Compact"/>
              <w:jc w:val="center"/>
            </w:pPr>
            <w:r>
              <w:t xml:space="preserve">0.84</w:t>
            </w:r>
            <m:oMath>
              <m:r>
                <m:rPr>
                  <m:sty m:val="p"/>
                </m:rPr>
                <m:t>±</m:t>
              </m:r>
            </m:oMath>
            <w:r>
              <w:t xml:space="preserve">0.05</w:t>
            </w:r>
          </w:p>
        </w:tc>
        <w:tc>
          <w:tcPr/>
          <w:p>
            <w:pPr>
              <w:pStyle w:val="Compact"/>
              <w:jc w:val="center"/>
            </w:pPr>
            <w:r>
              <w:t xml:space="preserve">0.81</w:t>
            </w:r>
            <m:oMath>
              <m:r>
                <m:rPr>
                  <m:sty m:val="p"/>
                </m:rPr>
                <m:t>±</m:t>
              </m:r>
            </m:oMath>
            <w:r>
              <w:t xml:space="preserve">0.06</w:t>
            </w:r>
          </w:p>
        </w:tc>
        <w:tc>
          <w:tcPr/>
          <w:p>
            <w:pPr>
              <w:pStyle w:val="Compact"/>
              <w:jc w:val="center"/>
            </w:pPr>
            <w:r>
              <w:t xml:space="preserve">0.81</w:t>
            </w:r>
            <m:oMath>
              <m:r>
                <m:rPr>
                  <m:sty m:val="p"/>
                </m:rPr>
                <m:t>±</m:t>
              </m:r>
            </m:oMath>
            <w:r>
              <w:t xml:space="preserve">0.06</w:t>
            </w:r>
          </w:p>
        </w:tc>
        <w:tc>
          <w:tcPr/>
          <w:p>
            <w:pPr>
              <w:pStyle w:val="Compact"/>
              <w:jc w:val="center"/>
            </w:pPr>
            <w:r>
              <w:t xml:space="preserve">0.84</w:t>
            </w:r>
            <m:oMath>
              <m:r>
                <m:rPr>
                  <m:sty m:val="p"/>
                </m:rPr>
                <m:t>±</m:t>
              </m:r>
            </m:oMath>
            <w:r>
              <w:t xml:space="preserve">0.05</w:t>
            </w:r>
          </w:p>
        </w:tc>
        <w:tc>
          <w:tcPr/>
          <w:p>
            <w:pPr>
              <w:pStyle w:val="Compact"/>
              <w:jc w:val="center"/>
            </w:pPr>
            <w:r>
              <w:t xml:space="preserve">0.72</w:t>
            </w:r>
            <m:oMath>
              <m:r>
                <m:rPr>
                  <m:sty m:val="p"/>
                </m:rPr>
                <m:t>±</m:t>
              </m:r>
            </m:oMath>
            <w:r>
              <w:t xml:space="preserve">0.04</w:t>
            </w:r>
          </w:p>
        </w:tc>
      </w:tr>
      <w:tr>
        <w:tc>
          <w:tcPr/>
          <w:p>
            <w:pPr>
              <w:pStyle w:val="Compact"/>
            </w:pPr>
          </w:p>
        </w:tc>
        <w:tc>
          <w:tcPr/>
          <w:p>
            <w:pPr>
              <w:pStyle w:val="Compact"/>
              <w:jc w:val="left"/>
            </w:pPr>
            <w:r>
              <w:t xml:space="preserve">0.7</w:t>
            </w:r>
          </w:p>
        </w:tc>
        <w:tc>
          <w:tcPr/>
          <w:p>
            <w:pPr>
              <w:pStyle w:val="Compact"/>
              <w:jc w:val="center"/>
            </w:pPr>
            <w:r>
              <w:t xml:space="preserve">0.71</w:t>
            </w:r>
            <m:oMath>
              <m:r>
                <m:rPr>
                  <m:sty m:val="p"/>
                </m:rPr>
                <m:t>±</m:t>
              </m:r>
            </m:oMath>
            <w:r>
              <w:t xml:space="preserve">0.11</w:t>
            </w:r>
          </w:p>
        </w:tc>
        <w:tc>
          <w:tcPr/>
          <w:p>
            <w:pPr>
              <w:pStyle w:val="Compact"/>
              <w:jc w:val="center"/>
            </w:pPr>
            <w:r>
              <w:t xml:space="preserve">0.66</w:t>
            </w:r>
            <m:oMath>
              <m:r>
                <m:rPr>
                  <m:sty m:val="p"/>
                </m:rPr>
                <m:t>±</m:t>
              </m:r>
            </m:oMath>
            <w:r>
              <w:t xml:space="preserve">0.11</w:t>
            </w:r>
          </w:p>
        </w:tc>
        <w:tc>
          <w:tcPr/>
          <w:p>
            <w:pPr>
              <w:pStyle w:val="Compact"/>
              <w:jc w:val="center"/>
            </w:pPr>
            <w:r>
              <w:t xml:space="preserve">0.68</w:t>
            </w:r>
            <m:oMath>
              <m:r>
                <m:rPr>
                  <m:sty m:val="p"/>
                </m:rPr>
                <m:t>±</m:t>
              </m:r>
            </m:oMath>
            <w:r>
              <w:t xml:space="preserve">0.11</w:t>
            </w:r>
          </w:p>
        </w:tc>
        <w:tc>
          <w:tcPr/>
          <w:p>
            <w:pPr>
              <w:pStyle w:val="Compact"/>
              <w:jc w:val="center"/>
            </w:pPr>
            <w:r>
              <w:t xml:space="preserve">0.73</w:t>
            </w:r>
            <m:oMath>
              <m:r>
                <m:rPr>
                  <m:sty m:val="p"/>
                </m:rPr>
                <m:t>±</m:t>
              </m:r>
            </m:oMath>
            <w:r>
              <w:t xml:space="preserve">0.08</w:t>
            </w:r>
          </w:p>
        </w:tc>
        <w:tc>
          <w:tcPr/>
          <w:p>
            <w:pPr>
              <w:pStyle w:val="Compact"/>
              <w:jc w:val="center"/>
            </w:pPr>
            <w:r>
              <w:t xml:space="preserve">0.53</w:t>
            </w:r>
            <m:oMath>
              <m:r>
                <m:rPr>
                  <m:sty m:val="p"/>
                </m:rPr>
                <m:t>±</m:t>
              </m:r>
            </m:oMath>
            <w:r>
              <w:t xml:space="preserve">0.10</w:t>
            </w:r>
          </w:p>
        </w:tc>
      </w:tr>
      <w:tr>
        <w:tc>
          <w:tcPr/>
          <w:p>
            <w:pPr>
              <w:pStyle w:val="Compact"/>
            </w:pPr>
          </w:p>
        </w:tc>
        <w:tc>
          <w:tcPr/>
          <w:p>
            <w:pPr>
              <w:pStyle w:val="Compact"/>
              <w:jc w:val="left"/>
            </w:pPr>
            <w:r>
              <w:t xml:space="preserve">0.5</w:t>
            </w:r>
          </w:p>
        </w:tc>
        <w:tc>
          <w:tcPr/>
          <w:p>
            <w:pPr>
              <w:pStyle w:val="Compact"/>
              <w:jc w:val="center"/>
            </w:pPr>
            <w:r>
              <w:t xml:space="preserve">0.52</w:t>
            </w:r>
            <m:oMath>
              <m:r>
                <m:rPr>
                  <m:sty m:val="p"/>
                </m:rPr>
                <m:t>±</m:t>
              </m:r>
            </m:oMath>
            <w:r>
              <w:t xml:space="preserve">0.13</w:t>
            </w:r>
          </w:p>
        </w:tc>
        <w:tc>
          <w:tcPr/>
          <w:p>
            <w:pPr>
              <w:pStyle w:val="Compact"/>
              <w:jc w:val="center"/>
            </w:pPr>
            <w:r>
              <w:t xml:space="preserve">0.45</w:t>
            </w:r>
            <m:oMath>
              <m:r>
                <m:rPr>
                  <m:sty m:val="p"/>
                </m:rPr>
                <m:t>±</m:t>
              </m:r>
            </m:oMath>
            <w:r>
              <w:t xml:space="preserve">0.10</w:t>
            </w:r>
          </w:p>
        </w:tc>
        <w:tc>
          <w:tcPr/>
          <w:p>
            <w:pPr>
              <w:pStyle w:val="Compact"/>
              <w:jc w:val="center"/>
            </w:pPr>
            <w:r>
              <w:t xml:space="preserve">0.48</w:t>
            </w:r>
            <m:oMath>
              <m:r>
                <m:rPr>
                  <m:sty m:val="p"/>
                </m:rPr>
                <m:t>±</m:t>
              </m:r>
            </m:oMath>
            <w:r>
              <w:t xml:space="preserve">0.13</w:t>
            </w:r>
          </w:p>
        </w:tc>
        <w:tc>
          <w:tcPr/>
          <w:p>
            <w:pPr>
              <w:pStyle w:val="Compact"/>
              <w:jc w:val="center"/>
            </w:pPr>
            <w:r>
              <w:t xml:space="preserve">0.51</w:t>
            </w:r>
            <m:oMath>
              <m:r>
                <m:rPr>
                  <m:sty m:val="p"/>
                </m:rPr>
                <m:t>±</m:t>
              </m:r>
            </m:oMath>
            <w:r>
              <w:t xml:space="preserve">0.09</w:t>
            </w:r>
          </w:p>
        </w:tc>
        <w:tc>
          <w:tcPr/>
          <w:p>
            <w:pPr>
              <w:pStyle w:val="Compact"/>
              <w:jc w:val="center"/>
            </w:pPr>
            <w:r>
              <w:t xml:space="preserve">0.30</w:t>
            </w:r>
            <m:oMath>
              <m:r>
                <m:rPr>
                  <m:sty m:val="p"/>
                </m:rPr>
                <m:t>±</m:t>
              </m:r>
            </m:oMath>
            <w:r>
              <w:t xml:space="preserve">0.06</w:t>
            </w:r>
          </w:p>
        </w:tc>
      </w:tr>
      <w:tr>
        <w:tc>
          <w:tcPr/>
          <w:p>
            <w:pPr>
              <w:pStyle w:val="Compact"/>
            </w:pPr>
          </w:p>
        </w:tc>
        <w:tc>
          <w:tcPr/>
          <w:p>
            <w:pPr>
              <w:pStyle w:val="Compact"/>
              <w:jc w:val="left"/>
            </w:pPr>
            <w:r>
              <w:t xml:space="preserve">0.35</w:t>
            </w:r>
          </w:p>
        </w:tc>
        <w:tc>
          <w:tcPr/>
          <w:p>
            <w:pPr>
              <w:pStyle w:val="Compact"/>
              <w:jc w:val="center"/>
            </w:pPr>
            <w:r>
              <w:t xml:space="preserve">0.42</w:t>
            </w:r>
            <m:oMath>
              <m:r>
                <m:rPr>
                  <m:sty m:val="p"/>
                </m:rPr>
                <m:t>±</m:t>
              </m:r>
            </m:oMath>
            <w:r>
              <w:t xml:space="preserve">0.11</w:t>
            </w:r>
          </w:p>
        </w:tc>
        <w:tc>
          <w:tcPr/>
          <w:p>
            <w:pPr>
              <w:pStyle w:val="Compact"/>
              <w:jc w:val="center"/>
            </w:pPr>
            <w:r>
              <w:t xml:space="preserve">0.32</w:t>
            </w:r>
            <m:oMath>
              <m:r>
                <m:rPr>
                  <m:sty m:val="p"/>
                </m:rPr>
                <m:t>±</m:t>
              </m:r>
            </m:oMath>
            <w:r>
              <w:t xml:space="preserve">0.08</w:t>
            </w:r>
          </w:p>
        </w:tc>
        <w:tc>
          <w:tcPr/>
          <w:p>
            <w:pPr>
              <w:pStyle w:val="Compact"/>
              <w:jc w:val="center"/>
            </w:pPr>
            <w:r>
              <w:t xml:space="preserve">0.36</w:t>
            </w:r>
            <m:oMath>
              <m:r>
                <m:rPr>
                  <m:sty m:val="p"/>
                </m:rPr>
                <m:t>±</m:t>
              </m:r>
            </m:oMath>
            <w:r>
              <w:t xml:space="preserve">0.10</w:t>
            </w:r>
          </w:p>
        </w:tc>
        <w:tc>
          <w:tcPr/>
          <w:p>
            <w:pPr>
              <w:pStyle w:val="Compact"/>
              <w:jc w:val="center"/>
            </w:pPr>
            <w:r>
              <w:t xml:space="preserve">0.40</w:t>
            </w:r>
            <m:oMath>
              <m:r>
                <m:rPr>
                  <m:sty m:val="p"/>
                </m:rPr>
                <m:t>±</m:t>
              </m:r>
            </m:oMath>
            <w:r>
              <w:t xml:space="preserve">0.07</w:t>
            </w:r>
          </w:p>
        </w:tc>
        <w:tc>
          <w:tcPr/>
          <w:p>
            <w:pPr>
              <w:pStyle w:val="Compact"/>
              <w:jc w:val="center"/>
            </w:pPr>
            <w:r>
              <w:t xml:space="preserve">0.22</w:t>
            </w:r>
            <m:oMath>
              <m:r>
                <m:rPr>
                  <m:sty m:val="p"/>
                </m:rPr>
                <m:t>±</m:t>
              </m:r>
            </m:oMath>
            <w:r>
              <w:t xml:space="preserve">0.04</w:t>
            </w:r>
          </w:p>
        </w:tc>
      </w:tr>
      <w:tr>
        <w:tc>
          <w:tcPr/>
          <w:p>
            <w:pPr>
              <w:pStyle w:val="Compact"/>
              <w:jc w:val="left"/>
            </w:pPr>
            <w:r>
              <w:t xml:space="preserve">Outage</w:t>
            </w:r>
          </w:p>
        </w:tc>
        <w:tc>
          <w:tcPr/>
          <w:p>
            <w:pPr>
              <w:pStyle w:val="Compact"/>
              <w:jc w:val="left"/>
            </w:pPr>
            <w:r>
              <w:t xml:space="preserve">1</w:t>
            </w:r>
          </w:p>
        </w:tc>
        <w:tc>
          <w:tcPr/>
          <w:p>
            <w:pPr>
              <w:pStyle w:val="Compact"/>
              <w:jc w:val="center"/>
            </w:pPr>
            <w:r>
              <w:t xml:space="preserve">0.82</w:t>
            </w:r>
            <m:oMath>
              <m:r>
                <m:rPr>
                  <m:sty m:val="p"/>
                </m:rPr>
                <m:t>±</m:t>
              </m:r>
            </m:oMath>
            <w:r>
              <w:t xml:space="preserve">0.03</w:t>
            </w:r>
          </w:p>
        </w:tc>
        <w:tc>
          <w:tcPr/>
          <w:p>
            <w:pPr>
              <w:pStyle w:val="Compact"/>
              <w:jc w:val="center"/>
            </w:pPr>
            <w:r>
              <w:t xml:space="preserve">0.80</w:t>
            </w:r>
            <m:oMath>
              <m:r>
                <m:rPr>
                  <m:sty m:val="p"/>
                </m:rPr>
                <m:t>±</m:t>
              </m:r>
            </m:oMath>
            <w:r>
              <w:t xml:space="preserve">0.06</w:t>
            </w:r>
          </w:p>
        </w:tc>
        <w:tc>
          <w:tcPr/>
          <w:p>
            <w:pPr>
              <w:pStyle w:val="Compact"/>
              <w:jc w:val="center"/>
            </w:pPr>
            <w:r>
              <w:t xml:space="preserve">0.80</w:t>
            </w:r>
            <m:oMath>
              <m:r>
                <m:rPr>
                  <m:sty m:val="p"/>
                </m:rPr>
                <m:t>±</m:t>
              </m:r>
            </m:oMath>
            <w:r>
              <w:t xml:space="preserve">0.06</w:t>
            </w:r>
          </w:p>
        </w:tc>
        <w:tc>
          <w:tcPr/>
          <w:p>
            <w:pPr>
              <w:pStyle w:val="Compact"/>
              <w:jc w:val="center"/>
            </w:pPr>
            <w:r>
              <w:t xml:space="preserve">0.78</w:t>
            </w:r>
            <m:oMath>
              <m:r>
                <m:rPr>
                  <m:sty m:val="p"/>
                </m:rPr>
                <m:t>±</m:t>
              </m:r>
            </m:oMath>
            <w:r>
              <w:t xml:space="preserve">0.07</w:t>
            </w:r>
          </w:p>
        </w:tc>
        <w:tc>
          <w:tcPr/>
          <w:p>
            <w:pPr>
              <w:pStyle w:val="Compact"/>
              <w:jc w:val="center"/>
            </w:pPr>
            <w:r>
              <w:t xml:space="preserve">0.65</w:t>
            </w:r>
            <m:oMath>
              <m:r>
                <m:rPr>
                  <m:sty m:val="p"/>
                </m:rPr>
                <m:t>±</m:t>
              </m:r>
            </m:oMath>
            <w:r>
              <w:t xml:space="preserve">0.07</w:t>
            </w:r>
          </w:p>
        </w:tc>
      </w:tr>
      <w:tr>
        <w:tc>
          <w:tcPr/>
          <w:p>
            <w:pPr>
              <w:pStyle w:val="Compact"/>
            </w:pPr>
          </w:p>
        </w:tc>
        <w:tc>
          <w:tcPr/>
          <w:p>
            <w:pPr>
              <w:pStyle w:val="Compact"/>
              <w:jc w:val="left"/>
            </w:pPr>
            <w:r>
              <w:t xml:space="preserve">0.7</w:t>
            </w:r>
          </w:p>
        </w:tc>
        <w:tc>
          <w:tcPr/>
          <w:p>
            <w:pPr>
              <w:pStyle w:val="Compact"/>
              <w:jc w:val="center"/>
            </w:pPr>
            <w:r>
              <w:t xml:space="preserve">0.71</w:t>
            </w:r>
            <m:oMath>
              <m:r>
                <m:rPr>
                  <m:sty m:val="p"/>
                </m:rPr>
                <m:t>±</m:t>
              </m:r>
            </m:oMath>
            <w:r>
              <w:t xml:space="preserve">0.03</w:t>
            </w:r>
          </w:p>
        </w:tc>
        <w:tc>
          <w:tcPr/>
          <w:p>
            <w:pPr>
              <w:pStyle w:val="Compact"/>
              <w:jc w:val="center"/>
            </w:pPr>
            <w:r>
              <w:t xml:space="preserve">0.53</w:t>
            </w:r>
            <m:oMath>
              <m:r>
                <m:rPr>
                  <m:sty m:val="p"/>
                </m:rPr>
                <m:t>±</m:t>
              </m:r>
            </m:oMath>
            <w:r>
              <w:t xml:space="preserve">0.08</w:t>
            </w:r>
          </w:p>
        </w:tc>
        <w:tc>
          <w:tcPr/>
          <w:p>
            <w:pPr>
              <w:pStyle w:val="Compact"/>
              <w:jc w:val="center"/>
            </w:pPr>
            <w:r>
              <w:t xml:space="preserve">0.61</w:t>
            </w:r>
            <m:oMath>
              <m:r>
                <m:rPr>
                  <m:sty m:val="p"/>
                </m:rPr>
                <m:t>±</m:t>
              </m:r>
            </m:oMath>
            <w:r>
              <w:t xml:space="preserve">0.06</w:t>
            </w:r>
          </w:p>
        </w:tc>
        <w:tc>
          <w:tcPr/>
          <w:p>
            <w:pPr>
              <w:pStyle w:val="Compact"/>
              <w:jc w:val="center"/>
            </w:pPr>
            <w:r>
              <w:t xml:space="preserve">0.44</w:t>
            </w:r>
            <m:oMath>
              <m:r>
                <m:rPr>
                  <m:sty m:val="p"/>
                </m:rPr>
                <m:t>±</m:t>
              </m:r>
            </m:oMath>
            <w:r>
              <w:t xml:space="preserve">0.06</w:t>
            </w:r>
          </w:p>
        </w:tc>
        <w:tc>
          <w:tcPr/>
          <w:p>
            <w:pPr>
              <w:pStyle w:val="Compact"/>
              <w:jc w:val="center"/>
            </w:pPr>
            <w:r>
              <w:t xml:space="preserve">0.35</w:t>
            </w:r>
            <m:oMath>
              <m:r>
                <m:rPr>
                  <m:sty m:val="p"/>
                </m:rPr>
                <m:t>±</m:t>
              </m:r>
            </m:oMath>
            <w:r>
              <w:t xml:space="preserve">0.04</w:t>
            </w:r>
          </w:p>
        </w:tc>
      </w:tr>
      <w:tr>
        <w:tc>
          <w:tcPr/>
          <w:p>
            <w:pPr>
              <w:pStyle w:val="Compact"/>
            </w:pPr>
          </w:p>
        </w:tc>
        <w:tc>
          <w:tcPr/>
          <w:p>
            <w:pPr>
              <w:pStyle w:val="Compact"/>
              <w:jc w:val="left"/>
            </w:pPr>
            <w:r>
              <w:t xml:space="preserve">0.5</w:t>
            </w:r>
          </w:p>
        </w:tc>
        <w:tc>
          <w:tcPr/>
          <w:p>
            <w:pPr>
              <w:pStyle w:val="Compact"/>
              <w:jc w:val="center"/>
            </w:pPr>
            <w:r>
              <w:t xml:space="preserve">0.57</w:t>
            </w:r>
            <m:oMath>
              <m:r>
                <m:rPr>
                  <m:sty m:val="p"/>
                </m:rPr>
                <m:t>±</m:t>
              </m:r>
            </m:oMath>
            <w:r>
              <w:t xml:space="preserve">0.05</w:t>
            </w:r>
          </w:p>
        </w:tc>
        <w:tc>
          <w:tcPr/>
          <w:p>
            <w:pPr>
              <w:pStyle w:val="Compact"/>
              <w:jc w:val="center"/>
            </w:pPr>
            <w:r>
              <w:t xml:space="preserve">0.33</w:t>
            </w:r>
            <m:oMath>
              <m:r>
                <m:rPr>
                  <m:sty m:val="p"/>
                </m:rPr>
                <m:t>±</m:t>
              </m:r>
            </m:oMath>
            <w:r>
              <w:t xml:space="preserve">0.05</w:t>
            </w:r>
          </w:p>
        </w:tc>
        <w:tc>
          <w:tcPr/>
          <w:p>
            <w:pPr>
              <w:pStyle w:val="Compact"/>
              <w:jc w:val="center"/>
            </w:pPr>
            <w:r>
              <w:t xml:space="preserve">0.43</w:t>
            </w:r>
            <m:oMath>
              <m:r>
                <m:rPr>
                  <m:sty m:val="p"/>
                </m:rPr>
                <m:t>±</m:t>
              </m:r>
            </m:oMath>
            <w:r>
              <w:t xml:space="preserve">0.05</w:t>
            </w:r>
          </w:p>
        </w:tc>
        <w:tc>
          <w:tcPr/>
          <w:p>
            <w:pPr>
              <w:pStyle w:val="Compact"/>
              <w:jc w:val="center"/>
            </w:pPr>
            <w:r>
              <w:t xml:space="preserve">0.28</w:t>
            </w:r>
            <m:oMath>
              <m:r>
                <m:rPr>
                  <m:sty m:val="p"/>
                </m:rPr>
                <m:t>±</m:t>
              </m:r>
            </m:oMath>
            <w:r>
              <w:t xml:space="preserve">0.06</w:t>
            </w:r>
          </w:p>
        </w:tc>
        <w:tc>
          <w:tcPr/>
          <w:p>
            <w:pPr>
              <w:pStyle w:val="Compact"/>
              <w:jc w:val="center"/>
            </w:pPr>
            <w:r>
              <w:t xml:space="preserve">0.23</w:t>
            </w:r>
            <m:oMath>
              <m:r>
                <m:rPr>
                  <m:sty m:val="p"/>
                </m:rPr>
                <m:t>±</m:t>
              </m:r>
            </m:oMath>
            <w:r>
              <w:t xml:space="preserve">0.04</w:t>
            </w:r>
          </w:p>
        </w:tc>
      </w:tr>
      <w:tr>
        <w:tc>
          <w:tcPr/>
          <w:p>
            <w:pPr>
              <w:pStyle w:val="Compact"/>
            </w:pPr>
          </w:p>
        </w:tc>
        <w:tc>
          <w:tcPr/>
          <w:p>
            <w:pPr>
              <w:pStyle w:val="Compact"/>
              <w:jc w:val="left"/>
            </w:pPr>
            <w:r>
              <w:t xml:space="preserve">0.35</w:t>
            </w:r>
          </w:p>
        </w:tc>
        <w:tc>
          <w:tcPr/>
          <w:p>
            <w:pPr>
              <w:pStyle w:val="Compact"/>
              <w:jc w:val="center"/>
            </w:pPr>
            <w:r>
              <w:t xml:space="preserve">0.43</w:t>
            </w:r>
            <m:oMath>
              <m:r>
                <m:rPr>
                  <m:sty m:val="p"/>
                </m:rPr>
                <m:t>±</m:t>
              </m:r>
            </m:oMath>
            <w:r>
              <w:t xml:space="preserve">0.03</w:t>
            </w:r>
          </w:p>
        </w:tc>
        <w:tc>
          <w:tcPr/>
          <w:p>
            <w:pPr>
              <w:pStyle w:val="Compact"/>
              <w:jc w:val="center"/>
            </w:pPr>
            <w:r>
              <w:t xml:space="preserve">0.24</w:t>
            </w:r>
            <m:oMath>
              <m:r>
                <m:rPr>
                  <m:sty m:val="p"/>
                </m:rPr>
                <m:t>±</m:t>
              </m:r>
            </m:oMath>
            <w:r>
              <w:t xml:space="preserve">0.02</w:t>
            </w:r>
          </w:p>
        </w:tc>
        <w:tc>
          <w:tcPr/>
          <w:p>
            <w:pPr>
              <w:pStyle w:val="Compact"/>
              <w:jc w:val="center"/>
            </w:pPr>
            <w:r>
              <w:t xml:space="preserve">0.31</w:t>
            </w:r>
            <m:oMath>
              <m:r>
                <m:rPr>
                  <m:sty m:val="p"/>
                </m:rPr>
                <m:t>±</m:t>
              </m:r>
            </m:oMath>
            <w:r>
              <w:t xml:space="preserve">0.03</w:t>
            </w:r>
          </w:p>
        </w:tc>
        <w:tc>
          <w:tcPr/>
          <w:p>
            <w:pPr>
              <w:pStyle w:val="Compact"/>
              <w:jc w:val="center"/>
            </w:pPr>
            <w:r>
              <w:t xml:space="preserve">0.21</w:t>
            </w:r>
            <m:oMath>
              <m:r>
                <m:rPr>
                  <m:sty m:val="p"/>
                </m:rPr>
                <m:t>±</m:t>
              </m:r>
            </m:oMath>
            <w:r>
              <w:t xml:space="preserve">0.03</w:t>
            </w:r>
          </w:p>
        </w:tc>
        <w:tc>
          <w:tcPr/>
          <w:p>
            <w:pPr>
              <w:pStyle w:val="Compact"/>
              <w:jc w:val="center"/>
            </w:pPr>
            <w:r>
              <w:t xml:space="preserve">0.17</w:t>
            </w:r>
            <m:oMath>
              <m:r>
                <m:rPr>
                  <m:sty m:val="p"/>
                </m:rPr>
                <m:t>±</m:t>
              </m:r>
            </m:oMath>
            <w:r>
              <w:t xml:space="preserve">0.01</w:t>
            </w:r>
          </w:p>
        </w:tc>
      </w:tr>
    </w:tbl>
    <w:bookmarkEnd w:id="90"/>
    <w:p>
      <w:pPr>
        <w:pStyle w:val="BodyText"/>
      </w:pPr>
      <w:r>
        <w:t xml:space="preserve">Table VIII lists raw SLO attainment and forwards per request against the sync period (Fig. 6). At</w:t>
      </w:r>
      <w:r>
        <w:t xml:space="preserve"> </w:t>
      </w:r>
      <m:oMath>
        <m:r>
          <m:t>ρ</m:t>
        </m:r>
        <m:r>
          <m:rPr>
            <m:sty m:val="p"/>
          </m:rPr>
          <m:t>=</m:t>
        </m:r>
        <m:r>
          <m:t>1.0</m:t>
        </m:r>
      </m:oMath>
      <w:r>
        <w:t xml:space="preserve">, shorter sync periods reduce forwarding by the capacity-proportional routers and with it their SLO attainment.</w:t>
      </w:r>
    </w:p>
    <w:bookmarkStart w:id="91" w:name="tab:stalefull"/>
    <w:p>
      <w:pPr>
        <w:pStyle w:val="TableCaption"/>
      </w:pPr>
      <w:r>
        <w:t xml:space="preserve">TABLE VIII. Raw SLO attainment and forwards per request vs. sync period</w:t>
      </w:r>
      <w:r>
        <w:t xml:space="preserve"> </w:t>
      </w:r>
      <m:oMath>
        <m:r>
          <m:t>H</m:t>
        </m:r>
      </m:oMath>
      <w:r>
        <w:t xml:space="preserve"> </w:t>
      </w:r>
      <w:r>
        <w:t xml:space="preserve">(10 seeds).</w:t>
      </w:r>
    </w:p>
    <w:tbl>
      <w:tblPr>
        <w:tblStyle w:val="Table"/>
        <w:tblW w:type="dxa" w:w="9360"/>
        <w:tblLook w:firstRow="0" w:lastRow="0" w:firstColumn="0" w:lastColumn="0" w:noHBand="0" w:noVBand="0" w:val="0000"/>
        <w:tblCaption w:val="TABLE VIII. Raw SLO attainment and forwards per request vs. sync period H (10 seeds)."/>
      </w:tblPr>
      <w:tblGrid>
        <w:gridCol w:w="802"/>
        <w:gridCol w:w="1337"/>
        <w:gridCol w:w="1337"/>
        <w:gridCol w:w="1070"/>
        <w:gridCol w:w="1337"/>
        <w:gridCol w:w="1070"/>
        <w:gridCol w:w="1337"/>
        <w:gridCol w:w="1070"/>
      </w:tblGrid>
      <w:tr>
        <w:tc>
          <w:tcPr/>
          <w:p>
            <w:pPr>
              <w:pStyle w:val="Compact"/>
            </w:pPr>
          </w:p>
        </w:tc>
        <w:tc>
          <w:tcPr/>
          <w:p>
            <w:pPr>
              <w:pStyle w:val="Compact"/>
            </w:pPr>
          </w:p>
        </w:tc>
        <w:tc>
          <w:tcPr>
            <w:gridSpan w:val="2"/>
          </w:tcPr>
          <w:p>
            <w:pPr>
              <w:pStyle w:val="Compact"/>
              <w:jc w:val="center"/>
            </w:pPr>
            <w:r>
              <w:t xml:space="preserve">Round-robin</w:t>
            </w:r>
          </w:p>
        </w:tc>
        <w:tc>
          <w:tcPr>
            <w:gridSpan w:val="2"/>
          </w:tcPr>
          <w:p>
            <w:pPr>
              <w:pStyle w:val="Compact"/>
              <w:jc w:val="center"/>
            </w:pPr>
            <w:r>
              <w:t xml:space="preserve">EPARA-style</w:t>
            </w:r>
          </w:p>
        </w:tc>
        <w:tc>
          <w:tcPr>
            <w:gridSpan w:val="2"/>
          </w:tcPr>
          <w:p>
            <w:pPr>
              <w:pStyle w:val="Compact"/>
              <w:jc w:val="center"/>
            </w:pPr>
            <w:r>
              <w:t xml:space="preserve">TF</w:t>
            </w:r>
          </w:p>
        </w:tc>
      </w:tr>
      <w:tr>
        <w:tc>
          <w:tcPr/>
          <w:p>
            <w:pPr>
              <w:pStyle w:val="Compact"/>
              <w:jc w:val="center"/>
            </w:pPr>
            <w:r>
              <w:t xml:space="preserve">​</w:t>
            </w:r>
            <m:oMath>
              <m:r>
                <m:t>ρ</m:t>
              </m:r>
            </m:oMath>
          </w:p>
        </w:tc>
        <w:tc>
          <w:tcPr/>
          <w:p>
            <w:pPr>
              <w:pStyle w:val="Compact"/>
              <w:jc w:val="center"/>
            </w:pPr>
            <m:oMath>
              <m:r>
                <m:t>H</m:t>
              </m:r>
            </m:oMath>
            <w:r>
              <w:t xml:space="preserve"> </w:t>
            </w:r>
            <w:r>
              <w:t xml:space="preserve">(s)</w:t>
            </w:r>
          </w:p>
        </w:tc>
        <w:tc>
          <w:tcPr/>
          <w:p>
            <w:pPr>
              <w:pStyle w:val="Compact"/>
              <w:jc w:val="center"/>
            </w:pPr>
            <w:r>
              <w:t xml:space="preserve">SLO</w:t>
            </w:r>
          </w:p>
        </w:tc>
        <w:tc>
          <w:tcPr/>
          <w:p>
            <w:pPr>
              <w:pStyle w:val="Compact"/>
              <w:jc w:val="center"/>
            </w:pPr>
            <w:r>
              <w:t xml:space="preserve">Fwd.</w:t>
            </w:r>
          </w:p>
        </w:tc>
        <w:tc>
          <w:tcPr/>
          <w:p>
            <w:pPr>
              <w:pStyle w:val="Compact"/>
              <w:jc w:val="center"/>
            </w:pPr>
            <w:r>
              <w:t xml:space="preserve">SLO</w:t>
            </w:r>
          </w:p>
        </w:tc>
        <w:tc>
          <w:tcPr/>
          <w:p>
            <w:pPr>
              <w:pStyle w:val="Compact"/>
              <w:jc w:val="center"/>
            </w:pPr>
            <w:r>
              <w:t xml:space="preserve">Fwd.</w:t>
            </w:r>
          </w:p>
        </w:tc>
        <w:tc>
          <w:tcPr/>
          <w:p>
            <w:pPr>
              <w:pStyle w:val="Compact"/>
              <w:jc w:val="center"/>
            </w:pPr>
            <w:r>
              <w:t xml:space="preserve">SLO</w:t>
            </w:r>
          </w:p>
        </w:tc>
        <w:tc>
          <w:tcPr/>
          <w:p>
            <w:pPr>
              <w:pStyle w:val="Compact"/>
              <w:jc w:val="center"/>
            </w:pPr>
            <w:r>
              <w:t xml:space="preserve">Fwd.</w:t>
            </w:r>
          </w:p>
        </w:tc>
      </w:tr>
      <w:tr>
        <w:tc>
          <w:tcPr/>
          <w:p>
            <w:pPr>
              <w:pStyle w:val="Compact"/>
              <w:jc w:val="center"/>
            </w:pPr>
            <w:r>
              <w:t xml:space="preserve">0.8</w:t>
            </w:r>
          </w:p>
        </w:tc>
        <w:tc>
          <w:tcPr/>
          <w:p>
            <w:pPr>
              <w:pStyle w:val="Compact"/>
              <w:jc w:val="center"/>
            </w:pPr>
            <w:r>
              <w:t xml:space="preserve">0.1</w:t>
            </w:r>
          </w:p>
        </w:tc>
        <w:tc>
          <w:tcPr/>
          <w:p>
            <w:pPr>
              <w:pStyle w:val="Compact"/>
              <w:jc w:val="center"/>
            </w:pPr>
            <w:r>
              <w:t xml:space="preserve">0.678</w:t>
            </w:r>
          </w:p>
        </w:tc>
        <w:tc>
          <w:tcPr/>
          <w:p>
            <w:pPr>
              <w:pStyle w:val="Compact"/>
              <w:jc w:val="center"/>
            </w:pPr>
            <w:r>
              <w:t xml:space="preserve">1.25</w:t>
            </w:r>
          </w:p>
        </w:tc>
        <w:tc>
          <w:tcPr/>
          <w:p>
            <w:pPr>
              <w:pStyle w:val="Compact"/>
              <w:jc w:val="center"/>
            </w:pPr>
            <w:r>
              <w:t xml:space="preserve">0.901</w:t>
            </w:r>
          </w:p>
        </w:tc>
        <w:tc>
          <w:tcPr/>
          <w:p>
            <w:pPr>
              <w:pStyle w:val="Compact"/>
              <w:jc w:val="center"/>
            </w:pPr>
            <w:r>
              <w:t xml:space="preserve">0.74</w:t>
            </w:r>
          </w:p>
        </w:tc>
        <w:tc>
          <w:tcPr/>
          <w:p>
            <w:pPr>
              <w:pStyle w:val="Compact"/>
              <w:jc w:val="center"/>
            </w:pPr>
            <w:r>
              <w:t xml:space="preserve">0.842</w:t>
            </w:r>
          </w:p>
        </w:tc>
        <w:tc>
          <w:tcPr/>
          <w:p>
            <w:pPr>
              <w:pStyle w:val="Compact"/>
              <w:jc w:val="center"/>
            </w:pPr>
            <w:r>
              <w:t xml:space="preserve">0.77</w:t>
            </w:r>
          </w:p>
        </w:tc>
      </w:tr>
      <w:tr>
        <w:tc>
          <w:tcPr/>
          <w:p>
            <w:pPr>
              <w:pStyle w:val="Compact"/>
              <w:jc w:val="center"/>
            </w:pPr>
            <w:r>
              <w:t xml:space="preserve">0.8</w:t>
            </w:r>
          </w:p>
        </w:tc>
        <w:tc>
          <w:tcPr/>
          <w:p>
            <w:pPr>
              <w:pStyle w:val="Compact"/>
              <w:jc w:val="center"/>
            </w:pPr>
            <w:r>
              <w:t xml:space="preserve">0.25</w:t>
            </w:r>
          </w:p>
        </w:tc>
        <w:tc>
          <w:tcPr/>
          <w:p>
            <w:pPr>
              <w:pStyle w:val="Compact"/>
              <w:jc w:val="center"/>
            </w:pPr>
            <w:r>
              <w:t xml:space="preserve">0.678</w:t>
            </w:r>
          </w:p>
        </w:tc>
        <w:tc>
          <w:tcPr/>
          <w:p>
            <w:pPr>
              <w:pStyle w:val="Compact"/>
              <w:jc w:val="center"/>
            </w:pPr>
            <w:r>
              <w:t xml:space="preserve">1.25</w:t>
            </w:r>
          </w:p>
        </w:tc>
        <w:tc>
          <w:tcPr/>
          <w:p>
            <w:pPr>
              <w:pStyle w:val="Compact"/>
              <w:jc w:val="center"/>
            </w:pPr>
            <w:r>
              <w:t xml:space="preserve">0.888</w:t>
            </w:r>
          </w:p>
        </w:tc>
        <w:tc>
          <w:tcPr/>
          <w:p>
            <w:pPr>
              <w:pStyle w:val="Compact"/>
              <w:jc w:val="center"/>
            </w:pPr>
            <w:r>
              <w:t xml:space="preserve">0.71</w:t>
            </w:r>
          </w:p>
        </w:tc>
        <w:tc>
          <w:tcPr/>
          <w:p>
            <w:pPr>
              <w:pStyle w:val="Compact"/>
              <w:jc w:val="center"/>
            </w:pPr>
            <w:r>
              <w:t xml:space="preserve">0.852</w:t>
            </w:r>
          </w:p>
        </w:tc>
        <w:tc>
          <w:tcPr/>
          <w:p>
            <w:pPr>
              <w:pStyle w:val="Compact"/>
              <w:jc w:val="center"/>
            </w:pPr>
            <w:r>
              <w:t xml:space="preserve">0.78</w:t>
            </w:r>
          </w:p>
        </w:tc>
      </w:tr>
      <w:tr>
        <w:tc>
          <w:tcPr/>
          <w:p>
            <w:pPr>
              <w:pStyle w:val="Compact"/>
              <w:jc w:val="center"/>
            </w:pPr>
            <w:r>
              <w:t xml:space="preserve">0.8</w:t>
            </w:r>
          </w:p>
        </w:tc>
        <w:tc>
          <w:tcPr/>
          <w:p>
            <w:pPr>
              <w:pStyle w:val="Compact"/>
              <w:jc w:val="center"/>
            </w:pPr>
            <w:r>
              <w:t xml:space="preserve">0.5</w:t>
            </w:r>
          </w:p>
        </w:tc>
        <w:tc>
          <w:tcPr/>
          <w:p>
            <w:pPr>
              <w:pStyle w:val="Compact"/>
              <w:jc w:val="center"/>
            </w:pPr>
            <w:r>
              <w:t xml:space="preserve">0.678</w:t>
            </w:r>
          </w:p>
        </w:tc>
        <w:tc>
          <w:tcPr/>
          <w:p>
            <w:pPr>
              <w:pStyle w:val="Compact"/>
              <w:jc w:val="center"/>
            </w:pPr>
            <w:r>
              <w:t xml:space="preserve">1.25</w:t>
            </w:r>
          </w:p>
        </w:tc>
        <w:tc>
          <w:tcPr/>
          <w:p>
            <w:pPr>
              <w:pStyle w:val="Compact"/>
              <w:jc w:val="center"/>
            </w:pPr>
            <w:r>
              <w:t xml:space="preserve">0.919</w:t>
            </w:r>
          </w:p>
        </w:tc>
        <w:tc>
          <w:tcPr/>
          <w:p>
            <w:pPr>
              <w:pStyle w:val="Compact"/>
              <w:jc w:val="center"/>
            </w:pPr>
            <w:r>
              <w:t xml:space="preserve">0.74</w:t>
            </w:r>
          </w:p>
        </w:tc>
        <w:tc>
          <w:tcPr/>
          <w:p>
            <w:pPr>
              <w:pStyle w:val="Compact"/>
              <w:jc w:val="center"/>
            </w:pPr>
            <w:r>
              <w:t xml:space="preserve">0.858</w:t>
            </w:r>
          </w:p>
        </w:tc>
        <w:tc>
          <w:tcPr/>
          <w:p>
            <w:pPr>
              <w:pStyle w:val="Compact"/>
              <w:jc w:val="center"/>
            </w:pPr>
            <w:r>
              <w:t xml:space="preserve">0.79</w:t>
            </w:r>
          </w:p>
        </w:tc>
      </w:tr>
      <w:tr>
        <w:tc>
          <w:tcPr/>
          <w:p>
            <w:pPr>
              <w:pStyle w:val="Compact"/>
              <w:jc w:val="center"/>
            </w:pPr>
            <w:r>
              <w:t xml:space="preserve">0.8</w:t>
            </w:r>
          </w:p>
        </w:tc>
        <w:tc>
          <w:tcPr/>
          <w:p>
            <w:pPr>
              <w:pStyle w:val="Compact"/>
              <w:jc w:val="center"/>
            </w:pPr>
            <w:r>
              <w:t xml:space="preserve">1</w:t>
            </w:r>
          </w:p>
        </w:tc>
        <w:tc>
          <w:tcPr/>
          <w:p>
            <w:pPr>
              <w:pStyle w:val="Compact"/>
              <w:jc w:val="center"/>
            </w:pPr>
            <w:r>
              <w:t xml:space="preserve">0.678</w:t>
            </w:r>
          </w:p>
        </w:tc>
        <w:tc>
          <w:tcPr/>
          <w:p>
            <w:pPr>
              <w:pStyle w:val="Compact"/>
              <w:jc w:val="center"/>
            </w:pPr>
            <w:r>
              <w:t xml:space="preserve">1.25</w:t>
            </w:r>
          </w:p>
        </w:tc>
        <w:tc>
          <w:tcPr/>
          <w:p>
            <w:pPr>
              <w:pStyle w:val="Compact"/>
              <w:jc w:val="center"/>
            </w:pPr>
            <w:r>
              <w:t xml:space="preserve">0.883</w:t>
            </w:r>
          </w:p>
        </w:tc>
        <w:tc>
          <w:tcPr/>
          <w:p>
            <w:pPr>
              <w:pStyle w:val="Compact"/>
              <w:jc w:val="center"/>
            </w:pPr>
            <w:r>
              <w:t xml:space="preserve">0.80</w:t>
            </w:r>
          </w:p>
        </w:tc>
        <w:tc>
          <w:tcPr/>
          <w:p>
            <w:pPr>
              <w:pStyle w:val="Compact"/>
              <w:jc w:val="center"/>
            </w:pPr>
            <w:r>
              <w:t xml:space="preserve">0.841</w:t>
            </w:r>
          </w:p>
        </w:tc>
        <w:tc>
          <w:tcPr/>
          <w:p>
            <w:pPr>
              <w:pStyle w:val="Compact"/>
              <w:jc w:val="center"/>
            </w:pPr>
            <w:r>
              <w:t xml:space="preserve">0.83</w:t>
            </w:r>
          </w:p>
        </w:tc>
      </w:tr>
      <w:tr>
        <w:tc>
          <w:tcPr/>
          <w:p>
            <w:pPr>
              <w:pStyle w:val="Compact"/>
              <w:jc w:val="center"/>
            </w:pPr>
            <w:r>
              <w:t xml:space="preserve">0.8</w:t>
            </w:r>
          </w:p>
        </w:tc>
        <w:tc>
          <w:tcPr/>
          <w:p>
            <w:pPr>
              <w:pStyle w:val="Compact"/>
              <w:jc w:val="center"/>
            </w:pPr>
            <w:r>
              <w:t xml:space="preserve">2</w:t>
            </w:r>
          </w:p>
        </w:tc>
        <w:tc>
          <w:tcPr/>
          <w:p>
            <w:pPr>
              <w:pStyle w:val="Compact"/>
              <w:jc w:val="center"/>
            </w:pPr>
            <w:r>
              <w:t xml:space="preserve">0.678</w:t>
            </w:r>
          </w:p>
        </w:tc>
        <w:tc>
          <w:tcPr/>
          <w:p>
            <w:pPr>
              <w:pStyle w:val="Compact"/>
              <w:jc w:val="center"/>
            </w:pPr>
            <w:r>
              <w:t xml:space="preserve">1.25</w:t>
            </w:r>
          </w:p>
        </w:tc>
        <w:tc>
          <w:tcPr/>
          <w:p>
            <w:pPr>
              <w:pStyle w:val="Compact"/>
              <w:jc w:val="center"/>
            </w:pPr>
            <w:r>
              <w:t xml:space="preserve">0.862</w:t>
            </w:r>
          </w:p>
        </w:tc>
        <w:tc>
          <w:tcPr/>
          <w:p>
            <w:pPr>
              <w:pStyle w:val="Compact"/>
              <w:jc w:val="center"/>
            </w:pPr>
            <w:r>
              <w:t xml:space="preserve">0.88</w:t>
            </w:r>
          </w:p>
        </w:tc>
        <w:tc>
          <w:tcPr/>
          <w:p>
            <w:pPr>
              <w:pStyle w:val="Compact"/>
              <w:jc w:val="center"/>
            </w:pPr>
            <w:r>
              <w:t xml:space="preserve">0.781</w:t>
            </w:r>
          </w:p>
        </w:tc>
        <w:tc>
          <w:tcPr/>
          <w:p>
            <w:pPr>
              <w:pStyle w:val="Compact"/>
              <w:jc w:val="center"/>
            </w:pPr>
            <w:r>
              <w:t xml:space="preserve">0.90</w:t>
            </w:r>
          </w:p>
        </w:tc>
      </w:tr>
      <w:tr>
        <w:tc>
          <w:tcPr/>
          <w:p>
            <w:pPr>
              <w:pStyle w:val="Compact"/>
              <w:jc w:val="center"/>
            </w:pPr>
            <w:r>
              <w:t xml:space="preserve">1</w:t>
            </w:r>
          </w:p>
        </w:tc>
        <w:tc>
          <w:tcPr/>
          <w:p>
            <w:pPr>
              <w:pStyle w:val="Compact"/>
              <w:jc w:val="center"/>
            </w:pPr>
            <w:r>
              <w:t xml:space="preserve">0.1</w:t>
            </w:r>
          </w:p>
        </w:tc>
        <w:tc>
          <w:tcPr/>
          <w:p>
            <w:pPr>
              <w:pStyle w:val="Compact"/>
              <w:jc w:val="center"/>
            </w:pPr>
            <w:r>
              <w:t xml:space="preserve">0.281</w:t>
            </w:r>
          </w:p>
        </w:tc>
        <w:tc>
          <w:tcPr/>
          <w:p>
            <w:pPr>
              <w:pStyle w:val="Compact"/>
              <w:jc w:val="center"/>
            </w:pPr>
            <w:r>
              <w:t xml:space="preserve">1.73</w:t>
            </w:r>
          </w:p>
        </w:tc>
        <w:tc>
          <w:tcPr/>
          <w:p>
            <w:pPr>
              <w:pStyle w:val="Compact"/>
              <w:jc w:val="center"/>
            </w:pPr>
            <w:r>
              <w:t xml:space="preserve">0.180</w:t>
            </w:r>
          </w:p>
        </w:tc>
        <w:tc>
          <w:tcPr/>
          <w:p>
            <w:pPr>
              <w:pStyle w:val="Compact"/>
              <w:jc w:val="center"/>
            </w:pPr>
            <w:r>
              <w:t xml:space="preserve">0.66</w:t>
            </w:r>
          </w:p>
        </w:tc>
        <w:tc>
          <w:tcPr/>
          <w:p>
            <w:pPr>
              <w:pStyle w:val="Compact"/>
              <w:jc w:val="center"/>
            </w:pPr>
            <w:r>
              <w:t xml:space="preserve">0.176</w:t>
            </w:r>
          </w:p>
        </w:tc>
        <w:tc>
          <w:tcPr/>
          <w:p>
            <w:pPr>
              <w:pStyle w:val="Compact"/>
              <w:jc w:val="center"/>
            </w:pPr>
            <w:r>
              <w:t xml:space="preserve">0.80</w:t>
            </w:r>
          </w:p>
        </w:tc>
      </w:tr>
      <w:tr>
        <w:tc>
          <w:tcPr/>
          <w:p>
            <w:pPr>
              <w:pStyle w:val="Compact"/>
              <w:jc w:val="center"/>
            </w:pPr>
            <w:r>
              <w:t xml:space="preserve">1</w:t>
            </w:r>
          </w:p>
        </w:tc>
        <w:tc>
          <w:tcPr/>
          <w:p>
            <w:pPr>
              <w:pStyle w:val="Compact"/>
              <w:jc w:val="center"/>
            </w:pPr>
            <w:r>
              <w:t xml:space="preserve">0.25</w:t>
            </w:r>
          </w:p>
        </w:tc>
        <w:tc>
          <w:tcPr/>
          <w:p>
            <w:pPr>
              <w:pStyle w:val="Compact"/>
              <w:jc w:val="center"/>
            </w:pPr>
            <w:r>
              <w:t xml:space="preserve">0.281</w:t>
            </w:r>
          </w:p>
        </w:tc>
        <w:tc>
          <w:tcPr/>
          <w:p>
            <w:pPr>
              <w:pStyle w:val="Compact"/>
              <w:jc w:val="center"/>
            </w:pPr>
            <w:r>
              <w:t xml:space="preserve">1.73</w:t>
            </w:r>
          </w:p>
        </w:tc>
        <w:tc>
          <w:tcPr/>
          <w:p>
            <w:pPr>
              <w:pStyle w:val="Compact"/>
              <w:jc w:val="center"/>
            </w:pPr>
            <w:r>
              <w:t xml:space="preserve">0.183</w:t>
            </w:r>
          </w:p>
        </w:tc>
        <w:tc>
          <w:tcPr/>
          <w:p>
            <w:pPr>
              <w:pStyle w:val="Compact"/>
              <w:jc w:val="center"/>
            </w:pPr>
            <w:r>
              <w:t xml:space="preserve">0.80</w:t>
            </w:r>
          </w:p>
        </w:tc>
        <w:tc>
          <w:tcPr/>
          <w:p>
            <w:pPr>
              <w:pStyle w:val="Compact"/>
              <w:jc w:val="center"/>
            </w:pPr>
            <w:r>
              <w:t xml:space="preserve">0.186</w:t>
            </w:r>
          </w:p>
        </w:tc>
        <w:tc>
          <w:tcPr/>
          <w:p>
            <w:pPr>
              <w:pStyle w:val="Compact"/>
              <w:jc w:val="center"/>
            </w:pPr>
            <w:r>
              <w:t xml:space="preserve">0.88</w:t>
            </w:r>
          </w:p>
        </w:tc>
      </w:tr>
      <w:tr>
        <w:tc>
          <w:tcPr/>
          <w:p>
            <w:pPr>
              <w:pStyle w:val="Compact"/>
              <w:jc w:val="center"/>
            </w:pPr>
            <w:r>
              <w:t xml:space="preserve">1</w:t>
            </w:r>
          </w:p>
        </w:tc>
        <w:tc>
          <w:tcPr/>
          <w:p>
            <w:pPr>
              <w:pStyle w:val="Compact"/>
              <w:jc w:val="center"/>
            </w:pPr>
            <w:r>
              <w:t xml:space="preserve">0.5</w:t>
            </w:r>
          </w:p>
        </w:tc>
        <w:tc>
          <w:tcPr/>
          <w:p>
            <w:pPr>
              <w:pStyle w:val="Compact"/>
              <w:jc w:val="center"/>
            </w:pPr>
            <w:r>
              <w:t xml:space="preserve">0.281</w:t>
            </w:r>
          </w:p>
        </w:tc>
        <w:tc>
          <w:tcPr/>
          <w:p>
            <w:pPr>
              <w:pStyle w:val="Compact"/>
              <w:jc w:val="center"/>
            </w:pPr>
            <w:r>
              <w:t xml:space="preserve">1.73</w:t>
            </w:r>
          </w:p>
        </w:tc>
        <w:tc>
          <w:tcPr/>
          <w:p>
            <w:pPr>
              <w:pStyle w:val="Compact"/>
              <w:jc w:val="center"/>
            </w:pPr>
            <w:r>
              <w:t xml:space="preserve">0.211</w:t>
            </w:r>
          </w:p>
        </w:tc>
        <w:tc>
          <w:tcPr/>
          <w:p>
            <w:pPr>
              <w:pStyle w:val="Compact"/>
              <w:jc w:val="center"/>
            </w:pPr>
            <w:r>
              <w:t xml:space="preserve">0.92</w:t>
            </w:r>
          </w:p>
        </w:tc>
        <w:tc>
          <w:tcPr/>
          <w:p>
            <w:pPr>
              <w:pStyle w:val="Compact"/>
              <w:jc w:val="center"/>
            </w:pPr>
            <w:r>
              <w:t xml:space="preserve">0.229</w:t>
            </w:r>
          </w:p>
        </w:tc>
        <w:tc>
          <w:tcPr/>
          <w:p>
            <w:pPr>
              <w:pStyle w:val="Compact"/>
              <w:jc w:val="center"/>
            </w:pPr>
            <w:r>
              <w:t xml:space="preserve">1.01</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0.281</w:t>
            </w:r>
          </w:p>
        </w:tc>
        <w:tc>
          <w:tcPr/>
          <w:p>
            <w:pPr>
              <w:pStyle w:val="Compact"/>
              <w:jc w:val="center"/>
            </w:pPr>
            <w:r>
              <w:t xml:space="preserve">1.73</w:t>
            </w:r>
          </w:p>
        </w:tc>
        <w:tc>
          <w:tcPr/>
          <w:p>
            <w:pPr>
              <w:pStyle w:val="Compact"/>
              <w:jc w:val="center"/>
            </w:pPr>
            <w:r>
              <w:t xml:space="preserve">0.236</w:t>
            </w:r>
          </w:p>
        </w:tc>
        <w:tc>
          <w:tcPr/>
          <w:p>
            <w:pPr>
              <w:pStyle w:val="Compact"/>
              <w:jc w:val="center"/>
            </w:pPr>
            <w:r>
              <w:t xml:space="preserve">1.03</w:t>
            </w:r>
          </w:p>
        </w:tc>
        <w:tc>
          <w:tcPr/>
          <w:p>
            <w:pPr>
              <w:pStyle w:val="Compact"/>
              <w:jc w:val="center"/>
            </w:pPr>
            <w:r>
              <w:t xml:space="preserve">0.289</w:t>
            </w:r>
          </w:p>
        </w:tc>
        <w:tc>
          <w:tcPr/>
          <w:p>
            <w:pPr>
              <w:pStyle w:val="Compact"/>
              <w:jc w:val="center"/>
            </w:pPr>
            <w:r>
              <w:t xml:space="preserve">1.08</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0.281</w:t>
            </w:r>
          </w:p>
        </w:tc>
        <w:tc>
          <w:tcPr/>
          <w:p>
            <w:pPr>
              <w:pStyle w:val="Compact"/>
              <w:jc w:val="center"/>
            </w:pPr>
            <w:r>
              <w:t xml:space="preserve">1.73</w:t>
            </w:r>
          </w:p>
        </w:tc>
        <w:tc>
          <w:tcPr/>
          <w:p>
            <w:pPr>
              <w:pStyle w:val="Compact"/>
              <w:jc w:val="center"/>
            </w:pPr>
            <w:r>
              <w:t xml:space="preserve">0.263</w:t>
            </w:r>
          </w:p>
        </w:tc>
        <w:tc>
          <w:tcPr/>
          <w:p>
            <w:pPr>
              <w:pStyle w:val="Compact"/>
              <w:jc w:val="center"/>
            </w:pPr>
            <w:r>
              <w:t xml:space="preserve">1.11</w:t>
            </w:r>
          </w:p>
        </w:tc>
        <w:tc>
          <w:tcPr/>
          <w:p>
            <w:pPr>
              <w:pStyle w:val="Compact"/>
              <w:jc w:val="center"/>
            </w:pPr>
            <w:r>
              <w:t xml:space="preserve">0.306</w:t>
            </w:r>
          </w:p>
        </w:tc>
        <w:tc>
          <w:tcPr/>
          <w:p>
            <w:pPr>
              <w:pStyle w:val="Compact"/>
              <w:jc w:val="center"/>
            </w:pPr>
            <w:r>
              <w:t xml:space="preserve">1.11</w:t>
            </w:r>
          </w:p>
        </w:tc>
      </w:tr>
    </w:tbl>
    <w:bookmarkEnd w:id="91"/>
    <w:bookmarkEnd w:id="92"/>
    <w:bookmarkStart w:id="93" w:name="appendix-b-simulator-details"/>
    <w:p>
      <w:pPr>
        <w:pStyle w:val="Heading1"/>
      </w:pPr>
      <w:r>
        <w:t xml:space="preserve">Appendix B: Simulator Details</w:t>
      </w:r>
    </w:p>
    <w:p>
      <w:pPr>
        <w:pStyle w:val="FirstParagraph"/>
      </w:pPr>
      <w:r>
        <w:t xml:space="preserve">The simulator processes arrivals in time order. Every</w:t>
      </w:r>
      <w:r>
        <w:t xml:space="preserve"> </w:t>
      </w:r>
      <m:oMath>
        <m:r>
          <m:t>H</m:t>
        </m:r>
      </m:oMath>
      <w:r>
        <w:t xml:space="preserve"> </w:t>
      </w:r>
      <w:r>
        <w:t xml:space="preserve">seconds it refreshes each server’s view of its peers: spare slots over the next</w:t>
      </w:r>
      <w:r>
        <w:t xml:space="preserve"> </w:t>
      </w:r>
      <m:oMath>
        <m:r>
          <m:rPr>
            <m:sty m:val="p"/>
          </m:rPr>
          <m:t>Δ</m:t>
        </m:r>
        <m:r>
          <m:rPr>
            <m:sty m:val="p"/>
          </m:rPr>
          <m:t>=</m:t>
        </m:r>
        <m:r>
          <m:t>0.5</m:t>
        </m:r>
      </m:oMath>
      <w:r>
        <w:t xml:space="preserve"> s, computed by clipping each slot’s remaining busy time to the horizon, and the energy headroom</w:t>
      </w:r>
      <w:r>
        <w:t xml:space="preserve"> </w:t>
      </w:r>
      <m:oMath>
        <m:sSub>
          <m:e>
            <m:r>
              <m:t>E</m:t>
            </m:r>
          </m:e>
          <m:sub>
            <m:r>
              <m:t>j</m:t>
            </m:r>
          </m:sub>
        </m:sSub>
        <m:r>
          <m:rPr>
            <m:sty m:val="p"/>
          </m:rPr>
          <m:t>/</m:t>
        </m:r>
        <m:sSub>
          <m:e>
            <m:r>
              <m:t>B</m:t>
            </m:r>
          </m:e>
          <m:sub>
            <m:r>
              <m:t>j</m:t>
            </m:r>
          </m:sub>
        </m:sSub>
      </m:oMath>
      <w:r>
        <w:t xml:space="preserve"> </w:t>
      </w:r>
      <w:r>
        <w:t xml:space="preserve">(zero for an offline server). Between refreshes, a server debits its view of a peer by the slots it has itself sent there, so different servers hold different views. A service occupying</w:t>
      </w:r>
      <w:r>
        <w:t xml:space="preserve"> </w:t>
      </w:r>
      <m:oMath>
        <m:r>
          <m:t>m</m:t>
        </m:r>
      </m:oMath>
      <w:r>
        <w:t xml:space="preserve"> </w:t>
      </w:r>
      <w:r>
        <w:t xml:space="preserve">slots starts when its</w:t>
      </w:r>
      <w:r>
        <w:t xml:space="preserve"> </w:t>
      </w:r>
      <m:oMath>
        <m:r>
          <m:t>m</m:t>
        </m:r>
      </m:oMath>
      <w:r>
        <w:t xml:space="preserve"> </w:t>
      </w:r>
      <w:r>
        <w:t xml:space="preserve">earliest-free slots are available. Energy is drawn when a job is committed, at</w:t>
      </w:r>
      <w:r>
        <w:t xml:space="preserve"> </w:t>
      </w:r>
      <m:oMath>
        <m:sSub>
          <m:e>
            <m:r>
              <m:t>P</m:t>
            </m:r>
          </m:e>
          <m:sub>
            <m:r>
              <m:t>s</m:t>
            </m:r>
          </m:sub>
        </m:sSub>
      </m:oMath>
      <w:r>
        <w:t xml:space="preserve"> </w:t>
      </w:r>
      <w:r>
        <w:t xml:space="preserve">per slot for its duration, and the buffer refills continuously at</w:t>
      </w:r>
      <w:r>
        <w:t xml:space="preserve"> </w:t>
      </w:r>
      <m:oMath>
        <m:sSub>
          <m:e>
            <m:acc>
              <m:accPr>
                <m:chr m:val="‾"/>
              </m:accPr>
              <m:e>
                <m:r>
                  <m:t>P</m:t>
                </m:r>
              </m:e>
            </m:acc>
          </m:e>
          <m:sub>
            <m:r>
              <m:t>j</m:t>
            </m:r>
          </m:sub>
        </m:sSub>
      </m:oMath>
      <w:r>
        <w:t xml:space="preserve">. Network latency is added per forward. A request is counted once, after a 5 s warm-up, as successful if it met its SLO and as a violation if it was served at an ineligible server. For each seed, the topology and the arrival sequence are identical across policies, which makes paired comparisons valid.</w:t>
      </w:r>
    </w:p>
    <w:p>
      <w:pPr>
        <w:pStyle w:val="BodyText"/>
      </w:pPr>
      <w:r>
        <w:rPr>
          <w:b/>
          <w:bCs/>
        </w:rPr>
        <w:t xml:space="preserve">[First Author Name]</w:t>
      </w:r>
      <w:r>
        <w:t xml:space="preserve"> </w:t>
      </w:r>
      <w:r>
        <w:t xml:space="preserve">is pursuing the [degree] in [field] at [University], [City], [Country]. [Research interests: edge computing, AI inference systems, ...]</w:t>
      </w:r>
    </w:p>
    <w:p>
      <w:pPr>
        <w:pStyle w:val="BodyText"/>
      </w:pPr>
      <w:r>
        <w:rPr>
          <w:b/>
          <w:bCs/>
        </w:rPr>
        <w:t xml:space="preserve">[Second Author Name]</w:t>
      </w:r>
      <w:r>
        <w:t xml:space="preserve"> </w:t>
      </w:r>
      <w:r>
        <w:t xml:space="preserve">is a [Professor/Associate Professor] with the [Department], [University]. [Research interests ...]</w:t>
      </w:r>
    </w:p>
    <w:bookmarkEnd w:id="93"/>
    <w:sectPr>
      <w:pgSz w:h="15840" w:w="12240"/>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val="en-US"/>
      </w:rPr>
    </w:rPrDefault>
    <w:pPrDefault>
      <w:pPr>
        <w:spacing w:after="12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rPr>
      <w:rFonts w:ascii="Times New Roman" w:cs="Times New Roman" w:eastAsia="Times New Roman" w:hAnsi="Times New Roman"/>
    </w:rPr>
  </w:style>
  <w:style w:customStyle="1" w:styleId="FirstParagraph" w:type="paragraph">
    <w:name w:val="First Paragraph"/>
    <w:basedOn w:val="BodyText"/>
    <w:next w:val="BodyText"/>
    <w:qFormat/>
    <w:pPr>
      <w:spacing w:after="120" w:before="0"/>
      <w:jc w:val="both"/>
    </w:pPr>
    <w:rPr>
      <w:rFonts w:ascii="Times New Roman" w:cs="Times New Roman" w:eastAsia="Times New Roman" w:hAnsi="Times New Roman"/>
    </w:rPr>
  </w:style>
  <w:style w:customStyle="1" w:styleId="Compact" w:type="paragraph">
    <w:name w:val="Compact"/>
    <w:basedOn w:val="BodyText"/>
    <w:qFormat/>
    <w:pPr>
      <w:spacing w:after="60" w:before="0"/>
      <w:jc w:val="both"/>
    </w:pPr>
    <w:rPr>
      <w:rFonts w:ascii="Times New Roman" w:cs="Times New Roman" w:eastAsia="Times New Roman" w:hAnsi="Times New Roman"/>
    </w:rPr>
  </w:style>
  <w:style w:styleId="Title" w:type="paragraph">
    <w:name w:val="Title"/>
    <w:basedOn w:val="Normal"/>
    <w:next w:val="BodyText"/>
    <w:link w:val="TitleChar"/>
    <w:uiPriority w:val="10"/>
    <w:qFormat/>
    <w:rsid w:val="00A10FD9"/>
    <w:pPr>
      <w:spacing w:after="160" w:before="0"/>
      <w:jc w:val="center"/>
    </w:pPr>
    <w:rPr>
      <w:rFonts w:ascii="Times New Roman" w:cs="Times New Roman" w:eastAsia="Times New Roman" w:hAnsi="Times New Roman"/>
      <w:color w:val="000000"/>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spacing w:after="80" w:before="0"/>
      <w:jc w:val="center"/>
    </w:pPr>
    <w:rPr>
      <w:rFonts w:ascii="Times New Roman" w:cs="Times New Roman" w:eastAsia="Times New Roman" w:hAnsi="Times New Roman"/>
      <w:color w:val="000000"/>
      <w:sz w:val="22"/>
      <w:szCs w:val="22"/>
    </w:rPr>
  </w:style>
  <w:style w:styleId="Date" w:type="paragraph">
    <w:name w:val="Date"/>
    <w:basedOn w:val="Title"/>
    <w:next w:val="BodyText"/>
    <w:qFormat/>
    <w:pPr>
      <w:keepNext/>
      <w:spacing w:after="240" w:before="0"/>
      <w:jc w:val="center"/>
    </w:pPr>
    <w:rPr>
      <w:rFonts w:ascii="Times New Roman" w:cs="Times New Roman" w:eastAsia="Times New Roman" w:hAnsi="Times New Roman"/>
      <w:color w:val="000000"/>
      <w:i/>
      <w:sz w:val="18"/>
      <w:szCs w:val="18"/>
    </w:rPr>
  </w:style>
  <w:style w:customStyle="1" w:styleId="AbstractTitle" w:type="paragraph">
    <w:name w:val="Abstract Title"/>
    <w:basedOn w:val="Normal"/>
    <w:next w:val="Abstract"/>
    <w:qFormat/>
    <w:pPr>
      <w:keepNext/>
      <w:spacing w:after="60" w:before="120"/>
      <w:jc w:val="left"/>
    </w:pPr>
    <w:rPr>
      <w:rFonts w:ascii="Times New Roman" w:cs="Times New Roman" w:eastAsia="Times New Roman" w:hAnsi="Times New Roman"/>
      <w:color w:val="000000"/>
      <w:b/>
      <w:i/>
      <w:sz w:val="20"/>
    </w:rPr>
  </w:style>
  <w:style w:customStyle="1" w:styleId="Abstract" w:type="paragraph">
    <w:name w:val="Abstract"/>
    <w:basedOn w:val="Normal"/>
    <w:next w:val="BodyText"/>
    <w:qFormat/>
    <w:pPr>
      <w:spacing w:after="200" w:before="0"/>
      <w:jc w:val="both"/>
    </w:pPr>
    <w:rPr>
      <w:rFonts w:ascii="Times New Roman" w:cs="Times New Roman" w:eastAsia="Times New Roman" w:hAnsi="Times New Roman"/>
      <w:b/>
      <w:sz w:val="20"/>
      <w:szCs w:val="20"/>
    </w:rPr>
  </w:style>
  <w:style w:styleId="Bibliography" w:type="paragraph">
    <w:name w:val="Bibliography"/>
    <w:basedOn w:val="Normal"/>
    <w:next w:val="Bibliography"/>
    <w:qFormat/>
    <w:pPr/>
    <w:rPr/>
    <w:pPr>
      <w:spacing w:after="60" w:before="0"/>
      <w:ind w:hanging="400" w:left="400"/>
    </w:pPr>
    <w:rPr>
      <w:rFonts w:ascii="Times New Roman" w:cs="Times New Roman" w:eastAsia="Times New Roman" w:hAnsi="Times New Roman"/>
      <w:sz w:val="18"/>
      <w:szCs w:val="18"/>
    </w:rPr>
  </w:style>
  <w:style w:styleId="Heading1" w:type="paragraph">
    <w:name w:val="heading 1"/>
    <w:basedOn w:val="Normal"/>
    <w:next w:val="BodyText"/>
    <w:link w:val="Heading1Char"/>
    <w:uiPriority w:val="9"/>
    <w:qFormat/>
    <w:rsid w:val="00A10FD9"/>
    <w:pPr>
      <w:keepNext/>
      <w:keepLines/>
      <w:spacing w:after="120" w:before="280"/>
      <w:jc w:val="center"/>
      <w:outlineLvl w:val="0"/>
    </w:pPr>
    <w:rPr>
      <w:rFonts w:ascii="Times New Roman" w:cs="Times New Roman" w:eastAsia="Times New Roman" w:hAnsi="Times New Roman"/>
      <w:color w:val="000000"/>
      <w:smallCaps/>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Times New Roman" w:cs="Times New Roman" w:eastAsia="Times New Roman" w:hAnsi="Times New Roman"/>
      <w:color w:val="000000"/>
      <w:i/>
      <w:sz w:val="22"/>
      <w:szCs w:val="2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pPr>
      <w:spacing w:after="20" w:before="20" w:line="240" w:lineRule="auto"/>
      <w:jc w:val="center"/>
    </w:pPr>
    <w:rPr>
      <w:sz w:val="18"/>
      <w:szCs w:val="18"/>
    </w:rPr>
    <w:tblPr>
      <w:jc w:val="center"/>
      <w:tblBorders>
        <w:top w:color="000000" w:space="0" w:sz="8" w:val="single"/>
        <w:bottom w:color="000000" w:space="0" w:sz="8" w:val="single"/>
      </w:tblBorders>
      <w:tblCellMar>
        <w:top w:type="dxa" w:w="20"/>
        <w:left w:type="dxa" w:w="80"/>
        <w:bottom w:type="dxa" w:w="20"/>
        <w:right w:type="dxa" w:w="80"/>
      </w:tblCellMar>
    </w:tblPr>
    <w:tblStylePr w:type="firstRow">
      <w:rPr>
        <w:b/>
      </w:rPr>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60"/>
      <w:jc w:val="both"/>
    </w:pPr>
    <w:rPr>
      <w:rFonts w:ascii="Times New Roman" w:cs="Times New Roman" w:eastAsia="Times New Roman" w:hAnsi="Times New Roman"/>
      <w:sz w:val="18"/>
      <w:szCs w:val="18"/>
    </w:rPr>
  </w:style>
  <w:style w:customStyle="1" w:styleId="TableCaption" w:type="paragraph">
    <w:name w:val="Table Caption"/>
    <w:basedOn w:val="Caption"/>
    <w:pPr>
      <w:keepNext/>
      <w:spacing w:after="160" w:before="60"/>
      <w:jc w:val="center"/>
    </w:pPr>
    <w:rPr>
      <w:rFonts w:ascii="Times New Roman" w:cs="Times New Roman" w:eastAsia="Times New Roman" w:hAnsi="Times New Roman"/>
      <w:sz w:val="18"/>
      <w:szCs w:val="18"/>
    </w:rPr>
  </w:style>
  <w:style w:customStyle="1" w:styleId="ImageCaption" w:type="paragraph">
    <w:name w:val="Image Caption"/>
    <w:basedOn w:val="Caption"/>
    <w:pPr>
      <w:spacing w:after="200" w:before="60"/>
      <w:jc w:val="both"/>
    </w:pPr>
    <w:rPr>
      <w:rFonts w:ascii="Times New Roman" w:cs="Times New Roman" w:eastAsia="Times New Roman" w:hAnsi="Times New Roman"/>
      <w:sz w:val="18"/>
      <w:szCs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hyperlink" Id="rId25" Target="https://github.com/gaurav3611/edge-cloud-ai-routing"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gaurav3611/edge-cloud-ai-rou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Trace: Trust-Constrained, Category-Aware Request Routing for AI Inference in Edge-Cloud Collaborative Systems</dc:title>
  <dc:creator>[First Author Name], [Student Member, IEEE]; [Second Author Name], [Member, IEEE]</dc:creator>
  <cp:keywords/>
  <dcterms:created xsi:type="dcterms:W3CDTF">2026-10-06T08:49:57Z</dcterms:created>
  <dcterms:modified xsi:type="dcterms:W3CDTF">2026-10-06T08:49:57Z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Edge-cloud collaborative systems increasingly serve AI inference—from image classification to large language models—on fragmented, heterogeneous edge servers. Recent frameworks such as EPARA raise edge goodput by categorizing requests by latency/frequency sensitivity and GPU demand and by offloading requests to peers in proportion to their idle capacity. These request handlers, however, treat every server that hosts a model as a valid destination and ignore the energy budgets of power-capped or battery-backed sites. We study what changes when both constraints are made explicit. We formalize trust-constrained routing, in which a request’s sensitivity restricts it to servers of sufficient clearance and, for the most sensitive data, to the origin’s trust domain, and we define compliant goodput as the rate of requests that are both timely and served lawfully. We propose Trace, a decentralized request router that adds a hard trust filter and a best-fit clearance preference to capacity-proportional offloading at a cost of tens of microseconds per decision. In an event-driven simulation of 30 heterogeneous edge servers serving the four EPARA request categories, trust-oblivious routers serve 17–20% of requests outside their trust boundary at every load. Trace eliminates these violations and raises compliant goodput by 22% over an EPARA-style router at 80% load, while staying within 2.3% of that router’s raw, partly unlawful, goodput. Best-fit clearance adds up to 5.1 percentage points of compliant SLO attainment when 40–60% of traffic is sensitive. We also report a negative result: weighting offload decisions by energy headroom, our original hypothesis, never significantly improves compliant SLO attainment and reduces it by 10–28 points under a hard-outage battery model. We show that this is not caused by stale information but by energy-aware routing being non-work-conserving. All parameters are documented assumptions, and the simulator is provided for reproduction.</vt:lpwstr>
  </property>
  <property fmtid="{D5CDD505-2E9C-101B-9397-08002B2CF9AE}" pid="3" name="bibliography">
    <vt:lpwstr>refs.bib</vt:lpwstr>
  </property>
  <property fmtid="{D5CDD505-2E9C-101B-9397-08002B2CF9AE}" pid="4" name="csl">
    <vt:lpwstr>docx_build/ieee.csl</vt:lpwstr>
  </property>
  <property fmtid="{D5CDD505-2E9C-101B-9397-08002B2CF9AE}" pid="5" name="date">
    <vt:lpwstr>[First Author Name] and [Second Author Name] are with the [Department], [University], [City], [Country] (e-mail: [first.author@university.edu]; [second.author@university.edu]). Manuscript received [Month Day, Year]; revised [Month Day, Year].</vt:lpwstr>
  </property>
</Properties>
</file>