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4848" w14:textId="77777777" w:rsidR="00961C4C" w:rsidRDefault="00961C4C" w:rsidP="00961C4C">
      <w:pPr>
        <w:spacing w:after="40"/>
      </w:pPr>
      <w:r>
        <w:rPr>
          <w:b/>
          <w:sz w:val="36"/>
        </w:rPr>
        <w:t>STRATEGY SPECIFICATION</w:t>
      </w:r>
    </w:p>
    <w:p w14:paraId="428FC3E7" w14:textId="77777777" w:rsidR="00961C4C" w:rsidRDefault="00961C4C" w:rsidP="00961C4C">
      <w:pPr>
        <w:spacing w:after="160"/>
      </w:pPr>
      <w:r>
        <w:rPr>
          <w:color w:val="5F6368"/>
          <w:sz w:val="23"/>
        </w:rPr>
        <w:t xml:space="preserve">SPY Daily Triple-AVWAP Confluence </w:t>
      </w:r>
      <w:proofErr w:type="spellStart"/>
      <w:r>
        <w:rPr>
          <w:color w:val="5F6368"/>
          <w:sz w:val="23"/>
        </w:rPr>
        <w:t>Backtest</w:t>
      </w:r>
      <w:proofErr w:type="spellEnd"/>
    </w:p>
    <w:p w14:paraId="205B5547" w14:textId="77777777" w:rsidR="00961C4C" w:rsidRDefault="00961C4C" w:rsidP="00961C4C">
      <w:pPr>
        <w:spacing w:after="20"/>
      </w:pPr>
      <w:r>
        <w:rPr>
          <w:b/>
        </w:rPr>
        <w:t xml:space="preserve">Owner: </w:t>
      </w:r>
      <w:r>
        <w:t>Strategy / Product</w:t>
      </w:r>
    </w:p>
    <w:p w14:paraId="6AE34EE5" w14:textId="77777777" w:rsidR="00961C4C" w:rsidRDefault="00961C4C" w:rsidP="00961C4C">
      <w:pPr>
        <w:spacing w:after="20"/>
      </w:pPr>
      <w:r>
        <w:rPr>
          <w:b/>
        </w:rPr>
        <w:t xml:space="preserve">Audience: </w:t>
      </w:r>
      <w:r>
        <w:t>Quant Engineer and Independent Reviewer</w:t>
      </w:r>
    </w:p>
    <w:p w14:paraId="2D5699AF" w14:textId="77777777" w:rsidR="00961C4C" w:rsidRDefault="00961C4C" w:rsidP="00961C4C">
      <w:pPr>
        <w:spacing w:after="20"/>
      </w:pPr>
      <w:r>
        <w:rPr>
          <w:b/>
        </w:rPr>
        <w:t xml:space="preserve">Status: </w:t>
      </w:r>
      <w:r>
        <w:t>Ready for implementation and review</w:t>
      </w:r>
    </w:p>
    <w:p w14:paraId="6E529707" w14:textId="0CA79826" w:rsidR="00961C4C" w:rsidRDefault="00437EF8" w:rsidP="00961C4C">
      <w:pPr>
        <w:spacing w:after="20"/>
      </w:pPr>
      <w:r>
        <w:rPr>
          <w:b/>
        </w:rPr>
        <w:t>I</w:t>
      </w:r>
      <w:r w:rsidR="00961C4C">
        <w:rPr>
          <w:b/>
        </w:rPr>
        <w:t xml:space="preserve">nstrument: </w:t>
      </w:r>
      <w:r w:rsidR="00961C4C">
        <w:t>SPY ETF (QQQ permitted only as a separately configured run)</w:t>
      </w:r>
    </w:p>
    <w:p w14:paraId="7178DA2E" w14:textId="24FAA92C" w:rsidR="00961C4C" w:rsidRDefault="00437EF8" w:rsidP="00961C4C">
      <w:pPr>
        <w:spacing w:after="20"/>
      </w:pPr>
      <w:r>
        <w:rPr>
          <w:b/>
        </w:rPr>
        <w:t>T</w:t>
      </w:r>
      <w:r w:rsidR="00961C4C">
        <w:rPr>
          <w:b/>
        </w:rPr>
        <w:t xml:space="preserve">imeframe: </w:t>
      </w:r>
      <w:r w:rsidR="00961C4C">
        <w:t>Daily bars</w:t>
      </w:r>
    </w:p>
    <w:p w14:paraId="4457139E" w14:textId="77777777" w:rsidR="00961C4C" w:rsidRDefault="00961C4C" w:rsidP="00961C4C">
      <w:pPr>
        <w:spacing w:after="20"/>
      </w:pPr>
      <w:r>
        <w:rPr>
          <w:b/>
        </w:rPr>
        <w:t xml:space="preserve">Version: </w:t>
      </w:r>
      <w:r>
        <w:t>2.0 | 22 August 2026</w:t>
      </w:r>
    </w:p>
    <w:p w14:paraId="5B986672" w14:textId="77777777" w:rsidR="00961C4C" w:rsidRDefault="00961C4C" w:rsidP="00961C4C">
      <w:pPr>
        <w:pBdr>
          <w:bottom w:val="single" w:sz="8" w:space="5" w:color="D5DBE1"/>
        </w:pBdr>
        <w:spacing w:after="160"/>
      </w:pPr>
    </w:p>
    <w:p w14:paraId="009EF949" w14:textId="77777777" w:rsidR="00961C4C" w:rsidRDefault="00961C4C" w:rsidP="00961C4C">
      <w:pPr>
        <w:pStyle w:val="Heading1"/>
      </w:pPr>
      <w:r>
        <w:t>Overview</w:t>
      </w:r>
    </w:p>
    <w:p w14:paraId="6DCE1F23" w14:textId="77777777" w:rsidR="00961C4C" w:rsidRDefault="00961C4C" w:rsidP="00961C4C">
      <w:r>
        <w:t xml:space="preserve">Build a causal daily swing </w:t>
      </w:r>
      <w:proofErr w:type="spellStart"/>
      <w:r>
        <w:t>backtest</w:t>
      </w:r>
      <w:proofErr w:type="spellEnd"/>
      <w:r>
        <w:t xml:space="preserve"> that looks for price rejection near at least two distinct institutional reference prices: year-start AVWAP, current-quarter AVWAP, and the AVWAP of the most recently confirmed major daily pivot. Enter at the next trading day's open and exit through fixed ATR stop, fixed ATR target, or a ten-trading-day time limit.</w:t>
      </w:r>
    </w:p>
    <w:p w14:paraId="178D75B5" w14:textId="77777777" w:rsidR="00961C4C" w:rsidRDefault="00961C4C" w:rsidP="00961C4C">
      <w:pPr>
        <w:pStyle w:val="Heading1"/>
      </w:pPr>
      <w:r>
        <w:t>Required input and data validation</w:t>
      </w:r>
    </w:p>
    <w:p w14:paraId="28E966AA" w14:textId="77777777" w:rsidR="00961C4C" w:rsidRDefault="00961C4C" w:rsidP="00961C4C">
      <w:pPr>
        <w:pStyle w:val="ListBullet"/>
        <w:tabs>
          <w:tab w:val="num" w:pos="360"/>
        </w:tabs>
        <w:ind w:left="360" w:hanging="360"/>
      </w:pPr>
      <w:r>
        <w:t xml:space="preserve">Input is one CSV containing daily SPY bars with symbol, </w:t>
      </w:r>
      <w:proofErr w:type="spellStart"/>
      <w:r>
        <w:t>timestamp_est</w:t>
      </w:r>
      <w:proofErr w:type="spellEnd"/>
      <w:r>
        <w:t>, open, high, low, close, and volume. QQQ may be evaluated only as a separate run with identical rules.</w:t>
      </w:r>
    </w:p>
    <w:p w14:paraId="1D144D4B" w14:textId="77777777" w:rsidR="00961C4C" w:rsidRDefault="00961C4C" w:rsidP="00961C4C">
      <w:pPr>
        <w:pStyle w:val="ListBullet"/>
        <w:tabs>
          <w:tab w:val="num" w:pos="360"/>
        </w:tabs>
        <w:ind w:left="360" w:hanging="360"/>
      </w:pPr>
      <w:r>
        <w:t>Convert timestamps to New York trading dates, sort oldest to newest, and reject duplicate timestamps or duplicate trading dates, invalid or non-finite OHLC, non-positive prices, non-positive volume, and invalid OHLC ordering.</w:t>
      </w:r>
    </w:p>
    <w:p w14:paraId="2EE5FF4D" w14:textId="77777777" w:rsidR="00961C4C" w:rsidRDefault="00961C4C" w:rsidP="00961C4C">
      <w:pPr>
        <w:pStyle w:val="ListBullet"/>
        <w:tabs>
          <w:tab w:val="num" w:pos="360"/>
        </w:tabs>
        <w:ind w:left="360" w:hanging="360"/>
      </w:pPr>
      <w:r>
        <w:t>Match rows to the official NYSE calendar. Reject weekend or non-session dates. If segments are separated by more than 14 calendar days, use the largest continuous segment and report every removed row.</w:t>
      </w:r>
    </w:p>
    <w:p w14:paraId="48800AA2" w14:textId="77777777" w:rsidR="00961C4C" w:rsidRDefault="00961C4C" w:rsidP="00961C4C">
      <w:pPr>
        <w:pStyle w:val="ListBullet"/>
        <w:tabs>
          <w:tab w:val="num" w:pos="360"/>
        </w:tabs>
        <w:ind w:left="360" w:hanging="360"/>
      </w:pPr>
      <w:r>
        <w:t>A partial first calendar year has no valid year-start anchor until the first NYSE session of the next year. A partial first quarter has no valid quarter-start anchor until the first session of the next quarter. Do not silently treat a mid-period file start as an anchor.</w:t>
      </w:r>
    </w:p>
    <w:p w14:paraId="7324C4A3" w14:textId="77777777" w:rsidR="00961C4C" w:rsidRDefault="00961C4C" w:rsidP="00961C4C">
      <w:pPr>
        <w:pStyle w:val="Heading1"/>
      </w:pPr>
      <w:r>
        <w:t>Starting parameters</w:t>
      </w:r>
    </w:p>
    <w:tbl>
      <w:tblPr>
        <w:tblStyle w:val="TableGrid"/>
        <w:tblW w:w="9360" w:type="dxa"/>
        <w:tblInd w:w="120" w:type="dxa"/>
        <w:tblLayout w:type="fixed"/>
        <w:tblLook w:val="04A0" w:firstRow="1" w:lastRow="0" w:firstColumn="1" w:lastColumn="0" w:noHBand="0" w:noVBand="1"/>
      </w:tblPr>
      <w:tblGrid>
        <w:gridCol w:w="2500"/>
        <w:gridCol w:w="1450"/>
        <w:gridCol w:w="5410"/>
      </w:tblGrid>
      <w:tr w:rsidR="00961C4C" w14:paraId="5EA257CB" w14:textId="77777777" w:rsidTr="00FA49FC">
        <w:trPr>
          <w:tblHeader/>
        </w:trPr>
        <w:tc>
          <w:tcPr>
            <w:tcW w:w="2500" w:type="dxa"/>
            <w:shd w:val="clear" w:color="auto" w:fill="1874C5"/>
            <w:tcMar>
              <w:top w:w="100" w:type="dxa"/>
              <w:left w:w="120" w:type="dxa"/>
              <w:bottom w:w="100" w:type="dxa"/>
              <w:right w:w="120" w:type="dxa"/>
            </w:tcMar>
            <w:vAlign w:val="center"/>
          </w:tcPr>
          <w:p w14:paraId="64988E9C" w14:textId="77777777" w:rsidR="00961C4C" w:rsidRDefault="00961C4C" w:rsidP="00FA49FC">
            <w:r>
              <w:rPr>
                <w:b/>
                <w:color w:val="FFFFFF"/>
                <w:sz w:val="17"/>
              </w:rPr>
              <w:t>Parameter</w:t>
            </w:r>
          </w:p>
        </w:tc>
        <w:tc>
          <w:tcPr>
            <w:tcW w:w="1450" w:type="dxa"/>
            <w:shd w:val="clear" w:color="auto" w:fill="1874C5"/>
            <w:tcMar>
              <w:top w:w="100" w:type="dxa"/>
              <w:left w:w="120" w:type="dxa"/>
              <w:bottom w:w="100" w:type="dxa"/>
              <w:right w:w="120" w:type="dxa"/>
            </w:tcMar>
            <w:vAlign w:val="center"/>
          </w:tcPr>
          <w:p w14:paraId="4BA3D801" w14:textId="77777777" w:rsidR="00961C4C" w:rsidRDefault="00961C4C" w:rsidP="00FA49FC">
            <w:r>
              <w:rPr>
                <w:b/>
                <w:color w:val="FFFFFF"/>
                <w:sz w:val="17"/>
              </w:rPr>
              <w:t>Baseline</w:t>
            </w:r>
          </w:p>
        </w:tc>
        <w:tc>
          <w:tcPr>
            <w:tcW w:w="5410" w:type="dxa"/>
            <w:shd w:val="clear" w:color="auto" w:fill="1874C5"/>
            <w:tcMar>
              <w:top w:w="100" w:type="dxa"/>
              <w:left w:w="120" w:type="dxa"/>
              <w:bottom w:w="100" w:type="dxa"/>
              <w:right w:w="120" w:type="dxa"/>
            </w:tcMar>
            <w:vAlign w:val="center"/>
          </w:tcPr>
          <w:p w14:paraId="67A27654" w14:textId="77777777" w:rsidR="00961C4C" w:rsidRDefault="00961C4C" w:rsidP="00FA49FC">
            <w:r>
              <w:rPr>
                <w:b/>
                <w:color w:val="FFFFFF"/>
                <w:sz w:val="17"/>
              </w:rPr>
              <w:t>Implementation meaning</w:t>
            </w:r>
          </w:p>
        </w:tc>
      </w:tr>
      <w:tr w:rsidR="00961C4C" w14:paraId="7466E4A2" w14:textId="77777777" w:rsidTr="00FA49FC">
        <w:tc>
          <w:tcPr>
            <w:tcW w:w="2500" w:type="dxa"/>
            <w:tcMar>
              <w:top w:w="100" w:type="dxa"/>
              <w:left w:w="120" w:type="dxa"/>
              <w:bottom w:w="100" w:type="dxa"/>
              <w:right w:w="120" w:type="dxa"/>
            </w:tcMar>
            <w:vAlign w:val="center"/>
          </w:tcPr>
          <w:p w14:paraId="150EFA70" w14:textId="77777777" w:rsidR="00961C4C" w:rsidRDefault="00961C4C" w:rsidP="00FA49FC">
            <w:pPr>
              <w:spacing w:after="0"/>
            </w:pPr>
            <w:r>
              <w:rPr>
                <w:b/>
                <w:sz w:val="16"/>
              </w:rPr>
              <w:t>INITIAL_CAPITAL</w:t>
            </w:r>
          </w:p>
        </w:tc>
        <w:tc>
          <w:tcPr>
            <w:tcW w:w="1450" w:type="dxa"/>
            <w:tcMar>
              <w:top w:w="100" w:type="dxa"/>
              <w:left w:w="120" w:type="dxa"/>
              <w:bottom w:w="100" w:type="dxa"/>
              <w:right w:w="120" w:type="dxa"/>
            </w:tcMar>
            <w:vAlign w:val="center"/>
          </w:tcPr>
          <w:p w14:paraId="7AAA5F8B" w14:textId="77777777" w:rsidR="00961C4C" w:rsidRDefault="00961C4C" w:rsidP="00FA49FC">
            <w:pPr>
              <w:spacing w:after="0"/>
            </w:pPr>
            <w:r>
              <w:rPr>
                <w:sz w:val="16"/>
              </w:rPr>
              <w:t>$100,000</w:t>
            </w:r>
          </w:p>
        </w:tc>
        <w:tc>
          <w:tcPr>
            <w:tcW w:w="5410" w:type="dxa"/>
            <w:tcMar>
              <w:top w:w="100" w:type="dxa"/>
              <w:left w:w="120" w:type="dxa"/>
              <w:bottom w:w="100" w:type="dxa"/>
              <w:right w:w="120" w:type="dxa"/>
            </w:tcMar>
            <w:vAlign w:val="center"/>
          </w:tcPr>
          <w:p w14:paraId="752054EC" w14:textId="77777777" w:rsidR="00961C4C" w:rsidRDefault="00961C4C" w:rsidP="00FA49FC">
            <w:pPr>
              <w:spacing w:after="0"/>
            </w:pPr>
            <w:r>
              <w:rPr>
                <w:sz w:val="16"/>
              </w:rPr>
              <w:t>Starting cash before the first usable daily bar.</w:t>
            </w:r>
          </w:p>
        </w:tc>
      </w:tr>
      <w:tr w:rsidR="00961C4C" w14:paraId="236B572A" w14:textId="77777777" w:rsidTr="00FA49FC">
        <w:tc>
          <w:tcPr>
            <w:tcW w:w="2500" w:type="dxa"/>
            <w:shd w:val="clear" w:color="auto" w:fill="F8FAFC"/>
            <w:tcMar>
              <w:top w:w="100" w:type="dxa"/>
              <w:left w:w="120" w:type="dxa"/>
              <w:bottom w:w="100" w:type="dxa"/>
              <w:right w:w="120" w:type="dxa"/>
            </w:tcMar>
            <w:vAlign w:val="center"/>
          </w:tcPr>
          <w:p w14:paraId="2A5E0148" w14:textId="77777777" w:rsidR="00961C4C" w:rsidRDefault="00961C4C" w:rsidP="00FA49FC">
            <w:pPr>
              <w:spacing w:after="0"/>
            </w:pPr>
            <w:r>
              <w:rPr>
                <w:b/>
                <w:sz w:val="16"/>
              </w:rPr>
              <w:t>INSTRUMENT</w:t>
            </w:r>
          </w:p>
        </w:tc>
        <w:tc>
          <w:tcPr>
            <w:tcW w:w="1450" w:type="dxa"/>
            <w:shd w:val="clear" w:color="auto" w:fill="F8FAFC"/>
            <w:tcMar>
              <w:top w:w="100" w:type="dxa"/>
              <w:left w:w="120" w:type="dxa"/>
              <w:bottom w:w="100" w:type="dxa"/>
              <w:right w:w="120" w:type="dxa"/>
            </w:tcMar>
            <w:vAlign w:val="center"/>
          </w:tcPr>
          <w:p w14:paraId="7363E651" w14:textId="77777777" w:rsidR="00961C4C" w:rsidRDefault="00961C4C" w:rsidP="00FA49FC">
            <w:pPr>
              <w:spacing w:after="0"/>
            </w:pPr>
            <w:r>
              <w:rPr>
                <w:sz w:val="16"/>
              </w:rPr>
              <w:t>SPY</w:t>
            </w:r>
          </w:p>
        </w:tc>
        <w:tc>
          <w:tcPr>
            <w:tcW w:w="5410" w:type="dxa"/>
            <w:shd w:val="clear" w:color="auto" w:fill="F8FAFC"/>
            <w:tcMar>
              <w:top w:w="100" w:type="dxa"/>
              <w:left w:w="120" w:type="dxa"/>
              <w:bottom w:w="100" w:type="dxa"/>
              <w:right w:w="120" w:type="dxa"/>
            </w:tcMar>
            <w:vAlign w:val="center"/>
          </w:tcPr>
          <w:p w14:paraId="5A87B659" w14:textId="77777777" w:rsidR="00961C4C" w:rsidRDefault="00961C4C" w:rsidP="00FA49FC">
            <w:pPr>
              <w:spacing w:after="0"/>
            </w:pPr>
            <w:r>
              <w:rPr>
                <w:sz w:val="16"/>
              </w:rPr>
              <w:t>Signal and execution instrument; QQQ is a separate run.</w:t>
            </w:r>
          </w:p>
        </w:tc>
      </w:tr>
      <w:tr w:rsidR="00961C4C" w14:paraId="4E47C8E6" w14:textId="77777777" w:rsidTr="00FA49FC">
        <w:tc>
          <w:tcPr>
            <w:tcW w:w="2500" w:type="dxa"/>
            <w:tcMar>
              <w:top w:w="100" w:type="dxa"/>
              <w:left w:w="120" w:type="dxa"/>
              <w:bottom w:w="100" w:type="dxa"/>
              <w:right w:w="120" w:type="dxa"/>
            </w:tcMar>
            <w:vAlign w:val="center"/>
          </w:tcPr>
          <w:p w14:paraId="67FBB023" w14:textId="77777777" w:rsidR="00961C4C" w:rsidRDefault="00961C4C" w:rsidP="00FA49FC">
            <w:pPr>
              <w:spacing w:after="0"/>
            </w:pPr>
            <w:r>
              <w:rPr>
                <w:b/>
                <w:sz w:val="16"/>
              </w:rPr>
              <w:t>TIMEFRAME</w:t>
            </w:r>
          </w:p>
        </w:tc>
        <w:tc>
          <w:tcPr>
            <w:tcW w:w="1450" w:type="dxa"/>
            <w:tcMar>
              <w:top w:w="100" w:type="dxa"/>
              <w:left w:w="120" w:type="dxa"/>
              <w:bottom w:w="100" w:type="dxa"/>
              <w:right w:w="120" w:type="dxa"/>
            </w:tcMar>
            <w:vAlign w:val="center"/>
          </w:tcPr>
          <w:p w14:paraId="3DA10C4D" w14:textId="77777777" w:rsidR="00961C4C" w:rsidRDefault="00961C4C" w:rsidP="00FA49FC">
            <w:pPr>
              <w:spacing w:after="0"/>
            </w:pPr>
            <w:r>
              <w:rPr>
                <w:sz w:val="16"/>
              </w:rPr>
              <w:t>Daily</w:t>
            </w:r>
          </w:p>
        </w:tc>
        <w:tc>
          <w:tcPr>
            <w:tcW w:w="5410" w:type="dxa"/>
            <w:tcMar>
              <w:top w:w="100" w:type="dxa"/>
              <w:left w:w="120" w:type="dxa"/>
              <w:bottom w:w="100" w:type="dxa"/>
              <w:right w:w="120" w:type="dxa"/>
            </w:tcMar>
            <w:vAlign w:val="center"/>
          </w:tcPr>
          <w:p w14:paraId="6661BACA" w14:textId="77777777" w:rsidR="00961C4C" w:rsidRDefault="00961C4C" w:rsidP="00FA49FC">
            <w:pPr>
              <w:spacing w:after="0"/>
            </w:pPr>
            <w:r>
              <w:rPr>
                <w:sz w:val="16"/>
              </w:rPr>
              <w:t>Four-hour bars are not part of Version 2.0.</w:t>
            </w:r>
          </w:p>
        </w:tc>
      </w:tr>
      <w:tr w:rsidR="00961C4C" w14:paraId="2B53C5D6" w14:textId="77777777" w:rsidTr="00FA49FC">
        <w:tc>
          <w:tcPr>
            <w:tcW w:w="2500" w:type="dxa"/>
            <w:shd w:val="clear" w:color="auto" w:fill="F8FAFC"/>
            <w:tcMar>
              <w:top w:w="100" w:type="dxa"/>
              <w:left w:w="120" w:type="dxa"/>
              <w:bottom w:w="100" w:type="dxa"/>
              <w:right w:w="120" w:type="dxa"/>
            </w:tcMar>
            <w:vAlign w:val="center"/>
          </w:tcPr>
          <w:p w14:paraId="32F30083" w14:textId="77777777" w:rsidR="00961C4C" w:rsidRDefault="00961C4C" w:rsidP="00FA49FC">
            <w:pPr>
              <w:spacing w:after="0"/>
            </w:pPr>
            <w:r>
              <w:rPr>
                <w:b/>
                <w:sz w:val="16"/>
              </w:rPr>
              <w:t>YEAR_ANCHOR</w:t>
            </w:r>
          </w:p>
        </w:tc>
        <w:tc>
          <w:tcPr>
            <w:tcW w:w="1450" w:type="dxa"/>
            <w:shd w:val="clear" w:color="auto" w:fill="F8FAFC"/>
            <w:tcMar>
              <w:top w:w="100" w:type="dxa"/>
              <w:left w:w="120" w:type="dxa"/>
              <w:bottom w:w="100" w:type="dxa"/>
              <w:right w:w="120" w:type="dxa"/>
            </w:tcMar>
            <w:vAlign w:val="center"/>
          </w:tcPr>
          <w:p w14:paraId="2F677D14" w14:textId="77777777" w:rsidR="00961C4C" w:rsidRDefault="00961C4C" w:rsidP="00FA49FC">
            <w:pPr>
              <w:spacing w:after="0"/>
            </w:pPr>
            <w:r>
              <w:rPr>
                <w:sz w:val="16"/>
              </w:rPr>
              <w:t>First NYSE session</w:t>
            </w:r>
          </w:p>
        </w:tc>
        <w:tc>
          <w:tcPr>
            <w:tcW w:w="5410" w:type="dxa"/>
            <w:shd w:val="clear" w:color="auto" w:fill="F8FAFC"/>
            <w:tcMar>
              <w:top w:w="100" w:type="dxa"/>
              <w:left w:w="120" w:type="dxa"/>
              <w:bottom w:w="100" w:type="dxa"/>
              <w:right w:w="120" w:type="dxa"/>
            </w:tcMar>
            <w:vAlign w:val="center"/>
          </w:tcPr>
          <w:p w14:paraId="303639CA" w14:textId="77777777" w:rsidR="00961C4C" w:rsidRDefault="00961C4C" w:rsidP="00FA49FC">
            <w:pPr>
              <w:spacing w:after="0"/>
            </w:pPr>
            <w:r>
              <w:rPr>
                <w:sz w:val="16"/>
              </w:rPr>
              <w:t>First trading bar of each calendar year.</w:t>
            </w:r>
          </w:p>
        </w:tc>
      </w:tr>
      <w:tr w:rsidR="00961C4C" w14:paraId="3D25F963" w14:textId="77777777" w:rsidTr="00FA49FC">
        <w:tc>
          <w:tcPr>
            <w:tcW w:w="2500" w:type="dxa"/>
            <w:tcMar>
              <w:top w:w="100" w:type="dxa"/>
              <w:left w:w="120" w:type="dxa"/>
              <w:bottom w:w="100" w:type="dxa"/>
              <w:right w:w="120" w:type="dxa"/>
            </w:tcMar>
            <w:vAlign w:val="center"/>
          </w:tcPr>
          <w:p w14:paraId="47D97936" w14:textId="77777777" w:rsidR="00961C4C" w:rsidRDefault="00961C4C" w:rsidP="00FA49FC">
            <w:pPr>
              <w:spacing w:after="0"/>
            </w:pPr>
            <w:r>
              <w:rPr>
                <w:b/>
                <w:sz w:val="16"/>
              </w:rPr>
              <w:t>QUARTER_ANCHOR</w:t>
            </w:r>
          </w:p>
        </w:tc>
        <w:tc>
          <w:tcPr>
            <w:tcW w:w="1450" w:type="dxa"/>
            <w:tcMar>
              <w:top w:w="100" w:type="dxa"/>
              <w:left w:w="120" w:type="dxa"/>
              <w:bottom w:w="100" w:type="dxa"/>
              <w:right w:w="120" w:type="dxa"/>
            </w:tcMar>
            <w:vAlign w:val="center"/>
          </w:tcPr>
          <w:p w14:paraId="7D0BD79E" w14:textId="77777777" w:rsidR="00961C4C" w:rsidRDefault="00961C4C" w:rsidP="00FA49FC">
            <w:pPr>
              <w:spacing w:after="0"/>
            </w:pPr>
            <w:r>
              <w:rPr>
                <w:sz w:val="16"/>
              </w:rPr>
              <w:t>First NYSE session</w:t>
            </w:r>
          </w:p>
        </w:tc>
        <w:tc>
          <w:tcPr>
            <w:tcW w:w="5410" w:type="dxa"/>
            <w:tcMar>
              <w:top w:w="100" w:type="dxa"/>
              <w:left w:w="120" w:type="dxa"/>
              <w:bottom w:w="100" w:type="dxa"/>
              <w:right w:w="120" w:type="dxa"/>
            </w:tcMar>
            <w:vAlign w:val="center"/>
          </w:tcPr>
          <w:p w14:paraId="4A5BC1C8" w14:textId="77777777" w:rsidR="00961C4C" w:rsidRDefault="00961C4C" w:rsidP="00FA49FC">
            <w:pPr>
              <w:spacing w:after="0"/>
            </w:pPr>
            <w:r>
              <w:rPr>
                <w:sz w:val="16"/>
              </w:rPr>
              <w:t>First trading bar of Jan/Apr/Jul/Oct quarter.</w:t>
            </w:r>
          </w:p>
        </w:tc>
      </w:tr>
      <w:tr w:rsidR="00961C4C" w14:paraId="51FADAF5" w14:textId="77777777" w:rsidTr="00FA49FC">
        <w:tc>
          <w:tcPr>
            <w:tcW w:w="2500" w:type="dxa"/>
            <w:shd w:val="clear" w:color="auto" w:fill="F8FAFC"/>
            <w:tcMar>
              <w:top w:w="100" w:type="dxa"/>
              <w:left w:w="120" w:type="dxa"/>
              <w:bottom w:w="100" w:type="dxa"/>
              <w:right w:w="120" w:type="dxa"/>
            </w:tcMar>
            <w:vAlign w:val="center"/>
          </w:tcPr>
          <w:p w14:paraId="74DD1BBC" w14:textId="77777777" w:rsidR="00961C4C" w:rsidRDefault="00961C4C" w:rsidP="00FA49FC">
            <w:pPr>
              <w:spacing w:after="0"/>
            </w:pPr>
            <w:r>
              <w:rPr>
                <w:b/>
                <w:sz w:val="16"/>
              </w:rPr>
              <w:t>PIVOT_LEFT</w:t>
            </w:r>
          </w:p>
        </w:tc>
        <w:tc>
          <w:tcPr>
            <w:tcW w:w="1450" w:type="dxa"/>
            <w:shd w:val="clear" w:color="auto" w:fill="F8FAFC"/>
            <w:tcMar>
              <w:top w:w="100" w:type="dxa"/>
              <w:left w:w="120" w:type="dxa"/>
              <w:bottom w:w="100" w:type="dxa"/>
              <w:right w:w="120" w:type="dxa"/>
            </w:tcMar>
            <w:vAlign w:val="center"/>
          </w:tcPr>
          <w:p w14:paraId="617DF428" w14:textId="77777777" w:rsidR="00961C4C" w:rsidRDefault="00961C4C" w:rsidP="00FA49FC">
            <w:pPr>
              <w:spacing w:after="0"/>
            </w:pPr>
            <w:r>
              <w:rPr>
                <w:sz w:val="16"/>
              </w:rPr>
              <w:t>10 bars</w:t>
            </w:r>
          </w:p>
        </w:tc>
        <w:tc>
          <w:tcPr>
            <w:tcW w:w="5410" w:type="dxa"/>
            <w:shd w:val="clear" w:color="auto" w:fill="F8FAFC"/>
            <w:tcMar>
              <w:top w:w="100" w:type="dxa"/>
              <w:left w:w="120" w:type="dxa"/>
              <w:bottom w:w="100" w:type="dxa"/>
              <w:right w:w="120" w:type="dxa"/>
            </w:tcMar>
            <w:vAlign w:val="center"/>
          </w:tcPr>
          <w:p w14:paraId="380C7BEC" w14:textId="77777777" w:rsidR="00961C4C" w:rsidRDefault="00961C4C" w:rsidP="00FA49FC">
            <w:pPr>
              <w:spacing w:after="0"/>
            </w:pPr>
            <w:r>
              <w:rPr>
                <w:sz w:val="16"/>
              </w:rPr>
              <w:t>Completed bars strictly before a pivot candidate.</w:t>
            </w:r>
          </w:p>
        </w:tc>
      </w:tr>
      <w:tr w:rsidR="00961C4C" w14:paraId="616D4B83" w14:textId="77777777" w:rsidTr="00FA49FC">
        <w:tc>
          <w:tcPr>
            <w:tcW w:w="2500" w:type="dxa"/>
            <w:tcMar>
              <w:top w:w="100" w:type="dxa"/>
              <w:left w:w="120" w:type="dxa"/>
              <w:bottom w:w="100" w:type="dxa"/>
              <w:right w:w="120" w:type="dxa"/>
            </w:tcMar>
            <w:vAlign w:val="center"/>
          </w:tcPr>
          <w:p w14:paraId="1FAEDB1F" w14:textId="77777777" w:rsidR="00961C4C" w:rsidRDefault="00961C4C" w:rsidP="00FA49FC">
            <w:pPr>
              <w:spacing w:after="0"/>
            </w:pPr>
            <w:r>
              <w:rPr>
                <w:b/>
                <w:sz w:val="16"/>
              </w:rPr>
              <w:t>PIVOT_RIGHT</w:t>
            </w:r>
          </w:p>
        </w:tc>
        <w:tc>
          <w:tcPr>
            <w:tcW w:w="1450" w:type="dxa"/>
            <w:tcMar>
              <w:top w:w="100" w:type="dxa"/>
              <w:left w:w="120" w:type="dxa"/>
              <w:bottom w:w="100" w:type="dxa"/>
              <w:right w:w="120" w:type="dxa"/>
            </w:tcMar>
            <w:vAlign w:val="center"/>
          </w:tcPr>
          <w:p w14:paraId="1219003E" w14:textId="77777777" w:rsidR="00961C4C" w:rsidRDefault="00961C4C" w:rsidP="00FA49FC">
            <w:pPr>
              <w:spacing w:after="0"/>
            </w:pPr>
            <w:r>
              <w:rPr>
                <w:sz w:val="16"/>
              </w:rPr>
              <w:t>10 bars</w:t>
            </w:r>
          </w:p>
        </w:tc>
        <w:tc>
          <w:tcPr>
            <w:tcW w:w="5410" w:type="dxa"/>
            <w:tcMar>
              <w:top w:w="100" w:type="dxa"/>
              <w:left w:w="120" w:type="dxa"/>
              <w:bottom w:w="100" w:type="dxa"/>
              <w:right w:w="120" w:type="dxa"/>
            </w:tcMar>
            <w:vAlign w:val="center"/>
          </w:tcPr>
          <w:p w14:paraId="642B050A" w14:textId="77777777" w:rsidR="00961C4C" w:rsidRDefault="00961C4C" w:rsidP="00FA49FC">
            <w:pPr>
              <w:spacing w:after="0"/>
            </w:pPr>
            <w:r>
              <w:rPr>
                <w:sz w:val="16"/>
              </w:rPr>
              <w:t>Completed bars required after the candidate before recognition.</w:t>
            </w:r>
          </w:p>
        </w:tc>
      </w:tr>
      <w:tr w:rsidR="00961C4C" w14:paraId="653DAC48" w14:textId="77777777" w:rsidTr="00FA49FC">
        <w:tc>
          <w:tcPr>
            <w:tcW w:w="2500" w:type="dxa"/>
            <w:shd w:val="clear" w:color="auto" w:fill="F8FAFC"/>
            <w:tcMar>
              <w:top w:w="100" w:type="dxa"/>
              <w:left w:w="120" w:type="dxa"/>
              <w:bottom w:w="100" w:type="dxa"/>
              <w:right w:w="120" w:type="dxa"/>
            </w:tcMar>
            <w:vAlign w:val="center"/>
          </w:tcPr>
          <w:p w14:paraId="38F6DC99" w14:textId="77777777" w:rsidR="00961C4C" w:rsidRDefault="00961C4C" w:rsidP="00FA49FC">
            <w:pPr>
              <w:spacing w:after="0"/>
            </w:pPr>
            <w:r>
              <w:rPr>
                <w:b/>
                <w:sz w:val="16"/>
              </w:rPr>
              <w:t>CONFLUENCE_THRESHOLD</w:t>
            </w:r>
          </w:p>
        </w:tc>
        <w:tc>
          <w:tcPr>
            <w:tcW w:w="1450" w:type="dxa"/>
            <w:shd w:val="clear" w:color="auto" w:fill="F8FAFC"/>
            <w:tcMar>
              <w:top w:w="100" w:type="dxa"/>
              <w:left w:w="120" w:type="dxa"/>
              <w:bottom w:w="100" w:type="dxa"/>
              <w:right w:w="120" w:type="dxa"/>
            </w:tcMar>
            <w:vAlign w:val="center"/>
          </w:tcPr>
          <w:p w14:paraId="7179A4A8" w14:textId="77777777" w:rsidR="00961C4C" w:rsidRDefault="00961C4C" w:rsidP="00FA49FC">
            <w:pPr>
              <w:spacing w:after="0"/>
            </w:pPr>
            <w:r>
              <w:rPr>
                <w:sz w:val="16"/>
              </w:rPr>
              <w:t>0.005</w:t>
            </w:r>
          </w:p>
        </w:tc>
        <w:tc>
          <w:tcPr>
            <w:tcW w:w="5410" w:type="dxa"/>
            <w:shd w:val="clear" w:color="auto" w:fill="F8FAFC"/>
            <w:tcMar>
              <w:top w:w="100" w:type="dxa"/>
              <w:left w:w="120" w:type="dxa"/>
              <w:bottom w:w="100" w:type="dxa"/>
              <w:right w:w="120" w:type="dxa"/>
            </w:tcMar>
            <w:vAlign w:val="center"/>
          </w:tcPr>
          <w:p w14:paraId="62AEC162" w14:textId="77777777" w:rsidR="00961C4C" w:rsidRDefault="00961C4C" w:rsidP="00FA49FC">
            <w:pPr>
              <w:spacing w:after="0"/>
            </w:pPr>
            <w:r>
              <w:rPr>
                <w:sz w:val="16"/>
              </w:rPr>
              <w:t>Close must be within 0.5% of at least two distinct AVWAP anchors.</w:t>
            </w:r>
          </w:p>
        </w:tc>
      </w:tr>
      <w:tr w:rsidR="00961C4C" w14:paraId="394246BC" w14:textId="77777777" w:rsidTr="00FA49FC">
        <w:tc>
          <w:tcPr>
            <w:tcW w:w="2500" w:type="dxa"/>
            <w:tcMar>
              <w:top w:w="100" w:type="dxa"/>
              <w:left w:w="120" w:type="dxa"/>
              <w:bottom w:w="100" w:type="dxa"/>
              <w:right w:w="120" w:type="dxa"/>
            </w:tcMar>
            <w:vAlign w:val="center"/>
          </w:tcPr>
          <w:p w14:paraId="0A0744A4" w14:textId="77777777" w:rsidR="00961C4C" w:rsidRDefault="00961C4C" w:rsidP="00FA49FC">
            <w:pPr>
              <w:spacing w:after="0"/>
            </w:pPr>
            <w:r>
              <w:rPr>
                <w:b/>
                <w:sz w:val="16"/>
              </w:rPr>
              <w:lastRenderedPageBreak/>
              <w:t>ATR_PERIOD</w:t>
            </w:r>
          </w:p>
        </w:tc>
        <w:tc>
          <w:tcPr>
            <w:tcW w:w="1450" w:type="dxa"/>
            <w:tcMar>
              <w:top w:w="100" w:type="dxa"/>
              <w:left w:w="120" w:type="dxa"/>
              <w:bottom w:w="100" w:type="dxa"/>
              <w:right w:w="120" w:type="dxa"/>
            </w:tcMar>
            <w:vAlign w:val="center"/>
          </w:tcPr>
          <w:p w14:paraId="53E0EC11" w14:textId="77777777" w:rsidR="00961C4C" w:rsidRDefault="00961C4C" w:rsidP="00FA49FC">
            <w:pPr>
              <w:spacing w:after="0"/>
            </w:pPr>
            <w:r>
              <w:rPr>
                <w:sz w:val="16"/>
              </w:rPr>
              <w:t>14</w:t>
            </w:r>
          </w:p>
        </w:tc>
        <w:tc>
          <w:tcPr>
            <w:tcW w:w="5410" w:type="dxa"/>
            <w:tcMar>
              <w:top w:w="100" w:type="dxa"/>
              <w:left w:w="120" w:type="dxa"/>
              <w:bottom w:w="100" w:type="dxa"/>
              <w:right w:w="120" w:type="dxa"/>
            </w:tcMar>
            <w:vAlign w:val="center"/>
          </w:tcPr>
          <w:p w14:paraId="76CD339F" w14:textId="77777777" w:rsidR="00961C4C" w:rsidRDefault="00961C4C" w:rsidP="00FA49FC">
            <w:pPr>
              <w:spacing w:after="0"/>
            </w:pPr>
            <w:r>
              <w:rPr>
                <w:sz w:val="16"/>
              </w:rPr>
              <w:t>Daily Wilder ATR.</w:t>
            </w:r>
          </w:p>
        </w:tc>
      </w:tr>
      <w:tr w:rsidR="00961C4C" w14:paraId="1A231DED" w14:textId="77777777" w:rsidTr="00FA49FC">
        <w:tc>
          <w:tcPr>
            <w:tcW w:w="2500" w:type="dxa"/>
            <w:shd w:val="clear" w:color="auto" w:fill="F8FAFC"/>
            <w:tcMar>
              <w:top w:w="100" w:type="dxa"/>
              <w:left w:w="120" w:type="dxa"/>
              <w:bottom w:w="100" w:type="dxa"/>
              <w:right w:w="120" w:type="dxa"/>
            </w:tcMar>
            <w:vAlign w:val="center"/>
          </w:tcPr>
          <w:p w14:paraId="3EA06A65" w14:textId="77777777" w:rsidR="00961C4C" w:rsidRDefault="00961C4C" w:rsidP="00FA49FC">
            <w:pPr>
              <w:spacing w:after="0"/>
            </w:pPr>
            <w:r>
              <w:rPr>
                <w:b/>
                <w:sz w:val="16"/>
              </w:rPr>
              <w:t>TP_R_MULT</w:t>
            </w:r>
          </w:p>
        </w:tc>
        <w:tc>
          <w:tcPr>
            <w:tcW w:w="1450" w:type="dxa"/>
            <w:shd w:val="clear" w:color="auto" w:fill="F8FAFC"/>
            <w:tcMar>
              <w:top w:w="100" w:type="dxa"/>
              <w:left w:w="120" w:type="dxa"/>
              <w:bottom w:w="100" w:type="dxa"/>
              <w:right w:w="120" w:type="dxa"/>
            </w:tcMar>
            <w:vAlign w:val="center"/>
          </w:tcPr>
          <w:p w14:paraId="2B1E8533" w14:textId="77777777" w:rsidR="00961C4C" w:rsidRDefault="00961C4C" w:rsidP="00FA49FC">
            <w:pPr>
              <w:spacing w:after="0"/>
            </w:pPr>
            <w:r>
              <w:rPr>
                <w:sz w:val="16"/>
              </w:rPr>
              <w:t>2.5</w:t>
            </w:r>
          </w:p>
        </w:tc>
        <w:tc>
          <w:tcPr>
            <w:tcW w:w="5410" w:type="dxa"/>
            <w:shd w:val="clear" w:color="auto" w:fill="F8FAFC"/>
            <w:tcMar>
              <w:top w:w="100" w:type="dxa"/>
              <w:left w:w="120" w:type="dxa"/>
              <w:bottom w:w="100" w:type="dxa"/>
              <w:right w:w="120" w:type="dxa"/>
            </w:tcMar>
            <w:vAlign w:val="center"/>
          </w:tcPr>
          <w:p w14:paraId="4CE8CD91" w14:textId="77777777" w:rsidR="00961C4C" w:rsidRDefault="00961C4C" w:rsidP="00FA49FC">
            <w:pPr>
              <w:spacing w:after="0"/>
            </w:pPr>
            <w:r>
              <w:rPr>
                <w:sz w:val="16"/>
              </w:rPr>
              <w:t>Fixed target distance from actual fill.</w:t>
            </w:r>
          </w:p>
        </w:tc>
      </w:tr>
      <w:tr w:rsidR="00961C4C" w14:paraId="0F7AB147" w14:textId="77777777" w:rsidTr="00FA49FC">
        <w:tc>
          <w:tcPr>
            <w:tcW w:w="2500" w:type="dxa"/>
            <w:tcMar>
              <w:top w:w="100" w:type="dxa"/>
              <w:left w:w="120" w:type="dxa"/>
              <w:bottom w:w="100" w:type="dxa"/>
              <w:right w:w="120" w:type="dxa"/>
            </w:tcMar>
            <w:vAlign w:val="center"/>
          </w:tcPr>
          <w:p w14:paraId="503FD64D" w14:textId="77777777" w:rsidR="00961C4C" w:rsidRDefault="00961C4C" w:rsidP="00FA49FC">
            <w:pPr>
              <w:spacing w:after="0"/>
            </w:pPr>
            <w:r>
              <w:rPr>
                <w:b/>
                <w:sz w:val="16"/>
              </w:rPr>
              <w:t>SL_R_MULT</w:t>
            </w:r>
          </w:p>
        </w:tc>
        <w:tc>
          <w:tcPr>
            <w:tcW w:w="1450" w:type="dxa"/>
            <w:tcMar>
              <w:top w:w="100" w:type="dxa"/>
              <w:left w:w="120" w:type="dxa"/>
              <w:bottom w:w="100" w:type="dxa"/>
              <w:right w:w="120" w:type="dxa"/>
            </w:tcMar>
            <w:vAlign w:val="center"/>
          </w:tcPr>
          <w:p w14:paraId="3C0D3392" w14:textId="77777777" w:rsidR="00961C4C" w:rsidRDefault="00961C4C" w:rsidP="00FA49FC">
            <w:pPr>
              <w:spacing w:after="0"/>
            </w:pPr>
            <w:r>
              <w:rPr>
                <w:sz w:val="16"/>
              </w:rPr>
              <w:t>1.0</w:t>
            </w:r>
          </w:p>
        </w:tc>
        <w:tc>
          <w:tcPr>
            <w:tcW w:w="5410" w:type="dxa"/>
            <w:tcMar>
              <w:top w:w="100" w:type="dxa"/>
              <w:left w:w="120" w:type="dxa"/>
              <w:bottom w:w="100" w:type="dxa"/>
              <w:right w:w="120" w:type="dxa"/>
            </w:tcMar>
            <w:vAlign w:val="center"/>
          </w:tcPr>
          <w:p w14:paraId="61803B95" w14:textId="77777777" w:rsidR="00961C4C" w:rsidRDefault="00961C4C" w:rsidP="00FA49FC">
            <w:pPr>
              <w:spacing w:after="0"/>
            </w:pPr>
            <w:r>
              <w:rPr>
                <w:sz w:val="16"/>
              </w:rPr>
              <w:t>Fixed stop distance and risk-per-share.</w:t>
            </w:r>
          </w:p>
        </w:tc>
      </w:tr>
      <w:tr w:rsidR="00961C4C" w14:paraId="77DA3A29" w14:textId="77777777" w:rsidTr="00FA49FC">
        <w:tc>
          <w:tcPr>
            <w:tcW w:w="2500" w:type="dxa"/>
            <w:shd w:val="clear" w:color="auto" w:fill="F8FAFC"/>
            <w:tcMar>
              <w:top w:w="100" w:type="dxa"/>
              <w:left w:w="120" w:type="dxa"/>
              <w:bottom w:w="100" w:type="dxa"/>
              <w:right w:w="120" w:type="dxa"/>
            </w:tcMar>
            <w:vAlign w:val="center"/>
          </w:tcPr>
          <w:p w14:paraId="70EFA4B7" w14:textId="77777777" w:rsidR="00961C4C" w:rsidRDefault="00961C4C" w:rsidP="00FA49FC">
            <w:pPr>
              <w:spacing w:after="0"/>
            </w:pPr>
            <w:r>
              <w:rPr>
                <w:b/>
                <w:sz w:val="16"/>
              </w:rPr>
              <w:t>RISK_FRACTION</w:t>
            </w:r>
          </w:p>
        </w:tc>
        <w:tc>
          <w:tcPr>
            <w:tcW w:w="1450" w:type="dxa"/>
            <w:shd w:val="clear" w:color="auto" w:fill="F8FAFC"/>
            <w:tcMar>
              <w:top w:w="100" w:type="dxa"/>
              <w:left w:w="120" w:type="dxa"/>
              <w:bottom w:w="100" w:type="dxa"/>
              <w:right w:w="120" w:type="dxa"/>
            </w:tcMar>
            <w:vAlign w:val="center"/>
          </w:tcPr>
          <w:p w14:paraId="348EFBF7" w14:textId="77777777" w:rsidR="00961C4C" w:rsidRDefault="00961C4C" w:rsidP="00FA49FC">
            <w:pPr>
              <w:spacing w:after="0"/>
            </w:pPr>
            <w:r>
              <w:rPr>
                <w:sz w:val="16"/>
              </w:rPr>
              <w:t>1%</w:t>
            </w:r>
          </w:p>
        </w:tc>
        <w:tc>
          <w:tcPr>
            <w:tcW w:w="5410" w:type="dxa"/>
            <w:shd w:val="clear" w:color="auto" w:fill="F8FAFC"/>
            <w:tcMar>
              <w:top w:w="100" w:type="dxa"/>
              <w:left w:w="120" w:type="dxa"/>
              <w:bottom w:w="100" w:type="dxa"/>
              <w:right w:w="120" w:type="dxa"/>
            </w:tcMar>
            <w:vAlign w:val="center"/>
          </w:tcPr>
          <w:p w14:paraId="6C64F364" w14:textId="77777777" w:rsidR="00961C4C" w:rsidRDefault="00961C4C" w:rsidP="00FA49FC">
            <w:pPr>
              <w:spacing w:after="0"/>
            </w:pPr>
            <w:r>
              <w:rPr>
                <w:sz w:val="16"/>
              </w:rPr>
              <w:t>Equity at signal close allocated to stop distance.</w:t>
            </w:r>
          </w:p>
        </w:tc>
      </w:tr>
      <w:tr w:rsidR="00961C4C" w14:paraId="780709E6" w14:textId="77777777" w:rsidTr="00FA49FC">
        <w:tc>
          <w:tcPr>
            <w:tcW w:w="2500" w:type="dxa"/>
            <w:tcMar>
              <w:top w:w="100" w:type="dxa"/>
              <w:left w:w="120" w:type="dxa"/>
              <w:bottom w:w="100" w:type="dxa"/>
              <w:right w:w="120" w:type="dxa"/>
            </w:tcMar>
            <w:vAlign w:val="center"/>
          </w:tcPr>
          <w:p w14:paraId="09F63A66" w14:textId="77777777" w:rsidR="00961C4C" w:rsidRDefault="00961C4C" w:rsidP="00FA49FC">
            <w:pPr>
              <w:spacing w:after="0"/>
            </w:pPr>
            <w:r>
              <w:rPr>
                <w:b/>
                <w:sz w:val="16"/>
              </w:rPr>
              <w:t>MAX_HOLDING_DAYS</w:t>
            </w:r>
          </w:p>
        </w:tc>
        <w:tc>
          <w:tcPr>
            <w:tcW w:w="1450" w:type="dxa"/>
            <w:tcMar>
              <w:top w:w="100" w:type="dxa"/>
              <w:left w:w="120" w:type="dxa"/>
              <w:bottom w:w="100" w:type="dxa"/>
              <w:right w:w="120" w:type="dxa"/>
            </w:tcMar>
            <w:vAlign w:val="center"/>
          </w:tcPr>
          <w:p w14:paraId="462B0623" w14:textId="77777777" w:rsidR="00961C4C" w:rsidRDefault="00961C4C" w:rsidP="00FA49FC">
            <w:pPr>
              <w:spacing w:after="0"/>
            </w:pPr>
            <w:r>
              <w:rPr>
                <w:sz w:val="16"/>
              </w:rPr>
              <w:t>10</w:t>
            </w:r>
          </w:p>
        </w:tc>
        <w:tc>
          <w:tcPr>
            <w:tcW w:w="5410" w:type="dxa"/>
            <w:tcMar>
              <w:top w:w="100" w:type="dxa"/>
              <w:left w:w="120" w:type="dxa"/>
              <w:bottom w:w="100" w:type="dxa"/>
              <w:right w:w="120" w:type="dxa"/>
            </w:tcMar>
            <w:vAlign w:val="center"/>
          </w:tcPr>
          <w:p w14:paraId="7B97578F" w14:textId="77777777" w:rsidR="00961C4C" w:rsidRDefault="00961C4C" w:rsidP="00FA49FC">
            <w:pPr>
              <w:spacing w:after="0"/>
            </w:pPr>
            <w:r>
              <w:rPr>
                <w:sz w:val="16"/>
              </w:rPr>
              <w:t>Entry day counts as holding day one.</w:t>
            </w:r>
          </w:p>
        </w:tc>
      </w:tr>
      <w:tr w:rsidR="00961C4C" w14:paraId="06FC9C53" w14:textId="77777777" w:rsidTr="00FA49FC">
        <w:tc>
          <w:tcPr>
            <w:tcW w:w="2500" w:type="dxa"/>
            <w:shd w:val="clear" w:color="auto" w:fill="F8FAFC"/>
            <w:tcMar>
              <w:top w:w="100" w:type="dxa"/>
              <w:left w:w="120" w:type="dxa"/>
              <w:bottom w:w="100" w:type="dxa"/>
              <w:right w:w="120" w:type="dxa"/>
            </w:tcMar>
            <w:vAlign w:val="center"/>
          </w:tcPr>
          <w:p w14:paraId="4113AD9F" w14:textId="77777777" w:rsidR="00961C4C" w:rsidRDefault="00961C4C" w:rsidP="00FA49FC">
            <w:pPr>
              <w:spacing w:after="0"/>
            </w:pPr>
            <w:r>
              <w:rPr>
                <w:b/>
                <w:sz w:val="16"/>
              </w:rPr>
              <w:t>MAX_OPEN_POSITIONS</w:t>
            </w:r>
          </w:p>
        </w:tc>
        <w:tc>
          <w:tcPr>
            <w:tcW w:w="1450" w:type="dxa"/>
            <w:shd w:val="clear" w:color="auto" w:fill="F8FAFC"/>
            <w:tcMar>
              <w:top w:w="100" w:type="dxa"/>
              <w:left w:w="120" w:type="dxa"/>
              <w:bottom w:w="100" w:type="dxa"/>
              <w:right w:w="120" w:type="dxa"/>
            </w:tcMar>
            <w:vAlign w:val="center"/>
          </w:tcPr>
          <w:p w14:paraId="2AF88A59" w14:textId="77777777" w:rsidR="00961C4C" w:rsidRDefault="00961C4C" w:rsidP="00FA49FC">
            <w:pPr>
              <w:spacing w:after="0"/>
            </w:pPr>
            <w:r>
              <w:rPr>
                <w:sz w:val="16"/>
              </w:rPr>
              <w:t>1</w:t>
            </w:r>
          </w:p>
        </w:tc>
        <w:tc>
          <w:tcPr>
            <w:tcW w:w="5410" w:type="dxa"/>
            <w:shd w:val="clear" w:color="auto" w:fill="F8FAFC"/>
            <w:tcMar>
              <w:top w:w="100" w:type="dxa"/>
              <w:left w:w="120" w:type="dxa"/>
              <w:bottom w:w="100" w:type="dxa"/>
              <w:right w:w="120" w:type="dxa"/>
            </w:tcMar>
            <w:vAlign w:val="center"/>
          </w:tcPr>
          <w:p w14:paraId="1BE04D27" w14:textId="77777777" w:rsidR="00961C4C" w:rsidRDefault="00961C4C" w:rsidP="00FA49FC">
            <w:pPr>
              <w:spacing w:after="0"/>
            </w:pPr>
            <w:r>
              <w:rPr>
                <w:sz w:val="16"/>
              </w:rPr>
              <w:t>No overlapping, pyramided, or simultaneous long/short positions.</w:t>
            </w:r>
          </w:p>
        </w:tc>
      </w:tr>
      <w:tr w:rsidR="00961C4C" w14:paraId="7B84D501" w14:textId="77777777" w:rsidTr="00FA49FC">
        <w:tc>
          <w:tcPr>
            <w:tcW w:w="2500" w:type="dxa"/>
            <w:tcMar>
              <w:top w:w="100" w:type="dxa"/>
              <w:left w:w="120" w:type="dxa"/>
              <w:bottom w:w="100" w:type="dxa"/>
              <w:right w:w="120" w:type="dxa"/>
            </w:tcMar>
            <w:vAlign w:val="center"/>
          </w:tcPr>
          <w:p w14:paraId="2405D6C0" w14:textId="77777777" w:rsidR="00961C4C" w:rsidRDefault="00961C4C" w:rsidP="00FA49FC">
            <w:pPr>
              <w:spacing w:after="0"/>
            </w:pPr>
            <w:r>
              <w:rPr>
                <w:b/>
                <w:sz w:val="16"/>
              </w:rPr>
              <w:t>COMMISSION</w:t>
            </w:r>
          </w:p>
        </w:tc>
        <w:tc>
          <w:tcPr>
            <w:tcW w:w="1450" w:type="dxa"/>
            <w:tcMar>
              <w:top w:w="100" w:type="dxa"/>
              <w:left w:w="120" w:type="dxa"/>
              <w:bottom w:w="100" w:type="dxa"/>
              <w:right w:w="120" w:type="dxa"/>
            </w:tcMar>
            <w:vAlign w:val="center"/>
          </w:tcPr>
          <w:p w14:paraId="0F0C38E1" w14:textId="77777777" w:rsidR="00961C4C" w:rsidRDefault="00961C4C" w:rsidP="00FA49FC">
            <w:pPr>
              <w:spacing w:after="0"/>
            </w:pPr>
            <w:r>
              <w:rPr>
                <w:sz w:val="16"/>
              </w:rPr>
              <w:t>$0.005/share/side</w:t>
            </w:r>
          </w:p>
        </w:tc>
        <w:tc>
          <w:tcPr>
            <w:tcW w:w="5410" w:type="dxa"/>
            <w:tcMar>
              <w:top w:w="100" w:type="dxa"/>
              <w:left w:w="120" w:type="dxa"/>
              <w:bottom w:w="100" w:type="dxa"/>
              <w:right w:w="120" w:type="dxa"/>
            </w:tcMar>
            <w:vAlign w:val="center"/>
          </w:tcPr>
          <w:p w14:paraId="62EEBAE5" w14:textId="77777777" w:rsidR="00961C4C" w:rsidRDefault="00961C4C" w:rsidP="00FA49FC">
            <w:pPr>
              <w:spacing w:after="0"/>
            </w:pPr>
            <w:r>
              <w:rPr>
                <w:sz w:val="16"/>
              </w:rPr>
              <w:t>Exact commission used in the baseline.</w:t>
            </w:r>
          </w:p>
        </w:tc>
      </w:tr>
      <w:tr w:rsidR="00961C4C" w14:paraId="6A5AE416" w14:textId="77777777" w:rsidTr="00FA49FC">
        <w:tc>
          <w:tcPr>
            <w:tcW w:w="2500" w:type="dxa"/>
            <w:shd w:val="clear" w:color="auto" w:fill="F8FAFC"/>
            <w:tcMar>
              <w:top w:w="100" w:type="dxa"/>
              <w:left w:w="120" w:type="dxa"/>
              <w:bottom w:w="100" w:type="dxa"/>
              <w:right w:w="120" w:type="dxa"/>
            </w:tcMar>
            <w:vAlign w:val="center"/>
          </w:tcPr>
          <w:p w14:paraId="31EC8432" w14:textId="77777777" w:rsidR="00961C4C" w:rsidRDefault="00961C4C" w:rsidP="00FA49FC">
            <w:pPr>
              <w:spacing w:after="0"/>
            </w:pPr>
            <w:r>
              <w:rPr>
                <w:b/>
                <w:sz w:val="16"/>
              </w:rPr>
              <w:t>SLIPPAGE</w:t>
            </w:r>
          </w:p>
        </w:tc>
        <w:tc>
          <w:tcPr>
            <w:tcW w:w="1450" w:type="dxa"/>
            <w:shd w:val="clear" w:color="auto" w:fill="F8FAFC"/>
            <w:tcMar>
              <w:top w:w="100" w:type="dxa"/>
              <w:left w:w="120" w:type="dxa"/>
              <w:bottom w:w="100" w:type="dxa"/>
              <w:right w:w="120" w:type="dxa"/>
            </w:tcMar>
            <w:vAlign w:val="center"/>
          </w:tcPr>
          <w:p w14:paraId="59983D51" w14:textId="77777777" w:rsidR="00961C4C" w:rsidRDefault="00961C4C" w:rsidP="00FA49FC">
            <w:pPr>
              <w:spacing w:after="0"/>
            </w:pPr>
            <w:r>
              <w:rPr>
                <w:sz w:val="16"/>
              </w:rPr>
              <w:t>1.0 bp/side</w:t>
            </w:r>
          </w:p>
        </w:tc>
        <w:tc>
          <w:tcPr>
            <w:tcW w:w="5410" w:type="dxa"/>
            <w:shd w:val="clear" w:color="auto" w:fill="F8FAFC"/>
            <w:tcMar>
              <w:top w:w="100" w:type="dxa"/>
              <w:left w:w="120" w:type="dxa"/>
              <w:bottom w:w="100" w:type="dxa"/>
              <w:right w:w="120" w:type="dxa"/>
            </w:tcMar>
            <w:vAlign w:val="center"/>
          </w:tcPr>
          <w:p w14:paraId="40752D62" w14:textId="77777777" w:rsidR="00961C4C" w:rsidRDefault="00961C4C" w:rsidP="00FA49FC">
            <w:pPr>
              <w:spacing w:after="0"/>
            </w:pPr>
            <w:r>
              <w:rPr>
                <w:sz w:val="16"/>
              </w:rPr>
              <w:t>Adverse fill adjustment used in the baseline.</w:t>
            </w:r>
          </w:p>
        </w:tc>
      </w:tr>
    </w:tbl>
    <w:p w14:paraId="3BED17E1" w14:textId="77777777" w:rsidR="00961C4C" w:rsidRDefault="00961C4C" w:rsidP="00961C4C">
      <w:pPr>
        <w:spacing w:after="20"/>
      </w:pPr>
    </w:p>
    <w:p w14:paraId="11B9DE32" w14:textId="77777777" w:rsidR="00961C4C" w:rsidRDefault="00961C4C" w:rsidP="00961C4C">
      <w:pPr>
        <w:pStyle w:val="Heading1"/>
      </w:pPr>
      <w:r>
        <w:t>Indicator and anchor definitions</w:t>
      </w:r>
    </w:p>
    <w:p w14:paraId="228DD445" w14:textId="77777777" w:rsidR="00961C4C" w:rsidRDefault="00961C4C" w:rsidP="00961C4C">
      <w:pPr>
        <w:pStyle w:val="Heading2"/>
      </w:pPr>
      <w:r>
        <w:t>Anchored VWAP</w:t>
      </w:r>
    </w:p>
    <w:p w14:paraId="36152612" w14:textId="77777777" w:rsidR="00961C4C" w:rsidRDefault="00961C4C" w:rsidP="00961C4C">
      <w:pPr>
        <w:pBdr>
          <w:left w:val="single" w:sz="18" w:space="6" w:color="1874C5"/>
        </w:pBdr>
        <w:shd w:val="clear" w:color="auto" w:fill="F4F6F8"/>
        <w:spacing w:before="60" w:after="120"/>
        <w:ind w:left="259" w:right="173"/>
      </w:pPr>
      <w:proofErr w:type="spellStart"/>
      <w:r>
        <w:rPr>
          <w:rFonts w:ascii="Consolas" w:hAnsi="Consolas"/>
          <w:sz w:val="17"/>
        </w:rPr>
        <w:t>typical_price</w:t>
      </w:r>
      <w:proofErr w:type="spellEnd"/>
      <w:r>
        <w:rPr>
          <w:rFonts w:ascii="Consolas" w:hAnsi="Consolas"/>
          <w:sz w:val="17"/>
        </w:rPr>
        <w:t>[t] = (high[t] + low[t] + close[t]) / 3</w:t>
      </w:r>
      <w:r>
        <w:rPr>
          <w:rFonts w:ascii="Consolas" w:hAnsi="Consolas"/>
          <w:sz w:val="17"/>
        </w:rPr>
        <w:br/>
      </w:r>
      <w:proofErr w:type="gramStart"/>
      <w:r>
        <w:rPr>
          <w:rFonts w:ascii="Consolas" w:hAnsi="Consolas"/>
          <w:sz w:val="17"/>
        </w:rPr>
        <w:t>AVWAP(</w:t>
      </w:r>
      <w:proofErr w:type="spellStart"/>
      <w:r>
        <w:rPr>
          <w:rFonts w:ascii="Consolas" w:hAnsi="Consolas"/>
          <w:sz w:val="17"/>
        </w:rPr>
        <w:t>anchor,t</w:t>
      </w:r>
      <w:proofErr w:type="spellEnd"/>
      <w:proofErr w:type="gramEnd"/>
      <w:r>
        <w:rPr>
          <w:rFonts w:ascii="Consolas" w:hAnsi="Consolas"/>
          <w:sz w:val="17"/>
        </w:rPr>
        <w:t>) = sum(</w:t>
      </w:r>
      <w:proofErr w:type="spellStart"/>
      <w:r>
        <w:rPr>
          <w:rFonts w:ascii="Consolas" w:hAnsi="Consolas"/>
          <w:sz w:val="17"/>
        </w:rPr>
        <w:t>typical_price</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 * volume[</w:t>
      </w:r>
      <w:proofErr w:type="spellStart"/>
      <w:r>
        <w:rPr>
          <w:rFonts w:ascii="Consolas" w:hAnsi="Consolas"/>
          <w:sz w:val="17"/>
        </w:rPr>
        <w:t>i</w:t>
      </w:r>
      <w:proofErr w:type="spellEnd"/>
      <w:r>
        <w:rPr>
          <w:rFonts w:ascii="Consolas" w:hAnsi="Consolas"/>
          <w:sz w:val="17"/>
        </w:rPr>
        <w:t xml:space="preserve">], </w:t>
      </w:r>
      <w:proofErr w:type="spellStart"/>
      <w:proofErr w:type="gramStart"/>
      <w:r>
        <w:rPr>
          <w:rFonts w:ascii="Consolas" w:hAnsi="Consolas"/>
          <w:sz w:val="17"/>
        </w:rPr>
        <w:t>anchor..</w:t>
      </w:r>
      <w:proofErr w:type="gramEnd"/>
      <w:r>
        <w:rPr>
          <w:rFonts w:ascii="Consolas" w:hAnsi="Consolas"/>
          <w:sz w:val="17"/>
        </w:rPr>
        <w:t>t</w:t>
      </w:r>
      <w:proofErr w:type="spellEnd"/>
      <w:r>
        <w:rPr>
          <w:rFonts w:ascii="Consolas" w:hAnsi="Consolas"/>
          <w:sz w:val="17"/>
        </w:rPr>
        <w:t>) / sum(volume[</w:t>
      </w:r>
      <w:proofErr w:type="spellStart"/>
      <w:r>
        <w:rPr>
          <w:rFonts w:ascii="Consolas" w:hAnsi="Consolas"/>
          <w:sz w:val="17"/>
        </w:rPr>
        <w:t>i</w:t>
      </w:r>
      <w:proofErr w:type="spellEnd"/>
      <w:r>
        <w:rPr>
          <w:rFonts w:ascii="Consolas" w:hAnsi="Consolas"/>
          <w:sz w:val="17"/>
        </w:rPr>
        <w:t xml:space="preserve">], </w:t>
      </w:r>
      <w:proofErr w:type="spellStart"/>
      <w:proofErr w:type="gramStart"/>
      <w:r>
        <w:rPr>
          <w:rFonts w:ascii="Consolas" w:hAnsi="Consolas"/>
          <w:sz w:val="17"/>
        </w:rPr>
        <w:t>anchor..</w:t>
      </w:r>
      <w:proofErr w:type="gramEnd"/>
      <w:r>
        <w:rPr>
          <w:rFonts w:ascii="Consolas" w:hAnsi="Consolas"/>
          <w:sz w:val="17"/>
        </w:rPr>
        <w:t>t</w:t>
      </w:r>
      <w:proofErr w:type="spellEnd"/>
      <w:r>
        <w:rPr>
          <w:rFonts w:ascii="Consolas" w:hAnsi="Consolas"/>
          <w:sz w:val="17"/>
        </w:rPr>
        <w:t>)</w:t>
      </w:r>
    </w:p>
    <w:p w14:paraId="6462538F" w14:textId="77777777" w:rsidR="00961C4C" w:rsidRDefault="00961C4C" w:rsidP="00961C4C">
      <w:r>
        <w:t>Both anchor and current completed bar are included. All volume must be positive. Year and quarter AVWAP reset on their defined first trading bars. The pivot AVWAP changes only when a newer pivot becomes confirmed.</w:t>
      </w:r>
    </w:p>
    <w:p w14:paraId="2B2C78AE" w14:textId="77777777" w:rsidR="00961C4C" w:rsidRDefault="00961C4C" w:rsidP="00961C4C">
      <w:pPr>
        <w:pStyle w:val="Heading2"/>
      </w:pPr>
      <w:r>
        <w:t>Causal major-pivot recognition</w:t>
      </w:r>
    </w:p>
    <w:p w14:paraId="641E7BFB" w14:textId="77777777" w:rsidR="00961C4C" w:rsidRDefault="00961C4C" w:rsidP="00961C4C">
      <w:r>
        <w:t>A candidate pivot at index p is evaluated only after bar p+10 has closed. A pivot high requires high[p] to be strictly greater than every high in p-10 through p-1 and p+1 through p+10. A pivot low requires low[p] to be strictly lower than every low in those twenty neighboring bars. Equal highs or lows do not qualify.</w:t>
      </w:r>
    </w:p>
    <w:p w14:paraId="0087450C" w14:textId="77777777" w:rsidR="00961C4C" w:rsidRDefault="00961C4C" w:rsidP="00961C4C">
      <w:r>
        <w:t>The pivot becomes available at the close of p+10, not at p. Starting with that recognition close, the pivot AVWAP may be calculated retrospectively from p through the current completed bar. Among all recognized pivots, use the one with the latest pivot date; if no pivot is recognized, the strategy is ineligible.</w:t>
      </w:r>
    </w:p>
    <w:p w14:paraId="6070904F" w14:textId="77777777" w:rsidR="00961C4C" w:rsidRDefault="00961C4C" w:rsidP="00961C4C">
      <w:pPr>
        <w:pStyle w:val="Heading2"/>
      </w:pPr>
      <w:r>
        <w:t>Distinct-anchor confluence</w:t>
      </w:r>
    </w:p>
    <w:p w14:paraId="595D1452" w14:textId="77777777" w:rsidR="00961C4C" w:rsidRDefault="00961C4C" w:rsidP="00961C4C">
      <w:pPr>
        <w:pBdr>
          <w:left w:val="single" w:sz="18" w:space="6" w:color="1874C5"/>
        </w:pBdr>
        <w:shd w:val="clear" w:color="auto" w:fill="F4F6F8"/>
        <w:spacing w:before="60" w:after="120"/>
        <w:ind w:left="259" w:right="173"/>
      </w:pPr>
      <w:proofErr w:type="spellStart"/>
      <w:r>
        <w:rPr>
          <w:rFonts w:ascii="Consolas" w:hAnsi="Consolas"/>
          <w:sz w:val="17"/>
        </w:rPr>
        <w:t>distance_i</w:t>
      </w:r>
      <w:proofErr w:type="spellEnd"/>
      <w:r>
        <w:rPr>
          <w:rFonts w:ascii="Consolas" w:hAnsi="Consolas"/>
          <w:sz w:val="17"/>
        </w:rPr>
        <w:t xml:space="preserve"> = </w:t>
      </w:r>
      <w:proofErr w:type="gramStart"/>
      <w:r>
        <w:rPr>
          <w:rFonts w:ascii="Consolas" w:hAnsi="Consolas"/>
          <w:sz w:val="17"/>
        </w:rPr>
        <w:t>abs(</w:t>
      </w:r>
      <w:proofErr w:type="gramEnd"/>
      <w:r>
        <w:rPr>
          <w:rFonts w:ascii="Consolas" w:hAnsi="Consolas"/>
          <w:sz w:val="17"/>
        </w:rPr>
        <w:t xml:space="preserve">close - </w:t>
      </w:r>
      <w:proofErr w:type="spellStart"/>
      <w:r>
        <w:rPr>
          <w:rFonts w:ascii="Consolas" w:hAnsi="Consolas"/>
          <w:sz w:val="17"/>
        </w:rPr>
        <w:t>AVWAP_i</w:t>
      </w:r>
      <w:proofErr w:type="spellEnd"/>
      <w:r>
        <w:rPr>
          <w:rFonts w:ascii="Consolas" w:hAnsi="Consolas"/>
          <w:sz w:val="17"/>
        </w:rPr>
        <w:t xml:space="preserve">) / </w:t>
      </w:r>
      <w:proofErr w:type="spellStart"/>
      <w:r>
        <w:rPr>
          <w:rFonts w:ascii="Consolas" w:hAnsi="Consolas"/>
          <w:sz w:val="17"/>
        </w:rPr>
        <w:t>AVWAP_i</w:t>
      </w:r>
      <w:proofErr w:type="spellEnd"/>
      <w:r>
        <w:rPr>
          <w:rFonts w:ascii="Consolas" w:hAnsi="Consolas"/>
          <w:sz w:val="17"/>
        </w:rPr>
        <w:br/>
        <w:t xml:space="preserve">anchor </w:t>
      </w:r>
      <w:proofErr w:type="spellStart"/>
      <w:r>
        <w:rPr>
          <w:rFonts w:ascii="Consolas" w:hAnsi="Consolas"/>
          <w:sz w:val="17"/>
        </w:rPr>
        <w:t>i</w:t>
      </w:r>
      <w:proofErr w:type="spellEnd"/>
      <w:r>
        <w:rPr>
          <w:rFonts w:ascii="Consolas" w:hAnsi="Consolas"/>
          <w:sz w:val="17"/>
        </w:rPr>
        <w:t xml:space="preserve"> is near price when </w:t>
      </w:r>
      <w:proofErr w:type="spellStart"/>
      <w:r>
        <w:rPr>
          <w:rFonts w:ascii="Consolas" w:hAnsi="Consolas"/>
          <w:sz w:val="17"/>
        </w:rPr>
        <w:t>distance_i</w:t>
      </w:r>
      <w:proofErr w:type="spellEnd"/>
      <w:r>
        <w:rPr>
          <w:rFonts w:ascii="Consolas" w:hAnsi="Consolas"/>
          <w:sz w:val="17"/>
        </w:rPr>
        <w:t xml:space="preserve"> &lt;= 0.005</w:t>
      </w:r>
    </w:p>
    <w:p w14:paraId="62E16920" w14:textId="77777777" w:rsidR="00961C4C" w:rsidRDefault="00961C4C" w:rsidP="00961C4C">
      <w:r>
        <w:t>Confluence requires at least two near-price AVWAPs whose anchor dates differ. When year and first-quarter anchors are the same date, they count as one reference, not two. All three AVWAP values must nevertheless be available before evaluating a signal.</w:t>
      </w:r>
    </w:p>
    <w:p w14:paraId="7C8ADA92" w14:textId="77777777" w:rsidR="00961C4C" w:rsidRDefault="00961C4C" w:rsidP="00961C4C">
      <w:pPr>
        <w:pStyle w:val="Heading2"/>
      </w:pPr>
      <w:r>
        <w:t xml:space="preserve">Wilder </w:t>
      </w:r>
      <w:proofErr w:type="gramStart"/>
      <w:r>
        <w:t>ATR(</w:t>
      </w:r>
      <w:proofErr w:type="gramEnd"/>
      <w:r>
        <w:t>14)</w:t>
      </w:r>
    </w:p>
    <w:p w14:paraId="75F00D18" w14:textId="77777777" w:rsidR="00961C4C" w:rsidRDefault="00961C4C" w:rsidP="00961C4C">
      <w:pPr>
        <w:pBdr>
          <w:left w:val="single" w:sz="18" w:space="6" w:color="1874C5"/>
        </w:pBdr>
        <w:shd w:val="clear" w:color="auto" w:fill="F4F6F8"/>
        <w:spacing w:before="60" w:after="120"/>
        <w:ind w:left="259" w:right="173"/>
      </w:pPr>
      <w:r>
        <w:rPr>
          <w:rFonts w:ascii="Consolas" w:hAnsi="Consolas"/>
          <w:sz w:val="17"/>
        </w:rPr>
        <w:t>TR[t] = max(high[t] - low[t], abs(high[t] - close[t-1]), abs(low[t] - close[t-1]))</w:t>
      </w:r>
    </w:p>
    <w:p w14:paraId="15334DE1" w14:textId="77777777" w:rsidR="00961C4C" w:rsidRDefault="00961C4C" w:rsidP="00961C4C">
      <w:r>
        <w:t>Seed ATR with the arithmetic mean of the first 14 true ranges and thereafter apply Wilder smoothing. Use only completed daily bars. ATR must be finite and strictly positive on the signal date.</w:t>
      </w:r>
    </w:p>
    <w:p w14:paraId="6C3F6376" w14:textId="77777777" w:rsidR="00961C4C" w:rsidRDefault="00961C4C" w:rsidP="00961C4C">
      <w:pPr>
        <w:pStyle w:val="Heading1"/>
      </w:pPr>
      <w:r>
        <w:lastRenderedPageBreak/>
        <w:t>Exact rejection-candle definitions</w:t>
      </w:r>
    </w:p>
    <w:p w14:paraId="56D7A4F2" w14:textId="77777777" w:rsidR="00961C4C" w:rsidRDefault="00961C4C" w:rsidP="00961C4C">
      <w:r>
        <w:t xml:space="preserve">Let body = </w:t>
      </w:r>
      <w:proofErr w:type="gramStart"/>
      <w:r>
        <w:t>abs(</w:t>
      </w:r>
      <w:proofErr w:type="gramEnd"/>
      <w:r>
        <w:t xml:space="preserve">close - open), range = high - low, </w:t>
      </w:r>
      <w:proofErr w:type="spellStart"/>
      <w:r>
        <w:t>lower_wick</w:t>
      </w:r>
      <w:proofErr w:type="spellEnd"/>
      <w:r>
        <w:t xml:space="preserve"> = </w:t>
      </w:r>
      <w:proofErr w:type="gramStart"/>
      <w:r>
        <w:t>min(</w:t>
      </w:r>
      <w:proofErr w:type="gramEnd"/>
      <w:r>
        <w:t xml:space="preserve">open, close) - low, and </w:t>
      </w:r>
      <w:proofErr w:type="spellStart"/>
      <w:r>
        <w:t>upper_wick</w:t>
      </w:r>
      <w:proofErr w:type="spellEnd"/>
      <w:r>
        <w:t xml:space="preserve"> = high - </w:t>
      </w:r>
      <w:proofErr w:type="gramStart"/>
      <w:r>
        <w:t>max(</w:t>
      </w:r>
      <w:proofErr w:type="gramEnd"/>
      <w:r>
        <w:t>open, close). A zero-range bar cannot qualify.</w:t>
      </w:r>
    </w:p>
    <w:p w14:paraId="29DFB427" w14:textId="77777777" w:rsidR="00961C4C" w:rsidRDefault="00961C4C" w:rsidP="00961C4C">
      <w:pPr>
        <w:pStyle w:val="Heading2"/>
      </w:pPr>
      <w:r>
        <w:t>Bullish rejection</w:t>
      </w:r>
    </w:p>
    <w:p w14:paraId="060F06A7" w14:textId="77777777" w:rsidR="00961C4C" w:rsidRDefault="00961C4C" w:rsidP="00961C4C">
      <w:pPr>
        <w:pStyle w:val="ListBullet"/>
        <w:tabs>
          <w:tab w:val="num" w:pos="360"/>
        </w:tabs>
        <w:ind w:left="360" w:hanging="360"/>
      </w:pPr>
      <w:r>
        <w:t xml:space="preserve">Bullish hammer: close &gt; open, </w:t>
      </w:r>
      <w:proofErr w:type="spellStart"/>
      <w:r>
        <w:t>lower_wick</w:t>
      </w:r>
      <w:proofErr w:type="spellEnd"/>
      <w:r>
        <w:t xml:space="preserve"> &gt;= 2 x body, </w:t>
      </w:r>
      <w:proofErr w:type="spellStart"/>
      <w:r>
        <w:t>upper_wick</w:t>
      </w:r>
      <w:proofErr w:type="spellEnd"/>
      <w:r>
        <w:t xml:space="preserve"> &lt;= body, and body / range &lt;= 0.40.</w:t>
      </w:r>
    </w:p>
    <w:p w14:paraId="097ED6EA" w14:textId="77777777" w:rsidR="00961C4C" w:rsidRDefault="00961C4C" w:rsidP="00961C4C">
      <w:pPr>
        <w:pStyle w:val="ListBullet"/>
        <w:tabs>
          <w:tab w:val="num" w:pos="360"/>
        </w:tabs>
        <w:ind w:left="360" w:hanging="360"/>
      </w:pPr>
      <w:r>
        <w:t>Bullish engulfing: prior close &lt; prior open, current close &gt; current open, current open &lt;= prior close, and current close &gt;= prior open.</w:t>
      </w:r>
    </w:p>
    <w:p w14:paraId="620782DB" w14:textId="77777777" w:rsidR="00961C4C" w:rsidRDefault="00961C4C" w:rsidP="00961C4C">
      <w:r>
        <w:t>A bar is a bullish rejection if either exact definition is true.</w:t>
      </w:r>
    </w:p>
    <w:p w14:paraId="55340012" w14:textId="77777777" w:rsidR="00961C4C" w:rsidRDefault="00961C4C" w:rsidP="00961C4C">
      <w:pPr>
        <w:pStyle w:val="Heading2"/>
      </w:pPr>
      <w:r>
        <w:t>Bearish rejection</w:t>
      </w:r>
    </w:p>
    <w:p w14:paraId="46F39DB0" w14:textId="77777777" w:rsidR="00961C4C" w:rsidRDefault="00961C4C" w:rsidP="00961C4C">
      <w:pPr>
        <w:pStyle w:val="ListBullet"/>
        <w:tabs>
          <w:tab w:val="num" w:pos="360"/>
        </w:tabs>
        <w:ind w:left="360" w:hanging="360"/>
      </w:pPr>
      <w:r>
        <w:t xml:space="preserve">Bearish shooting star: close &lt; open, </w:t>
      </w:r>
      <w:proofErr w:type="spellStart"/>
      <w:r>
        <w:t>upper_wick</w:t>
      </w:r>
      <w:proofErr w:type="spellEnd"/>
      <w:r>
        <w:t xml:space="preserve"> &gt;= 2 x body, </w:t>
      </w:r>
      <w:proofErr w:type="spellStart"/>
      <w:r>
        <w:t>lower_wick</w:t>
      </w:r>
      <w:proofErr w:type="spellEnd"/>
      <w:r>
        <w:t xml:space="preserve"> &lt;= body, and body / range &lt;= 0.40.</w:t>
      </w:r>
    </w:p>
    <w:p w14:paraId="0AF5390A" w14:textId="77777777" w:rsidR="00961C4C" w:rsidRDefault="00961C4C" w:rsidP="00961C4C">
      <w:pPr>
        <w:pStyle w:val="ListBullet"/>
        <w:tabs>
          <w:tab w:val="num" w:pos="360"/>
        </w:tabs>
        <w:ind w:left="360" w:hanging="360"/>
      </w:pPr>
      <w:r>
        <w:t>Bearish engulfing: prior close &gt; prior open, current close &lt; current open, current open &gt;= prior close, and current close &lt;= prior open.</w:t>
      </w:r>
    </w:p>
    <w:p w14:paraId="7C99EEC6" w14:textId="77777777" w:rsidR="00961C4C" w:rsidRDefault="00961C4C" w:rsidP="00961C4C">
      <w:r>
        <w:t xml:space="preserve">A bar is a bearish rejection if either exact definition is true. Do not add </w:t>
      </w:r>
      <w:proofErr w:type="spellStart"/>
      <w:r>
        <w:t>doji</w:t>
      </w:r>
      <w:proofErr w:type="spellEnd"/>
      <w:r>
        <w:t>, pin-bar, tolerance, or trend-context rules not stated here.</w:t>
      </w:r>
    </w:p>
    <w:p w14:paraId="386A2056" w14:textId="77777777" w:rsidR="00961C4C" w:rsidRDefault="00961C4C" w:rsidP="00961C4C">
      <w:pPr>
        <w:pStyle w:val="Heading1"/>
      </w:pPr>
      <w:r>
        <w:t>Trading rules</w:t>
      </w:r>
    </w:p>
    <w:p w14:paraId="5A674733" w14:textId="77777777" w:rsidR="00961C4C" w:rsidRDefault="00961C4C" w:rsidP="00961C4C">
      <w:pPr>
        <w:pStyle w:val="Heading2"/>
      </w:pPr>
      <w:r>
        <w:t>Long signal and entry</w:t>
      </w:r>
    </w:p>
    <w:p w14:paraId="47236610" w14:textId="77777777" w:rsidR="00961C4C" w:rsidRDefault="00961C4C" w:rsidP="00961C4C">
      <w:pPr>
        <w:pStyle w:val="ListNumber"/>
        <w:tabs>
          <w:tab w:val="num" w:pos="360"/>
        </w:tabs>
        <w:ind w:left="360" w:hanging="360"/>
      </w:pPr>
      <w:r>
        <w:t>The strategy is flat with no pending order, and year, quarter, pivot, ATR, and prior-candle values are available.</w:t>
      </w:r>
    </w:p>
    <w:p w14:paraId="340F5B4A" w14:textId="77777777" w:rsidR="00961C4C" w:rsidRDefault="00961C4C" w:rsidP="00961C4C">
      <w:pPr>
        <w:pStyle w:val="ListNumber"/>
        <w:tabs>
          <w:tab w:val="num" w:pos="360"/>
        </w:tabs>
        <w:ind w:left="360" w:hanging="360"/>
      </w:pPr>
      <w:r>
        <w:t>The completed signal-day close is within 0.5% of at least two distinct AVWAP anchors.</w:t>
      </w:r>
    </w:p>
    <w:p w14:paraId="4C2DF9CD" w14:textId="77777777" w:rsidR="00961C4C" w:rsidRDefault="00961C4C" w:rsidP="00961C4C">
      <w:pPr>
        <w:pStyle w:val="ListNumber"/>
        <w:tabs>
          <w:tab w:val="num" w:pos="360"/>
        </w:tabs>
        <w:ind w:left="360" w:hanging="360"/>
      </w:pPr>
      <w:r>
        <w:t>The signal-day close is strictly above year-start AVWAP.</w:t>
      </w:r>
    </w:p>
    <w:p w14:paraId="1AD51819" w14:textId="77777777" w:rsidR="00961C4C" w:rsidRDefault="00961C4C" w:rsidP="00961C4C">
      <w:pPr>
        <w:pStyle w:val="ListNumber"/>
        <w:tabs>
          <w:tab w:val="num" w:pos="360"/>
        </w:tabs>
        <w:ind w:left="360" w:hanging="360"/>
      </w:pPr>
      <w:r>
        <w:t>The signal-day bar is a bullish rejection candle.</w:t>
      </w:r>
    </w:p>
    <w:p w14:paraId="7C0A3CC3" w14:textId="77777777" w:rsidR="00961C4C" w:rsidRDefault="00961C4C" w:rsidP="00961C4C">
      <w:pPr>
        <w:pStyle w:val="ListNumber"/>
        <w:tabs>
          <w:tab w:val="num" w:pos="360"/>
        </w:tabs>
        <w:ind w:left="360" w:hanging="360"/>
      </w:pPr>
      <w:r>
        <w:t xml:space="preserve">At the signal close, desired shares = </w:t>
      </w:r>
      <w:proofErr w:type="gramStart"/>
      <w:r>
        <w:t>floor(</w:t>
      </w:r>
      <w:proofErr w:type="gramEnd"/>
      <w:r>
        <w:t xml:space="preserve">(equity x 0.01) / ATR). Schedule a buy at the next trading </w:t>
      </w:r>
      <w:proofErr w:type="gramStart"/>
      <w:r>
        <w:t>day's</w:t>
      </w:r>
      <w:proofErr w:type="gramEnd"/>
      <w:r>
        <w:t xml:space="preserve"> open.</w:t>
      </w:r>
    </w:p>
    <w:p w14:paraId="2FCA0232" w14:textId="77777777" w:rsidR="00961C4C" w:rsidRDefault="00961C4C" w:rsidP="00961C4C">
      <w:pPr>
        <w:pStyle w:val="Heading2"/>
      </w:pPr>
      <w:r>
        <w:t>Short signal and entry</w:t>
      </w:r>
    </w:p>
    <w:p w14:paraId="73C30DA8" w14:textId="77777777" w:rsidR="00961C4C" w:rsidRDefault="00961C4C" w:rsidP="00961C4C">
      <w:pPr>
        <w:pStyle w:val="ListNumber"/>
        <w:tabs>
          <w:tab w:val="num" w:pos="360"/>
        </w:tabs>
        <w:ind w:left="360" w:hanging="360"/>
      </w:pPr>
      <w:r>
        <w:t>The strategy is flat with no pending order, and year, quarter, pivot, ATR, and prior-candle values are available.</w:t>
      </w:r>
    </w:p>
    <w:p w14:paraId="1CEFC98A" w14:textId="77777777" w:rsidR="00961C4C" w:rsidRDefault="00961C4C" w:rsidP="00961C4C">
      <w:pPr>
        <w:pStyle w:val="ListNumber"/>
        <w:tabs>
          <w:tab w:val="num" w:pos="360"/>
        </w:tabs>
        <w:ind w:left="360" w:hanging="360"/>
      </w:pPr>
      <w:r>
        <w:t>The completed signal-day close is within 0.5% of at least two distinct AVWAP anchors.</w:t>
      </w:r>
    </w:p>
    <w:p w14:paraId="36136F00" w14:textId="77777777" w:rsidR="00961C4C" w:rsidRDefault="00961C4C" w:rsidP="00961C4C">
      <w:pPr>
        <w:pStyle w:val="ListNumber"/>
        <w:tabs>
          <w:tab w:val="num" w:pos="360"/>
        </w:tabs>
        <w:ind w:left="360" w:hanging="360"/>
      </w:pPr>
      <w:r>
        <w:t>The signal-day close is strictly below year-start AVWAP.</w:t>
      </w:r>
    </w:p>
    <w:p w14:paraId="229631DD" w14:textId="77777777" w:rsidR="00961C4C" w:rsidRDefault="00961C4C" w:rsidP="00961C4C">
      <w:pPr>
        <w:pStyle w:val="ListNumber"/>
        <w:tabs>
          <w:tab w:val="num" w:pos="360"/>
        </w:tabs>
        <w:ind w:left="360" w:hanging="360"/>
      </w:pPr>
      <w:r>
        <w:t>The signal-day bar is a bearish rejection candle.</w:t>
      </w:r>
    </w:p>
    <w:p w14:paraId="77039D1C" w14:textId="77777777" w:rsidR="00961C4C" w:rsidRDefault="00961C4C" w:rsidP="00961C4C">
      <w:pPr>
        <w:pStyle w:val="ListNumber"/>
        <w:tabs>
          <w:tab w:val="num" w:pos="360"/>
        </w:tabs>
        <w:ind w:left="360" w:hanging="360"/>
      </w:pPr>
      <w:r>
        <w:t xml:space="preserve">At the signal close, desired shares = </w:t>
      </w:r>
      <w:proofErr w:type="gramStart"/>
      <w:r>
        <w:t>floor(</w:t>
      </w:r>
      <w:proofErr w:type="gramEnd"/>
      <w:r>
        <w:t xml:space="preserve">(equity x 0.01) / ATR). Schedule a short sale at the next trading </w:t>
      </w:r>
      <w:proofErr w:type="gramStart"/>
      <w:r>
        <w:t>day's</w:t>
      </w:r>
      <w:proofErr w:type="gramEnd"/>
      <w:r>
        <w:t xml:space="preserve"> open.</w:t>
      </w:r>
    </w:p>
    <w:p w14:paraId="60AF335B" w14:textId="77777777" w:rsidR="00961C4C" w:rsidRDefault="00961C4C" w:rsidP="00961C4C">
      <w:r>
        <w:t>If the next trading bar is absent, cancel the order. At the fill, cap quantity by available cash for a long or 1x pre-entry-equity notional for a short. If quantity is zero, cancel and log it. Do not recompute desired risk from next-day equity.</w:t>
      </w:r>
    </w:p>
    <w:p w14:paraId="3C521163" w14:textId="77777777" w:rsidR="00961C4C" w:rsidRDefault="00961C4C" w:rsidP="00961C4C">
      <w:pPr>
        <w:pStyle w:val="Heading1"/>
      </w:pPr>
      <w:r>
        <w:t>Exit rules and daily order of operations</w:t>
      </w:r>
    </w:p>
    <w:p w14:paraId="3371C8F3" w14:textId="77777777" w:rsidR="00961C4C" w:rsidRDefault="00961C4C" w:rsidP="00961C4C">
      <w:pPr>
        <w:pStyle w:val="ListBullet"/>
        <w:tabs>
          <w:tab w:val="num" w:pos="360"/>
        </w:tabs>
        <w:ind w:left="360" w:hanging="360"/>
      </w:pPr>
      <w:r>
        <w:t>Freeze ATR from the signal day. After the slipped entry fill, long target = fill + 2.5 x ATR and stop = fill - 1.0 x ATR; short target = fill - 2.5 x ATR and stop = fill + 1.0 x ATR.</w:t>
      </w:r>
    </w:p>
    <w:p w14:paraId="2F36DEC8" w14:textId="77777777" w:rsidR="00961C4C" w:rsidRDefault="00961C4C" w:rsidP="00961C4C">
      <w:pPr>
        <w:pStyle w:val="ListBullet"/>
        <w:tabs>
          <w:tab w:val="num" w:pos="360"/>
        </w:tabs>
        <w:ind w:left="360" w:hanging="360"/>
      </w:pPr>
      <w:r>
        <w:t>Entry day is holding day one. If no price exit occurs, execute a planned time exit at the close of holding day ten. There is no trailing stop or breakeven move.</w:t>
      </w:r>
    </w:p>
    <w:p w14:paraId="670D6397" w14:textId="77777777" w:rsidR="00961C4C" w:rsidRDefault="00961C4C" w:rsidP="00961C4C">
      <w:pPr>
        <w:pStyle w:val="ListNumber"/>
        <w:tabs>
          <w:tab w:val="num" w:pos="360"/>
        </w:tabs>
        <w:ind w:left="360" w:hanging="360"/>
      </w:pPr>
      <w:r>
        <w:t>At each daily open, execute a pending entry. For a position carried from an earlier day, first test whether the raw open gaps to or beyond stop or target; fill at the raw open with adverse slippage.</w:t>
      </w:r>
    </w:p>
    <w:p w14:paraId="07B275E5" w14:textId="77777777" w:rsidR="00961C4C" w:rsidRDefault="00961C4C" w:rsidP="00961C4C">
      <w:pPr>
        <w:pStyle w:val="ListNumber"/>
        <w:tabs>
          <w:tab w:val="num" w:pos="360"/>
        </w:tabs>
        <w:ind w:left="360" w:hanging="360"/>
      </w:pPr>
      <w:r>
        <w:t>If no open-gap exit occurs, evaluate daily high and low. If both stop and target are touched and order is unknowable, assume the stop occurs first. Otherwise exit at the touched level with adverse slippage.</w:t>
      </w:r>
    </w:p>
    <w:p w14:paraId="64618417" w14:textId="77777777" w:rsidR="00961C4C" w:rsidRDefault="00961C4C" w:rsidP="00961C4C">
      <w:pPr>
        <w:pStyle w:val="ListNumber"/>
        <w:tabs>
          <w:tab w:val="num" w:pos="360"/>
        </w:tabs>
        <w:ind w:left="360" w:hanging="360"/>
      </w:pPr>
      <w:r>
        <w:t>If this is holding day ten and no stop or target exited, fill the scheduled time exit at the day's close with adverse slippage.</w:t>
      </w:r>
    </w:p>
    <w:p w14:paraId="0C156583" w14:textId="77777777" w:rsidR="00961C4C" w:rsidRDefault="00961C4C" w:rsidP="00961C4C">
      <w:pPr>
        <w:pStyle w:val="ListNumber"/>
        <w:tabs>
          <w:tab w:val="num" w:pos="360"/>
        </w:tabs>
        <w:ind w:left="360" w:hanging="360"/>
      </w:pPr>
      <w:r>
        <w:lastRenderedPageBreak/>
        <w:t xml:space="preserve">Mark the portfolio at the completed daily close. Only then compute anchors, indicators, candle rules, and a possible signal for the next trading </w:t>
      </w:r>
      <w:proofErr w:type="gramStart"/>
      <w:r>
        <w:t>day's</w:t>
      </w:r>
      <w:proofErr w:type="gramEnd"/>
      <w:r>
        <w:t xml:space="preserve"> open.</w:t>
      </w:r>
    </w:p>
    <w:p w14:paraId="2BE40F6F" w14:textId="77777777" w:rsidR="00961C4C" w:rsidRDefault="00961C4C" w:rsidP="00961C4C">
      <w:pPr>
        <w:pStyle w:val="ListNumber"/>
        <w:tabs>
          <w:tab w:val="num" w:pos="360"/>
        </w:tabs>
        <w:ind w:left="360" w:hanging="360"/>
      </w:pPr>
      <w:r>
        <w:t xml:space="preserve">On the final input row, apply normal price and time exits first. If a position remains, liquidate at that row's close for reporting with exit reason </w:t>
      </w:r>
      <w:proofErr w:type="spellStart"/>
      <w:r>
        <w:t>end_of_data</w:t>
      </w:r>
      <w:proofErr w:type="spellEnd"/>
      <w:r>
        <w:t>. Cancel all pending orders.</w:t>
      </w:r>
    </w:p>
    <w:p w14:paraId="6730DBAE" w14:textId="77777777" w:rsidR="00961C4C" w:rsidRDefault="00961C4C" w:rsidP="00961C4C">
      <w:pPr>
        <w:pStyle w:val="Heading1"/>
      </w:pPr>
      <w:r>
        <w:t>Execution costs and portfolio accounting</w:t>
      </w:r>
    </w:p>
    <w:p w14:paraId="5868918E" w14:textId="77777777" w:rsidR="00961C4C" w:rsidRDefault="00961C4C" w:rsidP="00961C4C">
      <w:pPr>
        <w:pStyle w:val="ListBullet"/>
        <w:tabs>
          <w:tab w:val="num" w:pos="360"/>
        </w:tabs>
        <w:ind w:left="360" w:hanging="360"/>
      </w:pPr>
      <w:r>
        <w:rPr>
          <w:b/>
        </w:rPr>
        <w:t xml:space="preserve">Commission. </w:t>
      </w:r>
      <w:r>
        <w:t>$0.005 per share per side; no minimum ticket charge.</w:t>
      </w:r>
    </w:p>
    <w:p w14:paraId="3EA4CB47" w14:textId="77777777" w:rsidR="00961C4C" w:rsidRDefault="00961C4C" w:rsidP="00961C4C">
      <w:pPr>
        <w:pStyle w:val="ListBullet"/>
        <w:tabs>
          <w:tab w:val="num" w:pos="360"/>
        </w:tabs>
        <w:ind w:left="360" w:hanging="360"/>
      </w:pPr>
      <w:r>
        <w:rPr>
          <w:b/>
        </w:rPr>
        <w:t xml:space="preserve">Slippage. </w:t>
      </w:r>
      <w:r>
        <w:t>1.0 basis points per fill, applied adversely. Buy fill = raw price x (1 + bps/10,000); sell fill = raw price x (1 - bps/10,000).</w:t>
      </w:r>
    </w:p>
    <w:p w14:paraId="531742B3" w14:textId="77777777" w:rsidR="00961C4C" w:rsidRDefault="00961C4C" w:rsidP="00961C4C">
      <w:pPr>
        <w:pStyle w:val="ListBullet"/>
        <w:tabs>
          <w:tab w:val="num" w:pos="360"/>
        </w:tabs>
        <w:ind w:left="360" w:hanging="360"/>
      </w:pPr>
      <w:r>
        <w:rPr>
          <w:b/>
        </w:rPr>
        <w:t xml:space="preserve">Cost timing. </w:t>
      </w:r>
      <w:r>
        <w:t>Commissions are deducted from cash at every fill. Stops and targets are tested against raw market OHLC; realized P&amp;L uses slipped fills and commissions.</w:t>
      </w:r>
    </w:p>
    <w:p w14:paraId="3E66BA0C" w14:textId="77777777" w:rsidR="00961C4C" w:rsidRDefault="00961C4C" w:rsidP="00961C4C">
      <w:pPr>
        <w:pStyle w:val="ListBullet"/>
        <w:tabs>
          <w:tab w:val="num" w:pos="360"/>
        </w:tabs>
        <w:ind w:left="360" w:hanging="360"/>
      </w:pPr>
      <w:r>
        <w:rPr>
          <w:b/>
        </w:rPr>
        <w:t xml:space="preserve">No leverage. </w:t>
      </w:r>
      <w:r>
        <w:t xml:space="preserve">Long quantity is capped at </w:t>
      </w:r>
      <w:proofErr w:type="gramStart"/>
      <w:r>
        <w:t>floor(</w:t>
      </w:r>
      <w:proofErr w:type="gramEnd"/>
      <w:r>
        <w:t>available cash / slipped buy price). A short's entry notional may not exceed equity immediately before entry; short-sale proceeds are restricted collateral and cannot finance another position.</w:t>
      </w:r>
    </w:p>
    <w:p w14:paraId="05FC4337" w14:textId="77777777" w:rsidR="00961C4C" w:rsidRDefault="00961C4C" w:rsidP="00961C4C">
      <w:pPr>
        <w:pStyle w:val="ListBullet"/>
        <w:tabs>
          <w:tab w:val="num" w:pos="360"/>
        </w:tabs>
        <w:ind w:left="360" w:hanging="360"/>
      </w:pPr>
      <w:r>
        <w:rPr>
          <w:b/>
        </w:rPr>
        <w:t xml:space="preserve">Equity. </w:t>
      </w:r>
      <w:r>
        <w:t>Equity = unrestricted cash + restricted short proceeds + long market value - short market liability. The implementation may use an algebraically equivalent ledger if it reconciles exactly.</w:t>
      </w:r>
    </w:p>
    <w:p w14:paraId="39AB5B30" w14:textId="77777777" w:rsidR="00961C4C" w:rsidRDefault="00961C4C" w:rsidP="00961C4C">
      <w:pPr>
        <w:pStyle w:val="ListBullet"/>
        <w:tabs>
          <w:tab w:val="num" w:pos="360"/>
        </w:tabs>
        <w:ind w:left="360" w:hanging="360"/>
      </w:pPr>
      <w:r>
        <w:rPr>
          <w:b/>
        </w:rPr>
        <w:t xml:space="preserve">Excluded cash flows. </w:t>
      </w:r>
      <w:r>
        <w:t>Interest, dividends, taxes, borrow fees, market impact beyond stated slippage, and corporate-action adjustment logic are outside this price-only baseline and must be disclosed in every report.</w:t>
      </w:r>
    </w:p>
    <w:p w14:paraId="7DD621D7" w14:textId="77777777" w:rsidR="00961C4C" w:rsidRDefault="00961C4C" w:rsidP="00961C4C">
      <w:pPr>
        <w:pStyle w:val="ListBullet"/>
        <w:tabs>
          <w:tab w:val="num" w:pos="360"/>
        </w:tabs>
        <w:ind w:left="360" w:hanging="360"/>
      </w:pPr>
      <w:r>
        <w:rPr>
          <w:b/>
        </w:rPr>
        <w:t xml:space="preserve">End state. </w:t>
      </w:r>
      <w:r>
        <w:t>A position may remain overnight, but the final data row forces a reporting liquidation at that row's close after normal exit checks.</w:t>
      </w:r>
    </w:p>
    <w:p w14:paraId="1ADD3A68" w14:textId="77777777" w:rsidR="00961C4C" w:rsidRDefault="00961C4C" w:rsidP="00961C4C">
      <w:pPr>
        <w:pStyle w:val="Heading1"/>
      </w:pPr>
      <w:r>
        <w:t>Required output contract</w:t>
      </w:r>
    </w:p>
    <w:p w14:paraId="341660A7" w14:textId="77777777" w:rsidR="00961C4C" w:rsidRDefault="00961C4C" w:rsidP="00961C4C">
      <w:r>
        <w:t>Every run must write a new, immutable run directory. Results printed only in the console do not satisfy this specification.</w:t>
      </w:r>
    </w:p>
    <w:p w14:paraId="5986BB56" w14:textId="77777777" w:rsidR="00961C4C" w:rsidRDefault="00961C4C" w:rsidP="00961C4C">
      <w:pPr>
        <w:keepLines/>
        <w:spacing w:after="60"/>
        <w:ind w:left="259" w:hanging="259"/>
      </w:pPr>
      <w:proofErr w:type="spellStart"/>
      <w:r>
        <w:rPr>
          <w:b/>
        </w:rPr>
        <w:t>run_</w:t>
      </w:r>
      <w:proofErr w:type="gramStart"/>
      <w:r>
        <w:rPr>
          <w:b/>
        </w:rPr>
        <w:t>manifest.json</w:t>
      </w:r>
      <w:proofErr w:type="spellEnd"/>
      <w:proofErr w:type="gramEnd"/>
      <w:r>
        <w:rPr>
          <w:b/>
        </w:rPr>
        <w:t xml:space="preserve">: </w:t>
      </w:r>
      <w:r>
        <w:t xml:space="preserve">Strategy version, parameter values, input-file hashes, row counts, usable period, excluded sessions, software versions, </w:t>
      </w:r>
      <w:proofErr w:type="spellStart"/>
      <w:r>
        <w:t>timezone</w:t>
      </w:r>
      <w:proofErr w:type="spellEnd"/>
      <w:r>
        <w:t>, and command used.</w:t>
      </w:r>
    </w:p>
    <w:p w14:paraId="20CDB5D3" w14:textId="77777777" w:rsidR="00961C4C" w:rsidRDefault="00961C4C" w:rsidP="00961C4C">
      <w:pPr>
        <w:keepLines/>
        <w:spacing w:after="60"/>
        <w:ind w:left="259" w:hanging="259"/>
      </w:pPr>
      <w:r>
        <w:rPr>
          <w:b/>
        </w:rPr>
        <w:t xml:space="preserve">signals.csv: </w:t>
      </w:r>
      <w:r>
        <w:t>Every eligible signal and cancellation, including indicator values and the rule that passed or failed.</w:t>
      </w:r>
    </w:p>
    <w:p w14:paraId="0EC5227E" w14:textId="77777777" w:rsidR="00961C4C" w:rsidRDefault="00961C4C" w:rsidP="00961C4C">
      <w:pPr>
        <w:keepLines/>
        <w:spacing w:after="60"/>
        <w:ind w:left="259" w:hanging="259"/>
      </w:pPr>
      <w:r>
        <w:rPr>
          <w:b/>
        </w:rPr>
        <w:t xml:space="preserve">trades.csv: </w:t>
      </w:r>
      <w:r>
        <w:t>Direction, signal and fill timestamps, raw and slipped fill prices, quantity, frozen ATR, stop, target, holding duration, gross P&amp;L, commissions, slippage cost, net P&amp;L, return, and exit reason.</w:t>
      </w:r>
    </w:p>
    <w:p w14:paraId="3BC8F026" w14:textId="77777777" w:rsidR="00961C4C" w:rsidRDefault="00961C4C" w:rsidP="00961C4C">
      <w:pPr>
        <w:keepLines/>
        <w:spacing w:after="60"/>
        <w:ind w:left="259" w:hanging="259"/>
      </w:pPr>
      <w:r>
        <w:rPr>
          <w:b/>
        </w:rPr>
        <w:t xml:space="preserve">equity.csv: </w:t>
      </w:r>
      <w:r>
        <w:t>Timestamp, cash, restricted short proceeds when applicable, position quantity, mark price, gross exposure, and total equity.</w:t>
      </w:r>
    </w:p>
    <w:p w14:paraId="26B1BA5F" w14:textId="77777777" w:rsidR="00961C4C" w:rsidRDefault="00961C4C" w:rsidP="00961C4C">
      <w:pPr>
        <w:keepLines/>
        <w:spacing w:after="60"/>
        <w:ind w:left="259" w:hanging="259"/>
      </w:pPr>
      <w:proofErr w:type="spellStart"/>
      <w:proofErr w:type="gramStart"/>
      <w:r>
        <w:rPr>
          <w:b/>
        </w:rPr>
        <w:t>metrics.json</w:t>
      </w:r>
      <w:proofErr w:type="spellEnd"/>
      <w:proofErr w:type="gramEnd"/>
      <w:r>
        <w:rPr>
          <w:b/>
        </w:rPr>
        <w:t xml:space="preserve">: </w:t>
      </w:r>
      <w:r>
        <w:t>Starting and ending equity, total return, CAGR, maximum drawdown, annualized Sharpe from daily portfolio returns using zero risk-free rate, trades, win rate, average net P&amp;L, profit factor, exposure, fees, slippage cost, and long/short attribution.</w:t>
      </w:r>
    </w:p>
    <w:p w14:paraId="0B479CD1" w14:textId="77777777" w:rsidR="00961C4C" w:rsidRDefault="00961C4C" w:rsidP="00961C4C">
      <w:pPr>
        <w:keepLines/>
        <w:spacing w:after="60"/>
        <w:ind w:left="259" w:hanging="259"/>
      </w:pPr>
      <w:r>
        <w:rPr>
          <w:b/>
        </w:rPr>
        <w:t xml:space="preserve">equity_curve.png and drawdown.png: </w:t>
      </w:r>
      <w:r>
        <w:t>A price-only buy-and-hold benchmark over the same usable dates.</w:t>
      </w:r>
    </w:p>
    <w:p w14:paraId="5557AA48" w14:textId="77777777" w:rsidR="00961C4C" w:rsidRDefault="00961C4C" w:rsidP="00961C4C">
      <w:pPr>
        <w:keepLines/>
        <w:spacing w:after="60"/>
        <w:ind w:left="259" w:hanging="259"/>
      </w:pPr>
      <w:r>
        <w:rPr>
          <w:b/>
        </w:rPr>
        <w:t xml:space="preserve">validation_report.txt: </w:t>
      </w:r>
      <w:r>
        <w:t>Test command, exit code, reconciliation residual, count of future-bar violations, open positions at end, and deterministic rerun comparison.</w:t>
      </w:r>
    </w:p>
    <w:p w14:paraId="1F2C7A61" w14:textId="77777777" w:rsidR="00961C4C" w:rsidRDefault="00961C4C" w:rsidP="00961C4C">
      <w:r>
        <w:t>Market exposure is the fraction of usable daily bars during which a non-zero position is held. Annualized performance metrics use daily portfolio equity.</w:t>
      </w:r>
    </w:p>
    <w:p w14:paraId="085F9623" w14:textId="77777777" w:rsidR="00961C4C" w:rsidRDefault="00961C4C" w:rsidP="00961C4C">
      <w:pPr>
        <w:pStyle w:val="Heading1"/>
      </w:pPr>
      <w:r>
        <w:t>Explicitly out of scope</w:t>
      </w:r>
    </w:p>
    <w:p w14:paraId="560F6759" w14:textId="77777777" w:rsidR="00961C4C" w:rsidRDefault="00961C4C" w:rsidP="00961C4C">
      <w:pPr>
        <w:pStyle w:val="ListBullet"/>
        <w:tabs>
          <w:tab w:val="num" w:pos="360"/>
        </w:tabs>
        <w:ind w:left="360" w:hanging="360"/>
      </w:pPr>
      <w:r>
        <w:t>Four-hour bars, futures, multiple instruments in one portfolio, more than one concurrent position, pyramiding, and leverage.</w:t>
      </w:r>
    </w:p>
    <w:p w14:paraId="27FCA8BC" w14:textId="77777777" w:rsidR="00961C4C" w:rsidRDefault="00961C4C" w:rsidP="00961C4C">
      <w:pPr>
        <w:pStyle w:val="ListBullet"/>
        <w:tabs>
          <w:tab w:val="num" w:pos="360"/>
        </w:tabs>
        <w:ind w:left="360" w:hanging="360"/>
      </w:pPr>
      <w:r>
        <w:t>The optional all-AVWAP slope filter and optional breakeven trailing stop from the research draft. Both are absent from this baseline.</w:t>
      </w:r>
    </w:p>
    <w:p w14:paraId="22E20140" w14:textId="77777777" w:rsidR="00961C4C" w:rsidRDefault="00961C4C" w:rsidP="00961C4C">
      <w:pPr>
        <w:pStyle w:val="ListBullet"/>
        <w:tabs>
          <w:tab w:val="num" w:pos="360"/>
        </w:tabs>
        <w:ind w:left="360" w:hanging="360"/>
      </w:pPr>
      <w:r>
        <w:t>Parameter optimization, machine learning, alternative candle libraries, dividends, borrow fees, live trading, and broker connectivity.</w:t>
      </w:r>
    </w:p>
    <w:p w14:paraId="5356BCA1" w14:textId="77777777" w:rsidR="00961C4C" w:rsidRDefault="00961C4C" w:rsidP="00961C4C">
      <w:pPr>
        <w:pStyle w:val="Heading1"/>
      </w:pPr>
      <w:r>
        <w:lastRenderedPageBreak/>
        <w:t>Acceptance checks</w:t>
      </w:r>
    </w:p>
    <w:p w14:paraId="418F5829" w14:textId="77777777" w:rsidR="00961C4C" w:rsidRDefault="00961C4C" w:rsidP="00961C4C">
      <w:pPr>
        <w:pStyle w:val="ListBullet"/>
        <w:tabs>
          <w:tab w:val="num" w:pos="360"/>
        </w:tabs>
        <w:ind w:left="360" w:hanging="360"/>
      </w:pPr>
      <w:r>
        <w:t>A pivot at p cannot influence any signal before the close of p+10, and a unit test demonstrates this with a synthetic pivot.</w:t>
      </w:r>
    </w:p>
    <w:p w14:paraId="3335F769" w14:textId="77777777" w:rsidR="00961C4C" w:rsidRDefault="00961C4C" w:rsidP="00961C4C">
      <w:pPr>
        <w:pStyle w:val="ListBullet"/>
        <w:tabs>
          <w:tab w:val="num" w:pos="360"/>
        </w:tabs>
        <w:ind w:left="360" w:hanging="360"/>
      </w:pPr>
      <w:r>
        <w:t>Year and quarter anchors use actual first trading dates; a partial first period cannot masquerade as its start.</w:t>
      </w:r>
    </w:p>
    <w:p w14:paraId="38613ACE" w14:textId="77777777" w:rsidR="00961C4C" w:rsidRDefault="00961C4C" w:rsidP="00961C4C">
      <w:pPr>
        <w:pStyle w:val="ListBullet"/>
        <w:tabs>
          <w:tab w:val="num" w:pos="360"/>
        </w:tabs>
        <w:ind w:left="360" w:hanging="360"/>
      </w:pPr>
      <w:r>
        <w:t>Identical anchor dates count once for confluence, and distance comparisons include the exact 0.5% boundary.</w:t>
      </w:r>
    </w:p>
    <w:p w14:paraId="0519CB81" w14:textId="77777777" w:rsidR="00961C4C" w:rsidRDefault="00961C4C" w:rsidP="00961C4C">
      <w:pPr>
        <w:pStyle w:val="ListBullet"/>
        <w:tabs>
          <w:tab w:val="num" w:pos="360"/>
        </w:tabs>
        <w:ind w:left="360" w:hanging="360"/>
      </w:pPr>
      <w:r>
        <w:t>Rejection candles match the stated formulas exactly and use only the signal day and, for engulfing, the immediately preceding day.</w:t>
      </w:r>
    </w:p>
    <w:p w14:paraId="49A0BF19" w14:textId="77777777" w:rsidR="00961C4C" w:rsidRDefault="00961C4C" w:rsidP="00961C4C">
      <w:pPr>
        <w:pStyle w:val="ListBullet"/>
        <w:tabs>
          <w:tab w:val="num" w:pos="360"/>
        </w:tabs>
        <w:ind w:left="360" w:hanging="360"/>
      </w:pPr>
      <w:r>
        <w:t>Every normal entry occurs after its signal date; desired shares use signal-close equity and signal ATR; fill caps prevent leverage.</w:t>
      </w:r>
    </w:p>
    <w:p w14:paraId="36CFF481" w14:textId="77777777" w:rsidR="00961C4C" w:rsidRDefault="00961C4C" w:rsidP="00961C4C">
      <w:pPr>
        <w:pStyle w:val="ListBullet"/>
        <w:tabs>
          <w:tab w:val="num" w:pos="360"/>
        </w:tabs>
        <w:ind w:left="360" w:hanging="360"/>
      </w:pPr>
      <w:r>
        <w:t>Stop/target ambiguity is resolved adversely, holding day ten exits at its close, and no trailing behavior exists.</w:t>
      </w:r>
    </w:p>
    <w:p w14:paraId="62E3CB35" w14:textId="77777777" w:rsidR="00961C4C" w:rsidRDefault="00961C4C" w:rsidP="00961C4C">
      <w:pPr>
        <w:pStyle w:val="ListBullet"/>
        <w:tabs>
          <w:tab w:val="num" w:pos="360"/>
        </w:tabs>
        <w:ind w:left="360" w:hanging="360"/>
      </w:pPr>
      <w:r>
        <w:t>Cash, collateral, position liability, fees, and trade P&amp;L reconcile to final equity within one cent; repeated runs are deterministic.</w:t>
      </w:r>
    </w:p>
    <w:p w14:paraId="57F7A1FE" w14:textId="77777777" w:rsidR="00961C4C" w:rsidRDefault="00961C4C" w:rsidP="00961C4C">
      <w:pPr>
        <w:pStyle w:val="Heading1"/>
      </w:pPr>
      <w:r>
        <w:t>Resolved differences from the research draft</w:t>
      </w:r>
    </w:p>
    <w:p w14:paraId="520E8323" w14:textId="77777777" w:rsidR="00961C4C" w:rsidRDefault="00961C4C" w:rsidP="00961C4C">
      <w:r>
        <w:t>The following are deliberate semantic resolutions. They are part of Version 2.0 and must not be changed during implementation without issuing a new specification version.</w:t>
      </w:r>
    </w:p>
    <w:p w14:paraId="11C9A4D8" w14:textId="77777777" w:rsidR="00961C4C" w:rsidRDefault="00961C4C" w:rsidP="00961C4C">
      <w:pPr>
        <w:pStyle w:val="ListBullet"/>
        <w:tabs>
          <w:tab w:val="num" w:pos="360"/>
        </w:tabs>
        <w:ind w:left="360" w:hanging="360"/>
      </w:pPr>
      <w:r>
        <w:t>Selected one canonical implementation: SPY daily bars. Four-hour and multi-instrument variants are excluded rather than mixed into one specification.</w:t>
      </w:r>
    </w:p>
    <w:p w14:paraId="7FC59EBF" w14:textId="77777777" w:rsidR="00961C4C" w:rsidRDefault="00961C4C" w:rsidP="00961C4C">
      <w:pPr>
        <w:pStyle w:val="ListBullet"/>
        <w:tabs>
          <w:tab w:val="num" w:pos="360"/>
        </w:tabs>
        <w:ind w:left="360" w:hanging="360"/>
      </w:pPr>
      <w:r>
        <w:t>Removed pivot look-ahead by delaying recognition for ten completed right-side bars and defined strict pivot ties.</w:t>
      </w:r>
    </w:p>
    <w:p w14:paraId="5B681300" w14:textId="77777777" w:rsidR="00961C4C" w:rsidRDefault="00961C4C" w:rsidP="00961C4C">
      <w:pPr>
        <w:pStyle w:val="ListBullet"/>
        <w:tabs>
          <w:tab w:val="num" w:pos="360"/>
        </w:tabs>
        <w:ind w:left="360" w:hanging="360"/>
      </w:pPr>
      <w:r>
        <w:t>Mapped calendar anchors to actual first trading bars and prevented year/quarter duplicates from creating false two-way confluence.</w:t>
      </w:r>
    </w:p>
    <w:p w14:paraId="42ADCC87" w14:textId="77777777" w:rsidR="00961C4C" w:rsidRDefault="00961C4C" w:rsidP="00961C4C">
      <w:pPr>
        <w:pStyle w:val="ListBullet"/>
        <w:tabs>
          <w:tab w:val="num" w:pos="360"/>
        </w:tabs>
        <w:ind w:left="360" w:hanging="360"/>
      </w:pPr>
      <w:r>
        <w:t>Replaced informal candle names with exact hammer, shooting-star, and engulfing formulas.</w:t>
      </w:r>
    </w:p>
    <w:p w14:paraId="208C359B" w14:textId="77777777" w:rsidR="00961C4C" w:rsidRDefault="00961C4C" w:rsidP="00961C4C">
      <w:pPr>
        <w:pStyle w:val="ListBullet"/>
        <w:tabs>
          <w:tab w:val="num" w:pos="360"/>
        </w:tabs>
        <w:ind w:left="360" w:hanging="360"/>
      </w:pPr>
      <w:r>
        <w:t>Made optional slope and trailing-stop ideas definitively absent, fixed risk at 1%, limited the strategy to one position, and defined all fill and collision mechanics.</w:t>
      </w:r>
    </w:p>
    <w:p w14:paraId="03567CEC" w14:textId="77777777" w:rsidR="00961C4C" w:rsidRDefault="00961C4C"/>
    <w:sectPr w:rsidR="00961C4C" w:rsidSect="00961C4C">
      <w:footerReference w:type="default" r:id="rId7"/>
      <w:pgSz w:w="12240" w:h="15840"/>
      <w:pgMar w:top="1123" w:right="1224" w:bottom="1037" w:left="1224"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D43EF" w14:textId="77777777" w:rsidR="00750EA8" w:rsidRDefault="00750EA8" w:rsidP="00961C4C">
      <w:pPr>
        <w:spacing w:after="0" w:line="240" w:lineRule="auto"/>
      </w:pPr>
      <w:r>
        <w:separator/>
      </w:r>
    </w:p>
  </w:endnote>
  <w:endnote w:type="continuationSeparator" w:id="0">
    <w:p w14:paraId="4D001B7F" w14:textId="77777777" w:rsidR="00750EA8" w:rsidRDefault="00750EA8" w:rsidP="00961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37A0" w14:textId="4F9592AA" w:rsidR="00961C4C" w:rsidRDefault="00961C4C">
    <w:pPr>
      <w:pStyle w:val="Footer"/>
      <w:pBdr>
        <w:bottom w:val="single" w:sz="4" w:space="5" w:color="BFC6CD"/>
      </w:pBdr>
      <w:spacing w:before="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4C376" w14:textId="77777777" w:rsidR="00750EA8" w:rsidRDefault="00750EA8" w:rsidP="00961C4C">
      <w:pPr>
        <w:spacing w:after="0" w:line="240" w:lineRule="auto"/>
      </w:pPr>
      <w:r>
        <w:separator/>
      </w:r>
    </w:p>
  </w:footnote>
  <w:footnote w:type="continuationSeparator" w:id="0">
    <w:p w14:paraId="3A6927F1" w14:textId="77777777" w:rsidR="00750EA8" w:rsidRDefault="00750EA8" w:rsidP="00961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F6C5A6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F86C090"/>
    <w:lvl w:ilvl="0">
      <w:start w:val="1"/>
      <w:numFmt w:val="bullet"/>
      <w:pStyle w:val="ListBullet"/>
      <w:lvlText w:val=""/>
      <w:lvlJc w:val="left"/>
      <w:pPr>
        <w:tabs>
          <w:tab w:val="num" w:pos="360"/>
        </w:tabs>
        <w:ind w:left="360" w:hanging="360"/>
      </w:pPr>
      <w:rPr>
        <w:rFonts w:ascii="Symbol" w:hAnsi="Symbol" w:hint="default"/>
      </w:rPr>
    </w:lvl>
  </w:abstractNum>
  <w:num w:numId="1" w16cid:durableId="817695694">
    <w:abstractNumId w:val="1"/>
  </w:num>
  <w:num w:numId="2" w16cid:durableId="128411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4C"/>
    <w:rsid w:val="00016A32"/>
    <w:rsid w:val="00145804"/>
    <w:rsid w:val="00437EF8"/>
    <w:rsid w:val="00750EA8"/>
    <w:rsid w:val="00961C4C"/>
    <w:rsid w:val="009C0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45EE9"/>
  <w15:chartTrackingRefBased/>
  <w15:docId w15:val="{6EED3CD7-1868-47C6-B9FA-FD2CE813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C4C"/>
    <w:pPr>
      <w:spacing w:after="100" w:line="259" w:lineRule="auto"/>
    </w:pPr>
    <w:rPr>
      <w:rFonts w:ascii="Arial" w:eastAsiaTheme="minorEastAsia" w:hAnsi="Arial"/>
      <w:color w:val="202124"/>
      <w:kern w:val="0"/>
      <w:sz w:val="19"/>
      <w:szCs w:val="22"/>
      <w:lang w:val="en-US"/>
      <w14:ligatures w14:val="none"/>
    </w:rPr>
  </w:style>
  <w:style w:type="paragraph" w:styleId="Heading1">
    <w:name w:val="heading 1"/>
    <w:basedOn w:val="Normal"/>
    <w:next w:val="Normal"/>
    <w:link w:val="Heading1Char"/>
    <w:uiPriority w:val="9"/>
    <w:qFormat/>
    <w:rsid w:val="00961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1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C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C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C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C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1C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C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C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C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C4C"/>
    <w:rPr>
      <w:rFonts w:eastAsiaTheme="majorEastAsia" w:cstheme="majorBidi"/>
      <w:color w:val="272727" w:themeColor="text1" w:themeTint="D8"/>
    </w:rPr>
  </w:style>
  <w:style w:type="paragraph" w:styleId="Title">
    <w:name w:val="Title"/>
    <w:basedOn w:val="Normal"/>
    <w:next w:val="Normal"/>
    <w:link w:val="TitleChar"/>
    <w:uiPriority w:val="10"/>
    <w:qFormat/>
    <w:rsid w:val="00961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C4C"/>
    <w:pPr>
      <w:spacing w:before="160"/>
      <w:jc w:val="center"/>
    </w:pPr>
    <w:rPr>
      <w:i/>
      <w:iCs/>
      <w:color w:val="404040" w:themeColor="text1" w:themeTint="BF"/>
    </w:rPr>
  </w:style>
  <w:style w:type="character" w:customStyle="1" w:styleId="QuoteChar">
    <w:name w:val="Quote Char"/>
    <w:basedOn w:val="DefaultParagraphFont"/>
    <w:link w:val="Quote"/>
    <w:uiPriority w:val="29"/>
    <w:rsid w:val="00961C4C"/>
    <w:rPr>
      <w:i/>
      <w:iCs/>
      <w:color w:val="404040" w:themeColor="text1" w:themeTint="BF"/>
    </w:rPr>
  </w:style>
  <w:style w:type="paragraph" w:styleId="ListParagraph">
    <w:name w:val="List Paragraph"/>
    <w:basedOn w:val="Normal"/>
    <w:uiPriority w:val="34"/>
    <w:qFormat/>
    <w:rsid w:val="00961C4C"/>
    <w:pPr>
      <w:ind w:left="720"/>
      <w:contextualSpacing/>
    </w:pPr>
  </w:style>
  <w:style w:type="character" w:styleId="IntenseEmphasis">
    <w:name w:val="Intense Emphasis"/>
    <w:basedOn w:val="DefaultParagraphFont"/>
    <w:uiPriority w:val="21"/>
    <w:qFormat/>
    <w:rsid w:val="00961C4C"/>
    <w:rPr>
      <w:i/>
      <w:iCs/>
      <w:color w:val="2F5496" w:themeColor="accent1" w:themeShade="BF"/>
    </w:rPr>
  </w:style>
  <w:style w:type="paragraph" w:styleId="IntenseQuote">
    <w:name w:val="Intense Quote"/>
    <w:basedOn w:val="Normal"/>
    <w:next w:val="Normal"/>
    <w:link w:val="IntenseQuoteChar"/>
    <w:uiPriority w:val="30"/>
    <w:qFormat/>
    <w:rsid w:val="00961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C4C"/>
    <w:rPr>
      <w:i/>
      <w:iCs/>
      <w:color w:val="2F5496" w:themeColor="accent1" w:themeShade="BF"/>
    </w:rPr>
  </w:style>
  <w:style w:type="character" w:styleId="IntenseReference">
    <w:name w:val="Intense Reference"/>
    <w:basedOn w:val="DefaultParagraphFont"/>
    <w:uiPriority w:val="32"/>
    <w:qFormat/>
    <w:rsid w:val="00961C4C"/>
    <w:rPr>
      <w:b/>
      <w:bCs/>
      <w:smallCaps/>
      <w:color w:val="2F5496" w:themeColor="accent1" w:themeShade="BF"/>
      <w:spacing w:val="5"/>
    </w:rPr>
  </w:style>
  <w:style w:type="paragraph" w:styleId="Footer">
    <w:name w:val="footer"/>
    <w:basedOn w:val="Normal"/>
    <w:link w:val="FooterChar"/>
    <w:uiPriority w:val="99"/>
    <w:unhideWhenUsed/>
    <w:rsid w:val="00961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C4C"/>
    <w:rPr>
      <w:rFonts w:ascii="Arial" w:eastAsiaTheme="minorEastAsia" w:hAnsi="Arial"/>
      <w:color w:val="202124"/>
      <w:kern w:val="0"/>
      <w:sz w:val="19"/>
      <w:szCs w:val="22"/>
      <w:lang w:val="en-US"/>
      <w14:ligatures w14:val="none"/>
    </w:rPr>
  </w:style>
  <w:style w:type="paragraph" w:styleId="ListBullet">
    <w:name w:val="List Bullet"/>
    <w:basedOn w:val="Normal"/>
    <w:uiPriority w:val="99"/>
    <w:unhideWhenUsed/>
    <w:rsid w:val="00961C4C"/>
    <w:pPr>
      <w:numPr>
        <w:numId w:val="1"/>
      </w:numPr>
      <w:tabs>
        <w:tab w:val="clear" w:pos="360"/>
      </w:tabs>
      <w:spacing w:after="60"/>
      <w:ind w:left="0" w:firstLine="0"/>
      <w:contextualSpacing/>
    </w:pPr>
  </w:style>
  <w:style w:type="paragraph" w:styleId="ListNumber">
    <w:name w:val="List Number"/>
    <w:basedOn w:val="Normal"/>
    <w:uiPriority w:val="99"/>
    <w:unhideWhenUsed/>
    <w:rsid w:val="00961C4C"/>
    <w:pPr>
      <w:numPr>
        <w:numId w:val="2"/>
      </w:numPr>
      <w:tabs>
        <w:tab w:val="clear" w:pos="360"/>
      </w:tabs>
      <w:spacing w:after="60"/>
      <w:ind w:left="0" w:firstLine="0"/>
      <w:contextualSpacing/>
    </w:pPr>
  </w:style>
  <w:style w:type="table" w:styleId="TableGrid">
    <w:name w:val="Table Grid"/>
    <w:basedOn w:val="TableNormal"/>
    <w:uiPriority w:val="59"/>
    <w:rsid w:val="00961C4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1C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1C4C"/>
    <w:rPr>
      <w:rFonts w:ascii="Arial" w:eastAsiaTheme="minorEastAsia" w:hAnsi="Arial"/>
      <w:color w:val="202124"/>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1886</Words>
  <Characters>10755</Characters>
  <Application>Microsoft Office Word</Application>
  <DocSecurity>0</DocSecurity>
  <Lines>89</Lines>
  <Paragraphs>25</Paragraphs>
  <ScaleCrop>false</ScaleCrop>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mahajan</dc:creator>
  <cp:keywords/>
  <dc:description/>
  <cp:lastModifiedBy>gaurav mahajan</cp:lastModifiedBy>
  <cp:revision>2</cp:revision>
  <dcterms:created xsi:type="dcterms:W3CDTF">2026-08-22T14:16:00Z</dcterms:created>
  <dcterms:modified xsi:type="dcterms:W3CDTF">2026-08-22T14:32:00Z</dcterms:modified>
</cp:coreProperties>
</file>