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EE7"/>
          <w:left w:val="single" w:sz="8" w:color="D9DEE7"/>
          <w:bottom w:val="single" w:sz="8" w:color="D9DEE7"/>
          <w:right w:val="single" w:sz="8" w:color="D9DEE7"/>
          <w:insideH w:val="single" w:sz="8" w:color="D9DEE7"/>
          <w:insideV w:val="single" w:sz="8" w:color="D9DEE7"/>
        </w:tblBorders>
      </w:tblPr>
      <w:tblGrid>
        <w:gridCol w:w="5365"/>
        <w:gridCol w:w="5365"/>
        <w:gridCol w:w="5365"/>
      </w:tblGrid>
      <w:tr>
        <w:tc>
          <w:tcPr>
            <w:tcW w:type="dxa" w:w="3061"/>
            <w:shd w:fill="B4232B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BRIGHTPATH PRIMARY LEARNING</w:t>
              <w:br/>
              <w:t>YEAR 1 MATHS</w:t>
            </w:r>
          </w:p>
        </w:tc>
        <w:tc>
          <w:tcPr>
            <w:tcW w:type="dxa" w:w="8277"/>
            <w:shd w:fill="FFF7EA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17253A"/>
                <w:sz w:val="25"/>
              </w:rPr>
              <w:t>SORT OBJECTS INTO GROUPS</w:t>
              <w:br/>
              <w:t>Autumn | Week 1 | Day 1 | 60 minutes</w:t>
            </w:r>
          </w:p>
        </w:tc>
        <w:tc>
          <w:tcPr>
            <w:tcW w:type="dxa" w:w="3402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Teacher/class: __________________</w:t>
              <w:br/>
              <w:t>Date/time: ______________________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EE7"/>
          <w:left w:val="single" w:sz="8" w:color="D9DEE7"/>
          <w:bottom w:val="single" w:sz="8" w:color="D9DEE7"/>
          <w:right w:val="single" w:sz="8" w:color="D9DEE7"/>
          <w:insideH w:val="single" w:sz="8" w:color="D9DEE7"/>
          <w:insideV w:val="single" w:sz="8" w:color="D9DEE7"/>
        </w:tblBorders>
      </w:tblPr>
      <w:tblGrid>
        <w:gridCol w:w="4024"/>
        <w:gridCol w:w="4024"/>
        <w:gridCol w:w="4024"/>
        <w:gridCol w:w="4024"/>
      </w:tblGrid>
      <w:tr>
        <w:tc>
          <w:tcPr>
            <w:tcW w:type="dxa" w:w="1814"/>
            <w:shd w:fill="B4232B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LI / LO</w:t>
            </w:r>
          </w:p>
        </w:tc>
        <w:tc>
          <w:tcPr>
            <w:tcW w:type="dxa" w:w="5556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To sort objects into groups and explain one clear sorting rule.</w:t>
            </w:r>
          </w:p>
        </w:tc>
        <w:tc>
          <w:tcPr>
            <w:tcW w:type="dxa" w:w="1814"/>
            <w:shd w:fill="B4232B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Success</w:t>
            </w:r>
          </w:p>
        </w:tc>
        <w:tc>
          <w:tcPr>
            <w:tcW w:type="dxa" w:w="5556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Notice a property; keep one rule; explain with because.</w:t>
            </w:r>
          </w:p>
        </w:tc>
      </w:tr>
      <w:tr>
        <w:tc>
          <w:tcPr>
            <w:tcW w:type="dxa" w:w="1814"/>
            <w:shd w:fill="3F7DC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Prior learning</w:t>
            </w:r>
          </w:p>
        </w:tc>
        <w:tc>
          <w:tcPr>
            <w:tcW w:type="dxa" w:w="5556"/>
            <w:shd w:fill="E9F4FB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Name colours and simple 2-D shapes; say how two objects are the same/different.</w:t>
            </w:r>
          </w:p>
        </w:tc>
        <w:tc>
          <w:tcPr>
            <w:tcW w:type="dxa" w:w="1814"/>
            <w:shd w:fill="3F7DC0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Vocabulary</w:t>
            </w:r>
          </w:p>
        </w:tc>
        <w:tc>
          <w:tcPr>
            <w:tcW w:type="dxa" w:w="5556"/>
            <w:shd w:fill="E9F4FB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sort, group, property, rule, same, different, colour, shape, size, type</w:t>
            </w:r>
          </w:p>
        </w:tc>
      </w:tr>
    </w:tbl>
    <w:p>
      <w:pPr>
        <w:spacing w:before="40" w:after="20"/>
      </w:pPr>
      <w:r>
        <w:rPr>
          <w:rFonts w:ascii="Arial" w:hAnsi="Arial"/>
          <w:b/>
          <w:color w:val="B4232B"/>
          <w:sz w:val="16"/>
        </w:rPr>
        <w:t>DETAILED TEACHING SEQUENCE — follow in order; slide numbers refer to the teaching PowerPoint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EE7"/>
          <w:left w:val="single" w:sz="8" w:color="D9DEE7"/>
          <w:bottom w:val="single" w:sz="8" w:color="D9DEE7"/>
          <w:right w:val="single" w:sz="8" w:color="D9DEE7"/>
          <w:insideH w:val="single" w:sz="8" w:color="D9DEE7"/>
          <w:insideV w:val="single" w:sz="8" w:color="D9DEE7"/>
        </w:tblBorders>
      </w:tblPr>
      <w:tblGrid>
        <w:gridCol w:w="4024"/>
        <w:gridCol w:w="4024"/>
        <w:gridCol w:w="4024"/>
        <w:gridCol w:w="4024"/>
      </w:tblGrid>
      <w:tr>
        <w:trPr>
          <w:tblHeader w:val="true"/>
        </w:trPr>
        <w:tc>
          <w:tcPr>
            <w:tcW w:type="dxa" w:w="680"/>
            <w:shd w:fill="B4232B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Time</w:t>
            </w:r>
          </w:p>
        </w:tc>
        <w:tc>
          <w:tcPr>
            <w:tcW w:type="dxa" w:w="794"/>
            <w:shd w:fill="B4232B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Slides</w:t>
            </w:r>
          </w:p>
        </w:tc>
        <w:tc>
          <w:tcPr>
            <w:tcW w:type="dxa" w:w="6690"/>
            <w:shd w:fill="B4232B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Teacher does / says</w:t>
            </w:r>
          </w:p>
        </w:tc>
        <w:tc>
          <w:tcPr>
            <w:tcW w:type="dxa" w:w="6576"/>
            <w:shd w:fill="B4232B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Children, check and adapt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0–4</w:t>
            </w:r>
          </w:p>
        </w:tc>
        <w:tc>
          <w:tcPr>
            <w:tcW w:type="dxa" w:w="794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1</w:t>
            </w:r>
          </w:p>
        </w:tc>
        <w:tc>
          <w:tcPr>
            <w:tcW w:type="dxa" w:w="6690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Before pupils enter, place mixed objects and two hoops on each table. Change the editable date. Check sharp pencils, mini-whiteboards and partners. Read: ‘Today we will sort objects into groups.’</w:t>
            </w:r>
          </w:p>
        </w:tc>
        <w:tc>
          <w:tcPr>
            <w:tcW w:type="dxa" w:w="6576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Children collect equipment, read the LI and predict how hoops may be used. If resources are missing, use one teacher set and the slide shapes.</w:t>
            </w:r>
          </w:p>
        </w:tc>
      </w:tr>
      <w:tr>
        <w:trPr>
          <w:cantSplit/>
        </w:trPr>
        <w:tc>
          <w:tcPr>
            <w:tcW w:type="dxa" w:w="680"/>
            <w:shd w:fill="FFF7EA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4–9</w:t>
            </w:r>
          </w:p>
        </w:tc>
        <w:tc>
          <w:tcPr>
            <w:tcW w:type="dxa" w:w="794"/>
            <w:shd w:fill="FFF7EA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2</w:t>
            </w:r>
          </w:p>
        </w:tc>
        <w:tc>
          <w:tcPr>
            <w:tcW w:type="dxa" w:w="6690"/>
            <w:shd w:fill="FFF7EA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TEACH the definition: sorting means putting objects into groups using one clear rule. Contrast the colour example with the mixed non-example. Explain that a sort must be stated and checked.</w:t>
            </w:r>
          </w:p>
        </w:tc>
        <w:tc>
          <w:tcPr>
            <w:tcW w:type="dxa" w:w="6576"/>
            <w:shd w:fill="FFF7EA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Children identify the rule in the first example. Ask: ‘Can we check the mixed box without a rule?’ Expected: no—not until the rule is stated.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9–14</w:t>
            </w:r>
          </w:p>
        </w:tc>
        <w:tc>
          <w:tcPr>
            <w:tcW w:type="dxa" w:w="794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3–5</w:t>
            </w:r>
          </w:p>
        </w:tc>
        <w:tc>
          <w:tcPr>
            <w:tcW w:type="dxa" w:w="6690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REVISIT same/different, reveal the word property, then teach sort, group, property and rule with gestures. Introduce Pip: ‘Pip makes mistakes; we explain them kindly.’</w:t>
            </w:r>
          </w:p>
        </w:tc>
        <w:tc>
          <w:tcPr>
            <w:tcW w:type="dxa" w:w="6576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Children use ‘same/different because…’, repeat vocabulary and name one property. Lower/CUSP pupils may point before speaking.</w:t>
            </w:r>
          </w:p>
        </w:tc>
      </w:tr>
      <w:tr>
        <w:trPr>
          <w:cantSplit/>
        </w:trPr>
        <w:tc>
          <w:tcPr>
            <w:tcW w:type="dxa" w:w="680"/>
            <w:shd w:fill="FFF7EA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14–22</w:t>
            </w:r>
          </w:p>
        </w:tc>
        <w:tc>
          <w:tcPr>
            <w:tcW w:type="dxa" w:w="794"/>
            <w:shd w:fill="FFF7EA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6–7</w:t>
            </w:r>
          </w:p>
        </w:tc>
        <w:tc>
          <w:tcPr>
            <w:tcW w:type="dxa" w:w="6690"/>
            <w:shd w:fill="FFF7EA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TEACH four steps: notice, choose, say/place, check. MODEL sorting by colour. Say: ‘I am sorting by colour. This is red, so it belongs in red.’ Check every object at the end.</w:t>
            </w:r>
          </w:p>
        </w:tc>
        <w:tc>
          <w:tcPr>
            <w:tcW w:type="dxa" w:w="6576"/>
            <w:shd w:fill="FFF7EA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Children repeat the four steps and track each placement. Emphasise: an object has many properties, but the chosen rule tells us which matters now.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22–29</w:t>
            </w:r>
          </w:p>
        </w:tc>
        <w:tc>
          <w:tcPr>
            <w:tcW w:type="dxa" w:w="794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8</w:t>
            </w:r>
          </w:p>
        </w:tc>
        <w:tc>
          <w:tcPr>
            <w:tcW w:type="dxa" w:w="6690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GUIDED: pupils point first, rehearse, then explain: ‘The blue triangle belongs in the blue group because it is blue.’ Repeat with 2–3 real objects. Do not take shouted answers.</w:t>
            </w:r>
          </w:p>
        </w:tc>
        <w:tc>
          <w:tcPr>
            <w:tcW w:type="dxa" w:w="6576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Point, partner-rehearse and justify with because. If a child uses shape, ask: ‘What is our rule?’ Give forced choice red/blue if needed.</w:t>
            </w:r>
          </w:p>
        </w:tc>
      </w:tr>
      <w:tr>
        <w:trPr>
          <w:cantSplit/>
        </w:trPr>
        <w:tc>
          <w:tcPr>
            <w:tcW w:type="dxa" w:w="680"/>
            <w:shd w:fill="FFF7EA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29–36</w:t>
            </w:r>
          </w:p>
        </w:tc>
        <w:tc>
          <w:tcPr>
            <w:tcW w:type="dxa" w:w="794"/>
            <w:shd w:fill="FFF7EA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9–10</w:t>
            </w:r>
          </w:p>
        </w:tc>
        <w:tc>
          <w:tcPr>
            <w:tcW w:type="dxa" w:w="6690"/>
            <w:shd w:fill="FFF7EA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MISCONCEPTION: Show Pip’s sort. Ask: ‘What rule did Pip say? Which object breaks it? How do you know?’ Reveal the correction only after pupils explain.</w:t>
            </w:r>
          </w:p>
        </w:tc>
        <w:tc>
          <w:tcPr>
            <w:tcW w:type="dxa" w:w="6576"/>
            <w:shd w:fill="FFF7EA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Expected: ‘The blue triangle belongs in blue because the rule is colour.’ If pupils move a red square, restate that shape does not matter under this rule.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36–43</w:t>
            </w:r>
          </w:p>
        </w:tc>
        <w:tc>
          <w:tcPr>
            <w:tcW w:type="dxa" w:w="794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11–12</w:t>
            </w:r>
          </w:p>
        </w:tc>
        <w:tc>
          <w:tcPr>
            <w:tcW w:type="dxa" w:w="6690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RE-TEACH/DEEPEN: mix the same objects and sort by shape. Ask what changed/stayed the same. Partners choose a rule and repeat each other’s explanation.</w:t>
            </w:r>
          </w:p>
        </w:tc>
        <w:tc>
          <w:tcPr>
            <w:tcW w:type="dxa" w:w="6576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Children explain that objects stayed the same but the rule/groups changed. Verify both colour and shape sorts are valid when applied consistently.</w:t>
            </w:r>
          </w:p>
        </w:tc>
      </w:tr>
      <w:tr>
        <w:trPr>
          <w:cantSplit/>
        </w:trPr>
        <w:tc>
          <w:tcPr>
            <w:tcW w:type="dxa" w:w="680"/>
            <w:shd w:fill="FFF7EA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43–56</w:t>
            </w:r>
          </w:p>
        </w:tc>
        <w:tc>
          <w:tcPr>
            <w:tcW w:type="dxa" w:w="794"/>
            <w:shd w:fill="FFF7EA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13–14</w:t>
            </w:r>
          </w:p>
        </w:tc>
        <w:tc>
          <w:tcPr>
            <w:tcW w:type="dxa" w:w="6690"/>
            <w:shd w:fill="FFF7EA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INDEPENDENT: Lower—real objects and one shown property. Expected—sort pictures and record rule. Higher/finisher—same six objects, two rules, compare. Circulate asking: ‘What is your rule?’ ‘Does every object follow it?’</w:t>
            </w:r>
          </w:p>
        </w:tc>
        <w:tc>
          <w:tcPr>
            <w:tcW w:type="dxa" w:w="6576"/>
            <w:shd w:fill="FFF7EA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Children complete the assigned sheet and show thinking. Move a pupil to more/less support if evidence changes. Higher pupils prove both rules for every object.</w:t>
            </w:r>
          </w:p>
        </w:tc>
      </w:tr>
      <w:tr>
        <w:trPr>
          <w:cantSplit/>
        </w:trPr>
        <w:tc>
          <w:tcPr>
            <w:tcW w:type="dxa" w:w="680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56–60</w:t>
            </w:r>
          </w:p>
        </w:tc>
        <w:tc>
          <w:tcPr>
            <w:tcW w:type="dxa" w:w="794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15</w:t>
            </w:r>
          </w:p>
        </w:tc>
        <w:tc>
          <w:tcPr>
            <w:tcW w:type="dxa" w:w="6690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EXIT: ask all three questions. Answers: sort = put into groups; property = colour/shape/size/type; same rule = check every object fairly. Collect sheets and record initials.</w:t>
            </w:r>
          </w:p>
        </w:tc>
        <w:tc>
          <w:tcPr>
            <w:tcW w:type="dxa" w:w="6576"/>
            <w:shd w:fill="FFFFFF"/>
            <w:vAlign w:val="center"/>
            <w:tcMar>
              <w:top w:w="35" w:type="dxa"/>
              <w:start w:w="55" w:type="dxa"/>
              <w:bottom w:w="35" w:type="dxa"/>
              <w:end w:w="55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7253A"/>
                <w:sz w:val="12"/>
              </w:rPr>
              <w:t>Children answer orally/on whiteboard. Use explanations and sheet, not confidence alone. Repeat pre-teach tomorrow if a child cannot state or keep a rule.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D9DEE7"/>
          <w:left w:val="single" w:sz="8" w:color="D9DEE7"/>
          <w:bottom w:val="single" w:sz="8" w:color="D9DEE7"/>
          <w:right w:val="single" w:sz="8" w:color="D9DEE7"/>
          <w:insideH w:val="single" w:sz="8" w:color="D9DEE7"/>
          <w:insideV w:val="single" w:sz="8" w:color="D9DEE7"/>
        </w:tblBorders>
      </w:tblPr>
      <w:tblGrid>
        <w:gridCol w:w="5365"/>
        <w:gridCol w:w="5365"/>
        <w:gridCol w:w="5365"/>
      </w:tblGrid>
      <w:tr>
        <w:tc>
          <w:tcPr>
            <w:tcW w:type="dxa" w:w="4910"/>
            <w:shd w:fill="E9F4FB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3F7DC0"/>
                <w:sz w:val="13"/>
              </w:rPr>
              <w:t>RESOURCES + READINESS</w:t>
            </w:r>
          </w:p>
          <w:p>
            <w:pPr>
              <w:spacing w:after="0"/>
            </w:pPr>
            <w:r>
              <w:rPr>
                <w:rFonts w:ascii="Arial" w:hAnsi="Arial"/>
                <w:color w:val="17253A"/>
                <w:sz w:val="11"/>
              </w:rPr>
              <w:t>2 hoops/trays per pair; mixed red/blue circles, squares and triangles; mini-whiteboards; slides; three worksheets; pre-teach sheet. Check projector, date, pencils, object trays and named adult before pupils arrive.</w:t>
            </w:r>
          </w:p>
        </w:tc>
        <w:tc>
          <w:tcPr>
            <w:tcW w:type="dxa" w:w="4910"/>
            <w:shd w:fill="E9F4FB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3F7DC0"/>
                <w:sz w:val="13"/>
              </w:rPr>
              <w:t>SEND / ADHD / ODD / EAL</w:t>
            </w:r>
          </w:p>
          <w:p>
            <w:pPr>
              <w:spacing w:after="0"/>
            </w:pPr>
            <w:r>
              <w:rPr>
                <w:rFonts w:ascii="Arial" w:hAnsi="Arial"/>
                <w:color w:val="17253A"/>
                <w:sz w:val="11"/>
              </w:rPr>
              <w:t>Concrete objects; one instruction at a time; pointing before speaking; sentence stem; reduced set; visual timer; active object-moving role; calm choice of which group first; private correction; larger objects/alternative recording. Initials/adult: __________________________</w:t>
            </w:r>
          </w:p>
        </w:tc>
        <w:tc>
          <w:tcPr>
            <w:tcW w:type="dxa" w:w="4910"/>
            <w:shd w:fill="E9F4FB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3F7DC0"/>
                <w:sz w:val="13"/>
              </w:rPr>
              <w:t>MISCONCEPTIONS + RESPONSE</w:t>
            </w:r>
          </w:p>
          <w:p>
            <w:pPr>
              <w:spacing w:after="0"/>
            </w:pPr>
            <w:r>
              <w:rPr>
                <w:rFonts w:ascii="Arial" w:hAnsi="Arial"/>
                <w:color w:val="17253A"/>
                <w:sz w:val="11"/>
              </w:rPr>
              <w:t>Changes rule → restate it and check every object. Sorts by preference → ask which property matters. Different sort judged wrong → show same set sorted twice. Cannot explain → point/move, then co-construct ‘because’.</w:t>
            </w:r>
          </w:p>
        </w:tc>
      </w:tr>
      <w:tr>
        <w:tc>
          <w:tcPr>
            <w:tcW w:type="dxa" w:w="4910"/>
            <w:shd w:fill="FFF0E7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B4232B"/>
                <w:sz w:val="13"/>
              </w:rPr>
              <w:t>PRE-TEACH (10–12 MIN BEFORE)</w:t>
            </w:r>
          </w:p>
          <w:p>
            <w:pPr>
              <w:spacing w:after="0"/>
            </w:pPr>
            <w:r>
              <w:rPr>
                <w:rFonts w:ascii="Arial" w:hAnsi="Arial"/>
                <w:color w:val="17253A"/>
                <w:sz w:val="11"/>
              </w:rPr>
              <w:t>Group/initials: __________________  Adult: __________  Use 2 red + 2 blue objects. Name colours; place first object in each hoop; match one object; state ‘sort by colour’; insert one error; pupil moves and explains. Mark independent / prompted / not yet.</w:t>
            </w:r>
          </w:p>
        </w:tc>
        <w:tc>
          <w:tcPr>
            <w:tcW w:type="dxa" w:w="4910"/>
            <w:shd w:fill="FFF0E7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B4232B"/>
                <w:sz w:val="13"/>
              </w:rPr>
              <w:t>FORMATIVE ASSESSMENT</w:t>
            </w:r>
          </w:p>
          <w:p>
            <w:pPr>
              <w:spacing w:after="0"/>
            </w:pPr>
            <w:r>
              <w:rPr>
                <w:rFonts w:ascii="Arial" w:hAnsi="Arial"/>
                <w:color w:val="17253A"/>
                <w:sz w:val="11"/>
              </w:rPr>
              <w:t>Listen for the words property and rule; check every placement; photograph one correct concrete sort if useful. Secure = states and applies one rule independently. Developing = sorts correctly but needs language prompt. Not yet = changes rule or matches randomly.</w:t>
            </w:r>
          </w:p>
        </w:tc>
        <w:tc>
          <w:tcPr>
            <w:tcW w:type="dxa" w:w="4910"/>
            <w:shd w:fill="FFF0E7"/>
            <w:tcMar>
              <w:top w:w="40" w:type="dxa"/>
              <w:start w:w="60" w:type="dxa"/>
              <w:bottom w:w="40" w:type="dxa"/>
              <w:end w:w="60" w:type="dxa"/>
            </w:tcMar>
          </w:tcPr>
          <w:p>
            <w:pPr>
              <w:spacing w:after="20"/>
            </w:pPr>
            <w:r/>
            <w:r>
              <w:rPr>
                <w:rFonts w:ascii="Arial" w:hAnsi="Arial"/>
                <w:b/>
                <w:color w:val="B4232B"/>
                <w:sz w:val="13"/>
              </w:rPr>
              <w:t>AFTER / NEXT STEP</w:t>
            </w:r>
          </w:p>
          <w:p>
            <w:pPr>
              <w:spacing w:after="0"/>
            </w:pPr>
            <w:r>
              <w:rPr>
                <w:rFonts w:ascii="Arial" w:hAnsi="Arial"/>
                <w:color w:val="17253A"/>
                <w:sz w:val="11"/>
              </w:rPr>
              <w:t>Needs repeat pre-teach: __________________  Secure: __________________  Ready to deepen: __________________  Adult notes: __________________________________________________________________________________</w:t>
            </w:r>
          </w:p>
        </w:tc>
      </w:tr>
    </w:tbl>
    <w:sectPr w:rsidR="00FC693F" w:rsidRPr="0006063C" w:rsidSect="00034616">
      <w:pgSz w:w="16834" w:h="11909" w:orient="landscape"/>
      <w:pgMar w:top="312" w:right="369" w:bottom="312" w:left="36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