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B91C1C"/>
          <w:sz w:val="18"/>
        </w:rPr>
        <w:t>BRIGHTPATH PRIMARY LEARNING</w:t>
      </w:r>
    </w:p>
    <w:p>
      <w:pPr>
        <w:spacing w:after="80"/>
        <w:jc w:val="center"/>
      </w:pPr>
      <w:r>
        <w:rPr>
          <w:rFonts w:ascii="Arial" w:hAnsi="Arial"/>
          <w:b/>
          <w:color w:val="000000"/>
          <w:sz w:val="46"/>
        </w:rPr>
        <w:t>Match numerals to quantities 0 to 5</w:t>
      </w:r>
    </w:p>
    <w:p>
      <w:pPr>
        <w:jc w:val="center"/>
      </w:pPr>
      <w:r>
        <w:rPr>
          <w:color w:val="64748B"/>
        </w:rPr>
        <w:t>Year 1 Maths | Autumn | Week 1 | Day 4 | Editable teacher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/ class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Date / time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Learning objective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Match each numeral from 0 to 5 to a set with the same quantity.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Prior learning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can represent and count numbers from 0 to 5.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Vocabulary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numeral, quantity, match, same, how many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Resources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Numeral cards 0 to 5, dot and object cards, five frames, counters, matching game cards.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National Curriculum link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Count, read, write and use numbers; use concrete objects and pictorial representations; explain mathematical thinking.</w:t>
            </w:r>
          </w:p>
        </w:tc>
      </w:tr>
    </w:tbl>
    <w:p>
      <w:pPr>
        <w:pStyle w:val="Heading2"/>
        <w:keepNext/>
      </w:pPr>
      <w:r>
        <w:rPr>
          <w:color w:val="000000"/>
        </w:rPr>
        <w:t>Success criteria</w:t>
      </w:r>
    </w:p>
    <w:p>
      <w:pPr>
        <w:pStyle w:val="ListBullet"/>
        <w:spacing w:after="60"/>
      </w:pPr>
      <w:r>
        <w:t>I can recognise numerals 0 to 5.</w:t>
      </w:r>
    </w:p>
    <w:p>
      <w:pPr>
        <w:pStyle w:val="ListBullet"/>
        <w:spacing w:after="60"/>
      </w:pPr>
      <w:r>
        <w:t>I can count a quantity accurately.</w:t>
      </w:r>
    </w:p>
    <w:p>
      <w:pPr>
        <w:pStyle w:val="ListBullet"/>
        <w:spacing w:after="60"/>
      </w:pPr>
      <w:r>
        <w:t>I can match the numeral and quantity when they show the same number.</w:t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Editable inclusion and adaptation plan</w:t>
      </w:r>
    </w:p>
    <w:p>
      <w:r>
        <w:rPr>
          <w:i/>
        </w:rPr>
        <w:t>Complete before teaching. Record initials rather than full pupil names. Adapt the pitch, representation, language, pace and outcome to remove barriers while keeping the mathematical goal ambitious.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5"/>
        <w:gridCol w:w="3365"/>
        <w:gridCol w:w="3365"/>
      </w:tblGrid>
      <w:tr>
        <w:trPr>
          <w:tblHeader w:val="true"/>
        </w:trPr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Pupil initials / group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Barrier or need</w:t>
            </w:r>
          </w:p>
        </w:tc>
        <w:tc>
          <w:tcPr>
            <w:tcW w:type="dxa" w:w="3365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Adaptation, reasonable adjustment or adult support</w:t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  <w:tr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  <w:tc>
          <w:tcPr>
            <w:tcW w:type="dxa" w:w="336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br/>
              <w:br/>
            </w:r>
          </w:p>
        </w:tc>
      </w:tr>
    </w:tbl>
    <w:p>
      <w:pPr>
        <w:pStyle w:val="Heading2"/>
        <w:keepNext/>
      </w:pPr>
      <w:r>
        <w:rPr>
          <w:color w:val="000000"/>
        </w:rPr>
        <w:t>Whole-class adjustments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SEND / cognition and learning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Use concrete objects, one instruction at a time, visual examples, reduced item count and overlearning.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Communication / EAL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Pre-teach vocabulary with objects and gestures; model a full sentence stem; allow rehearsal with a partner.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Sensory / physical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Offer larger objects, uncluttered workspace, alternative recording and movement breaks as needed.</w:t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Higher prior attainment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Ask for a second method, proof, counterexample or generalisation; require precise mathematical language.</w:t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edits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Adult deployment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color w:val="000000"/>
        </w:rPr>
        <w:t>Teaching sequence (60 minutes)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4"/>
        <w:gridCol w:w="2524"/>
        <w:gridCol w:w="2524"/>
        <w:gridCol w:w="2524"/>
      </w:tblGrid>
      <w:tr>
        <w:trPr>
          <w:tblHeader w:val="true"/>
        </w:trPr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Teacher and pupil activity</w:t>
            </w:r>
          </w:p>
        </w:tc>
        <w:tc>
          <w:tcPr>
            <w:tcW w:type="dxa" w:w="252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Assessment / adaptation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0-5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Revisit and assess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Hold up numeral cards 0 to 5 in mixed order. Children show the matching number of fingers.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E293B"/>
                <w:sz w:val="18"/>
              </w:rPr>
              <w:t>Listen for secure prerequisite language.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5-20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Explicit modelling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1. Read the numeral.</w:t>
              <w:br/>
              <w:t>2. Count the objects in the set once.</w:t>
              <w:br/>
              <w:t>3. Compare the number said with the numeral.</w:t>
              <w:br/>
              <w:t>4. Place them together only when both show the same quantity.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Think aloud; vary the example and non-example.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20-35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Guided practice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Pairs play a matching game with numeral cards and quantity cards. Every match must be proved by counting.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Question pupils before accepting choral answers.</w:t>
            </w:r>
          </w:p>
        </w:tc>
      </w:tr>
      <w:tr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35-55 min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Independent practice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Children complete the chosen matching worksheet. Lower group uses five frames. Expected group matches mixed arrangements. Higher group identifies false matches and creates clues.</w:t>
            </w:r>
          </w:p>
        </w:tc>
        <w:tc>
          <w:tcPr>
            <w:tcW w:type="dxa" w:w="2524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Choose the worksheet by current need, not a fixed label.</w:t>
            </w:r>
          </w:p>
        </w:tc>
      </w:tr>
      <w:tr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55-60 min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Plenary / exit check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Show numeral 4 beside five dots. Children decide whether it is a match and explain the correction.</w:t>
            </w:r>
          </w:p>
        </w:tc>
        <w:tc>
          <w:tcPr>
            <w:tcW w:type="dxa" w:w="2524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  <w:t>Record who is ready, needs pre-teach or needs challenge.</w:t>
            </w:r>
          </w:p>
        </w:tc>
      </w:tr>
    </w:tbl>
    <w:p>
      <w:pPr>
        <w:pStyle w:val="Heading2"/>
        <w:keepNext/>
      </w:pPr>
      <w:r>
        <w:rPr>
          <w:color w:val="000000"/>
        </w:rPr>
        <w:t>Key misconception and response</w:t>
      </w:r>
    </w:p>
    <w:p>
      <w:r>
        <w:t>A child matches by appearance or position instead of counting. Count the set first, then name the numeral.</w:t>
      </w:r>
    </w:p>
    <w:p>
      <w:pPr>
        <w:pStyle w:val="Heading2"/>
        <w:keepNext/>
      </w:pPr>
      <w:r>
        <w:rPr>
          <w:color w:val="000000"/>
        </w:rPr>
        <w:t>Assessment notes / next lesson</w:t>
      </w:r>
    </w:p>
    <w:p>
      <w:r>
        <w:br/>
        <w:br/>
        <w:br/>
      </w:r>
    </w:p>
    <w:p>
      <w:r>
        <w:br w:type="page"/>
      </w:r>
    </w:p>
    <w:p>
      <w:pPr>
        <w:pStyle w:val="Heading1"/>
        <w:keepNext/>
      </w:pPr>
      <w:r>
        <w:rPr>
          <w:color w:val="000000"/>
        </w:rPr>
        <w:t>Pre-teach and worksheet answer guide</w:t>
      </w:r>
    </w:p>
    <w:p>
      <w:pPr>
        <w:pStyle w:val="Heading2"/>
        <w:keepNext/>
      </w:pPr>
      <w:r>
        <w:rPr>
          <w:color w:val="000000"/>
        </w:rPr>
        <w:t>Pre-teach</w:t>
      </w:r>
    </w:p>
    <w:p>
      <w:pPr>
        <w:spacing w:after="60"/>
      </w:pPr>
      <w:r>
        <w:rPr>
          <w:b/>
        </w:rPr>
        <w:t xml:space="preserve">1. </w:t>
      </w:r>
      <w:r>
        <w:t>One dot.</w:t>
      </w:r>
    </w:p>
    <w:p>
      <w:pPr>
        <w:spacing w:after="60"/>
      </w:pPr>
      <w:r>
        <w:rPr>
          <w:b/>
        </w:rPr>
        <w:t xml:space="preserve">2. </w:t>
      </w:r>
      <w:r>
        <w:t>4.</w:t>
      </w:r>
    </w:p>
    <w:p>
      <w:pPr>
        <w:spacing w:after="60"/>
      </w:pPr>
      <w:r>
        <w:rPr>
          <w:b/>
        </w:rPr>
        <w:t xml:space="preserve">3. </w:t>
      </w:r>
      <w:r>
        <w:t>0.</w:t>
      </w:r>
    </w:p>
    <w:p>
      <w:pPr>
        <w:spacing w:after="60"/>
      </w:pPr>
      <w:r>
        <w:rPr>
          <w:b/>
        </w:rPr>
        <w:t xml:space="preserve">4. </w:t>
      </w:r>
      <w:r>
        <w:t>No.</w:t>
      </w:r>
    </w:p>
    <w:p>
      <w:pPr>
        <w:pStyle w:val="Heading2"/>
        <w:keepNext/>
      </w:pPr>
      <w:r>
        <w:rPr>
          <w:color w:val="000000"/>
        </w:rPr>
        <w:t>Lower support</w:t>
      </w:r>
    </w:p>
    <w:p>
      <w:pPr>
        <w:spacing w:after="60"/>
      </w:pPr>
      <w:r>
        <w:rPr>
          <w:b/>
        </w:rPr>
        <w:t xml:space="preserve">1. </w:t>
      </w:r>
      <w:r>
        <w:t>●.</w:t>
      </w:r>
    </w:p>
    <w:p>
      <w:pPr>
        <w:spacing w:after="60"/>
      </w:pPr>
      <w:r>
        <w:rPr>
          <w:b/>
        </w:rPr>
        <w:t xml:space="preserve">2. </w:t>
      </w:r>
      <w:r>
        <w:t>★★.</w:t>
      </w:r>
    </w:p>
    <w:p>
      <w:pPr>
        <w:spacing w:after="60"/>
      </w:pPr>
      <w:r>
        <w:rPr>
          <w:b/>
        </w:rPr>
        <w:t xml:space="preserve">3. </w:t>
      </w:r>
      <w:r>
        <w:t>Empty box.</w:t>
      </w:r>
    </w:p>
    <w:p>
      <w:pPr>
        <w:spacing w:after="60"/>
      </w:pPr>
      <w:r>
        <w:rPr>
          <w:b/>
        </w:rPr>
        <w:t xml:space="preserve">4. </w:t>
      </w:r>
      <w:r>
        <w:t>4.</w:t>
      </w:r>
    </w:p>
    <w:p>
      <w:pPr>
        <w:spacing w:after="60"/>
      </w:pPr>
      <w:r>
        <w:rPr>
          <w:b/>
        </w:rPr>
        <w:t xml:space="preserve">5. </w:t>
      </w:r>
      <w:r>
        <w:t>Three objects.</w:t>
      </w:r>
    </w:p>
    <w:p>
      <w:pPr>
        <w:pStyle w:val="Heading2"/>
        <w:keepNext/>
      </w:pPr>
      <w:r>
        <w:rPr>
          <w:color w:val="000000"/>
        </w:rPr>
        <w:t>Expected</w:t>
      </w:r>
    </w:p>
    <w:p>
      <w:pPr>
        <w:spacing w:after="60"/>
      </w:pPr>
      <w:r>
        <w:rPr>
          <w:b/>
        </w:rPr>
        <w:t xml:space="preserve">1. </w:t>
      </w:r>
      <w:r>
        <w:t>Each numeral matches the pattern with that many dots.</w:t>
      </w:r>
    </w:p>
    <w:p>
      <w:pPr>
        <w:spacing w:after="60"/>
      </w:pPr>
      <w:r>
        <w:rPr>
          <w:b/>
        </w:rPr>
        <w:t xml:space="preserve">2. </w:t>
      </w:r>
      <w:r>
        <w:t>No. Remove one dot or change the numeral to 3.</w:t>
      </w:r>
    </w:p>
    <w:p>
      <w:pPr>
        <w:spacing w:after="60"/>
      </w:pPr>
      <w:r>
        <w:rPr>
          <w:b/>
        </w:rPr>
        <w:t xml:space="preserve">3. </w:t>
      </w:r>
      <w:r>
        <w:t>Five objects.</w:t>
      </w:r>
    </w:p>
    <w:p>
      <w:pPr>
        <w:spacing w:after="60"/>
      </w:pPr>
      <w:r>
        <w:rPr>
          <w:b/>
        </w:rPr>
        <w:t xml:space="preserve">4. </w:t>
      </w:r>
      <w:r>
        <w:t>0.</w:t>
      </w:r>
    </w:p>
    <w:p>
      <w:pPr>
        <w:spacing w:after="60"/>
      </w:pPr>
      <w:r>
        <w:rPr>
          <w:b/>
        </w:rPr>
        <w:t xml:space="preserve">5. </w:t>
      </w:r>
      <w:r>
        <w:t>I counted the set and compared the total to the numeral.</w:t>
      </w:r>
    </w:p>
    <w:p>
      <w:pPr>
        <w:pStyle w:val="Heading2"/>
        <w:keepNext/>
      </w:pPr>
      <w:r>
        <w:rPr>
          <w:color w:val="000000"/>
        </w:rPr>
        <w:t>Higher challenge</w:t>
      </w:r>
    </w:p>
    <w:p>
      <w:pPr>
        <w:spacing w:after="60"/>
      </w:pPr>
      <w:r>
        <w:rPr>
          <w:b/>
        </w:rPr>
        <w:t xml:space="preserve">1. </w:t>
      </w:r>
      <w:r>
        <w:t>Two different sets of four.</w:t>
      </w:r>
    </w:p>
    <w:p>
      <w:pPr>
        <w:spacing w:after="60"/>
      </w:pPr>
      <w:r>
        <w:rPr>
          <w:b/>
        </w:rPr>
        <w:t xml:space="preserve">2. </w:t>
      </w:r>
      <w:r>
        <w:t>Change numeral to 5 or remove two dots.</w:t>
      </w:r>
    </w:p>
    <w:p>
      <w:pPr>
        <w:spacing w:after="60"/>
      </w:pPr>
      <w:r>
        <w:rPr>
          <w:b/>
        </w:rPr>
        <w:t xml:space="preserve">3. </w:t>
      </w:r>
      <w:r>
        <w:t>It has no objects.</w:t>
      </w:r>
    </w:p>
    <w:p>
      <w:pPr>
        <w:spacing w:after="60"/>
      </w:pPr>
      <w:r>
        <w:rPr>
          <w:b/>
        </w:rPr>
        <w:t xml:space="preserve">4. </w:t>
      </w:r>
      <w:r>
        <w:t>Yes, if both have the same number of objects.</w:t>
      </w:r>
    </w:p>
    <w:p>
      <w:pPr>
        <w:spacing w:after="60"/>
      </w:pPr>
      <w:r>
        <w:rPr>
          <w:b/>
        </w:rPr>
        <w:t xml:space="preserve">5. </w:t>
      </w:r>
      <w:r>
        <w:t>Answers vary with an intentional mismatch.</w:t>
      </w:r>
    </w:p>
    <w:p>
      <w:pPr>
        <w:pStyle w:val="Heading2"/>
        <w:keepNext/>
      </w:pPr>
      <w:r>
        <w:rPr>
          <w:color w:val="000000"/>
        </w:rPr>
        <w:t>Reflection after teaching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4"/>
        <w:gridCol w:w="7087"/>
      </w:tblGrid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pupils understood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DC262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Who needs further support</w:t>
            </w:r>
          </w:p>
        </w:tc>
        <w:tc>
          <w:tcPr>
            <w:tcW w:type="dxa" w:w="7087"/>
            <w:shd w:fill="FEF2F2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  <w:tr>
        <w:tc>
          <w:tcPr>
            <w:tcW w:type="dxa" w:w="2494"/>
            <w:shd w:fill="B91C1C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Change before teaching again</w:t>
            </w:r>
          </w:p>
        </w:tc>
        <w:tc>
          <w:tcPr>
            <w:tcW w:type="dxa" w:w="7087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E293B"/>
                <w:sz w:val="18"/>
              </w:rPr>
            </w:r>
          </w:p>
        </w:tc>
      </w:tr>
    </w:tbl>
    <w:sectPr w:rsidR="00FC693F" w:rsidRPr="0006063C" w:rsidSect="00034616">
      <w:pgSz w:w="11909" w:h="16834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