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
        <w:jc w:val="center"/>
      </w:pPr>
      <w:r>
        <w:t>Classify prime, square and cube numbers</w:t>
      </w:r>
    </w:p>
    <w:p>
      <w:pPr>
        <w:spacing w:after="80"/>
        <w:jc w:val="center"/>
      </w:pPr>
      <w:r>
        <w:rPr>
          <w:rFonts w:ascii="Arial" w:hAnsi="Arial"/>
          <w:b/>
          <w:color w:val="2C6E73"/>
          <w:sz w:val="17"/>
        </w:rPr>
        <w:t>Year 6 Maths  |  Autumn  |  Week 5  |  Day 4  |  Editable teacher plan</w:t>
      </w:r>
    </w:p>
    <w:tbl>
      <w:tblPr>
        <w:tblW w:type="auto" w:w="0"/>
        <w:tblLayout w:type="fixed"/>
        <w:tblLook w:firstColumn="1" w:firstRow="1" w:lastColumn="0" w:lastRow="0" w:noHBand="0" w:noVBand="1" w:val="04A0"/>
      </w:tblPr>
      <w:tblGrid>
        <w:gridCol w:w="3657"/>
        <w:gridCol w:w="3657"/>
        <w:gridCol w:w="3657"/>
        <w:gridCol w:w="3657"/>
      </w:tblGrid>
      <w:tr>
        <w:trPr>
          <w:cantSplit/>
        </w:trPr>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Teacher and class</w:t>
            </w:r>
          </w:p>
        </w:tc>
        <w:tc>
          <w:tcPr>
            <w:tcW w:type="dxa" w:w="3657"/>
            <w:shd w:fill="FFFFFF"/>
            <w:vAlign w:val="center"/>
            <w:tcMar>
              <w:top w:w="65" w:type="dxa"/>
              <w:start w:w="85" w:type="dxa"/>
              <w:bottom w:w="65" w:type="dxa"/>
              <w:end w:w="85" w:type="dxa"/>
            </w:tcMar>
          </w:tcPr>
          <w:p>
            <w:pPr>
              <w:spacing w:after="0"/>
              <w:jc w:val="left"/>
            </w:pPr>
            <w:r/>
            <w:r>
              <w:rPr>
                <w:rFonts w:ascii="Arial" w:hAnsi="Arial"/>
                <w:b w:val="0"/>
                <w:color w:val="17253A"/>
                <w:sz w:val="15"/>
              </w:rPr>
              <w:t>[Type here]</w:t>
            </w:r>
          </w:p>
        </w:tc>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Date and time</w:t>
            </w:r>
          </w:p>
        </w:tc>
        <w:tc>
          <w:tcPr>
            <w:tcW w:type="dxa" w:w="3657"/>
            <w:shd w:fill="FFFFFF"/>
            <w:vAlign w:val="center"/>
            <w:tcMar>
              <w:top w:w="65" w:type="dxa"/>
              <w:start w:w="85" w:type="dxa"/>
              <w:bottom w:w="65" w:type="dxa"/>
              <w:end w:w="85" w:type="dxa"/>
            </w:tcMar>
          </w:tcPr>
          <w:p>
            <w:pPr>
              <w:spacing w:after="0"/>
              <w:jc w:val="left"/>
            </w:pPr>
            <w:r/>
            <w:r>
              <w:rPr>
                <w:rFonts w:ascii="Arial" w:hAnsi="Arial"/>
                <w:b w:val="0"/>
                <w:color w:val="17253A"/>
                <w:sz w:val="15"/>
              </w:rPr>
              <w:t>[Type here]</w:t>
            </w:r>
          </w:p>
        </w:tc>
      </w:tr>
      <w:tr>
        <w:trPr>
          <w:cantSplit/>
        </w:trPr>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Learning intention</w:t>
            </w:r>
          </w:p>
        </w:tc>
        <w:tc>
          <w:tcPr>
            <w:tcW w:type="dxa" w:w="3657"/>
            <w:shd w:fill="F1F6F6"/>
            <w:vAlign w:val="center"/>
            <w:tcMar>
              <w:top w:w="65" w:type="dxa"/>
              <w:start w:w="85" w:type="dxa"/>
              <w:bottom w:w="65" w:type="dxa"/>
              <w:end w:w="85" w:type="dxa"/>
            </w:tcMar>
          </w:tcPr>
          <w:p>
            <w:pPr>
              <w:spacing w:after="0"/>
              <w:jc w:val="left"/>
            </w:pPr>
            <w:r/>
            <w:r>
              <w:rPr>
                <w:rFonts w:ascii="Arial" w:hAnsi="Arial"/>
                <w:b w:val="0"/>
                <w:color w:val="17253A"/>
                <w:sz w:val="15"/>
              </w:rPr>
              <w:t>To identify prime, square and cube numbers.</w:t>
            </w:r>
          </w:p>
        </w:tc>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Resources</w:t>
            </w:r>
          </w:p>
        </w:tc>
        <w:tc>
          <w:tcPr>
            <w:tcW w:type="dxa" w:w="3657"/>
            <w:shd w:fill="F1F6F6"/>
            <w:vAlign w:val="center"/>
            <w:tcMar>
              <w:top w:w="65" w:type="dxa"/>
              <w:start w:w="85" w:type="dxa"/>
              <w:bottom w:w="65" w:type="dxa"/>
              <w:end w:w="85" w:type="dxa"/>
            </w:tcMar>
          </w:tcPr>
          <w:p>
            <w:pPr>
              <w:spacing w:after="0"/>
              <w:jc w:val="left"/>
            </w:pPr>
            <w:r/>
            <w:r>
              <w:rPr>
                <w:rFonts w:ascii="Arial" w:hAnsi="Arial"/>
                <w:b w:val="0"/>
                <w:color w:val="17253A"/>
                <w:sz w:val="15"/>
              </w:rPr>
              <w:t>Multiplication grids, factor rainbows, counters, hundred square, mini whiteboards.</w:t>
            </w:r>
          </w:p>
        </w:tc>
      </w:tr>
    </w:tbl>
    <w:p>
      <w:pPr>
        <w:spacing w:before="60" w:after="40"/>
      </w:pPr>
      <w:r>
        <w:rPr>
          <w:rFonts w:ascii="Arial" w:hAnsi="Arial"/>
          <w:b/>
          <w:color w:val="000000"/>
          <w:sz w:val="21"/>
        </w:rPr>
        <w:t>Supply teacher sequence  I do  We do  You do</w:t>
      </w:r>
    </w:p>
    <w:tbl>
      <w:tblPr>
        <w:tblW w:type="auto" w:w="0"/>
        <w:tblLook w:firstColumn="1" w:firstRow="1" w:lastColumn="0" w:lastRow="0" w:noHBand="0" w:noVBand="1" w:val="04A0"/>
      </w:tblPr>
      <w:tblGrid>
        <w:gridCol w:w="2926"/>
        <w:gridCol w:w="2926"/>
        <w:gridCol w:w="2926"/>
        <w:gridCol w:w="2926"/>
        <w:gridCol w:w="2926"/>
      </w:tblGrid>
      <w:tr>
        <w:trPr>
          <w:cantSplit/>
        </w:trPr>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Time</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Phase</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Teacher actions</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Pupil actions and assessment</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Slides</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0-6</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Ready and retrieve</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Check equipment. Share LI. Use: Retrieve this prerequisite: Recall multiplication facts, recognise factor pairs and identify square and cube numbers.</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Mini-whiteboard responses identify the pre-teach group.</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1-2</w:t>
            </w:r>
          </w:p>
        </w:tc>
      </w:tr>
      <w:tr>
        <w:trPr>
          <w:cantSplit/>
        </w:trPr>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6-20</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I do</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Model: Classify 97, 144 and 125. Think aloud: State whether the task concerns factors or multiples. Work systematically from the smallest possible factor or multiple. Check that the list is complete and use it to justify the conclusion. Answer: 97 is prime; 144 is square; 125 is cube.</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Pupils track each step and explain why it follows.</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3-5</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20-34</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We do</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Solve together: Is 91 prime? Explain. Delay the reveal. Expected answer: No, because 91 = 7 x 13.</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All pupils commit to a step before discussion. Check vocabulary and method.</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6-8</w:t>
            </w:r>
          </w:p>
        </w:tc>
      </w:tr>
      <w:tr>
        <w:trPr>
          <w:cantSplit/>
        </w:trPr>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34-54</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You do</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Set the selected worksheet section. Core question: Write the square numbers between 50 and 150.</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Lower uses scaffold and adult prompts. Expected works independently. Higher proves and generalises.</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9-11</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54-60</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Review</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Exit question: Write the square numbers between 50 and 150. Address Miro's error: A prime number has exactly two factors. The number 1 has only one factor.</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Record initials and one precise next step from the work, not confidence alone.</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12</w:t>
            </w:r>
          </w:p>
        </w:tc>
      </w:tr>
    </w:tbl>
    <w:tbl>
      <w:tblPr>
        <w:tblW w:type="auto" w:w="0"/>
        <w:tblLook w:firstColumn="1" w:firstRow="1" w:lastColumn="0" w:lastRow="0" w:noHBand="0" w:noVBand="1" w:val="04A0"/>
      </w:tblPr>
      <w:tblGrid>
        <w:gridCol w:w="4877"/>
        <w:gridCol w:w="4877"/>
        <w:gridCol w:w="4877"/>
      </w:tblGrid>
      <w:tr>
        <w:trPr>
          <w:cantSplit/>
        </w:trPr>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Lower support</w:t>
            </w:r>
          </w:p>
        </w:tc>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Expected</w:t>
            </w:r>
          </w:p>
        </w:tc>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Higher and early finisher</w:t>
            </w:r>
          </w:p>
        </w:tc>
      </w:tr>
      <w:tr>
        <w:trPr>
          <w:cantSplit/>
        </w:trPr>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Smaller step and scaffold: Is 91 prime? Explain. Use a worked first line, vocabulary prompt and adult check after each stage.</w:t>
            </w:r>
          </w:p>
        </w:tc>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Independent core: Write the square numbers between 50 and 150. Require a complete method and check.</w:t>
            </w:r>
          </w:p>
        </w:tc>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Reasoning and depth: Find a number below 200 that is both a square and a cube. Require proof, comparison or generalisation.</w:t>
            </w:r>
          </w:p>
        </w:tc>
      </w:tr>
    </w:tbl>
    <w:tbl>
      <w:tblPr>
        <w:tblW w:type="auto" w:w="0"/>
        <w:tblLook w:firstColumn="1" w:firstRow="1" w:lastColumn="0" w:lastRow="0" w:noHBand="0" w:noVBand="1" w:val="04A0"/>
      </w:tblPr>
      <w:tblGrid>
        <w:gridCol w:w="7315"/>
        <w:gridCol w:w="7315"/>
      </w:tblGrid>
      <w:tr>
        <w:trPr>
          <w:cantSplit/>
        </w:trPr>
        <w:tc>
          <w:tcPr>
            <w:tcW w:type="dxa" w:w="7315"/>
            <w:shd w:fill="FFFFFF"/>
            <w:vAlign w:val="center"/>
            <w:tcMar>
              <w:top w:w="65" w:type="dxa"/>
              <w:start w:w="85" w:type="dxa"/>
              <w:bottom w:w="65" w:type="dxa"/>
              <w:end w:w="85" w:type="dxa"/>
            </w:tcMar>
          </w:tcPr>
          <w:p>
            <w:pPr>
              <w:spacing w:after="0"/>
              <w:jc w:val="left"/>
            </w:pPr>
            <w:r>
              <w:rPr>
                <w:b w:val="0"/>
              </w:rPr>
            </w:r>
            <w:r>
              <w:rPr>
                <w:rFonts w:ascii="Arial" w:hAnsi="Arial"/>
                <w:b w:val="0"/>
                <w:color w:val="17253A"/>
                <w:sz w:val="14"/>
              </w:rPr>
              <w:t>Pre-teach and prior learning</w:t>
              <w:br/>
              <w:t>Secure the vocabulary and prerequisite knowledge needed for classify prime, square and cube numbers. Recall multiplication facts, recognise factor pairs and identify square and cube numbers.</w:t>
            </w:r>
          </w:p>
        </w:tc>
        <w:tc>
          <w:tcPr>
            <w:tcW w:type="dxa" w:w="7315"/>
            <w:shd w:fill="FFFFFF"/>
            <w:vAlign w:val="center"/>
            <w:tcMar>
              <w:top w:w="65" w:type="dxa"/>
              <w:start w:w="85" w:type="dxa"/>
              <w:bottom w:w="65" w:type="dxa"/>
              <w:end w:w="85" w:type="dxa"/>
            </w:tcMar>
          </w:tcPr>
          <w:p>
            <w:pPr>
              <w:spacing w:after="0"/>
              <w:jc w:val="left"/>
            </w:pPr>
            <w:r>
              <w:rPr>
                <w:b w:val="0"/>
              </w:rPr>
            </w:r>
            <w:r>
              <w:rPr>
                <w:rFonts w:ascii="Arial" w:hAnsi="Arial"/>
                <w:b w:val="0"/>
                <w:color w:val="17253A"/>
                <w:sz w:val="14"/>
              </w:rPr>
              <w:t>Vocabulary</w:t>
              <w:br/>
              <w:t>factor, multiple, common, prime, composite, square, cube</w:t>
            </w:r>
          </w:p>
        </w:tc>
      </w:tr>
      <w:tr>
        <w:trPr>
          <w:cantSplit/>
        </w:trPr>
        <w:tc>
          <w:tcPr>
            <w:tcW w:type="dxa" w:w="7315"/>
            <w:shd w:fill="F1F6F6"/>
            <w:vAlign w:val="center"/>
            <w:tcMar>
              <w:top w:w="65" w:type="dxa"/>
              <w:start w:w="85" w:type="dxa"/>
              <w:bottom w:w="65" w:type="dxa"/>
              <w:end w:w="85" w:type="dxa"/>
            </w:tcMar>
          </w:tcPr>
          <w:p>
            <w:pPr>
              <w:spacing w:after="0"/>
              <w:jc w:val="left"/>
            </w:pPr>
            <w:r>
              <w:rPr>
                <w:b w:val="0"/>
              </w:rPr>
            </w:r>
            <w:r>
              <w:rPr>
                <w:rFonts w:ascii="Arial" w:hAnsi="Arial"/>
                <w:b w:val="0"/>
                <w:color w:val="17253A"/>
                <w:sz w:val="14"/>
              </w:rPr>
              <w:t>SEND, EAL, ADHD, ODD and individual needs</w:t>
              <w:br/>
              <w:t>[Add initials, triggers, communication needs, reasonable adjustments, movement or low-arousal choices, adult prompts and adapted recording.]</w:t>
            </w:r>
          </w:p>
        </w:tc>
        <w:tc>
          <w:tcPr>
            <w:tcW w:type="dxa" w:w="7315"/>
            <w:shd w:fill="F1F6F6"/>
            <w:vAlign w:val="center"/>
            <w:tcMar>
              <w:top w:w="65" w:type="dxa"/>
              <w:start w:w="85" w:type="dxa"/>
              <w:bottom w:w="65" w:type="dxa"/>
              <w:end w:w="85" w:type="dxa"/>
            </w:tcMar>
          </w:tcPr>
          <w:p>
            <w:pPr>
              <w:spacing w:after="0"/>
              <w:jc w:val="left"/>
            </w:pPr>
            <w:r>
              <w:rPr>
                <w:b w:val="0"/>
              </w:rPr>
            </w:r>
            <w:r>
              <w:rPr>
                <w:rFonts w:ascii="Arial" w:hAnsi="Arial"/>
                <w:b w:val="0"/>
                <w:color w:val="17253A"/>
                <w:sz w:val="14"/>
              </w:rPr>
              <w:t>Assessment notes and next steps</w:t>
              <w:br/>
              <w:t>[Add who is secure, the misconception seen, evidence from independent work and the exact next teaching step.]</w:t>
            </w:r>
          </w:p>
        </w:tc>
      </w:tr>
    </w:tbl>
    <w:p>
      <w:pPr>
        <w:spacing w:before="40" w:after="0"/>
        <w:jc w:val="center"/>
      </w:pPr>
      <w:r>
        <w:rPr>
          <w:rFonts w:ascii="Arial" w:hAnsi="Arial"/>
          <w:color w:val="5F6E7C"/>
          <w:sz w:val="14"/>
        </w:rPr>
        <w:t>Misconception to watch: Miro says 1 is prime because it has no factor pairs apart from itself.  |  Correction: A prime number has exactly two factors. The number 1 has only one factor.</w:t>
      </w:r>
    </w:p>
    <w:sectPr w:rsidR="00FC693F" w:rsidRPr="0006063C" w:rsidSect="00034616">
      <w:pgSz w:w="15840" w:h="12240" w:orient="landscape"/>
      <w:pgMar w:top="518" w:right="605" w:bottom="490" w:left="60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