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Year 6 Maths Spring Term Evaluation Record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Teacher and class: [Type here]    Assessment date: [Type here]    Review date: [Type here]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cantSplit/>
        </w:trPr>
        <w:tc>
          <w:tcPr>
            <w:tcW w:type="dxa" w:w="3672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Lower  0-15 / 40</w:t>
            </w:r>
          </w:p>
        </w:tc>
        <w:tc>
          <w:tcPr>
            <w:tcW w:type="dxa" w:w="3672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Cuspy  16-23 / 40</w:t>
            </w:r>
          </w:p>
        </w:tc>
        <w:tc>
          <w:tcPr>
            <w:tcW w:type="dxa" w:w="3672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 24-31 / 40</w:t>
            </w:r>
          </w:p>
        </w:tc>
        <w:tc>
          <w:tcPr>
            <w:tcW w:type="dxa" w:w="3672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Higher  32-40 / 40</w:t>
            </w:r>
          </w:p>
        </w:tc>
      </w:tr>
      <w:tr>
        <w:trPr>
          <w:cantSplit/>
        </w:trPr>
        <w:tc>
          <w:tcPr>
            <w:tcW w:type="dxa" w:w="367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Immediate structured intervention. Re-teach prerequisite concepts with concrete and visual representations.</w:t>
            </w:r>
          </w:p>
        </w:tc>
        <w:tc>
          <w:tcPr>
            <w:tcW w:type="dxa" w:w="3672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Targeted short intervention. Address two or three misconceptions, then reassess within two weeks.</w:t>
            </w:r>
          </w:p>
        </w:tc>
        <w:tc>
          <w:tcPr>
            <w:tcW w:type="dxa" w:w="367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Secure core understanding. Revisit any domain below half marks and continue mixed retrieval.</w:t>
            </w:r>
          </w:p>
        </w:tc>
        <w:tc>
          <w:tcPr>
            <w:tcW w:type="dxa" w:w="3672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Strong understanding. Use proof, generalisation and unfamiliar multi-step problems for depth.</w:t>
            </w:r>
          </w:p>
        </w:tc>
      </w:tr>
    </w:tbl>
    <w:p>
      <w:pPr>
        <w:spacing w:before="60" w:after="60"/>
      </w:pPr>
      <w:r>
        <w:rPr>
          <w:rFonts w:ascii="Arial" w:hAnsi="Arial"/>
          <w:color w:val="5F6E7C"/>
          <w:sz w:val="15"/>
        </w:rPr>
        <w:t>Use the score band as a starting point. Confirm the group from question-level evidence, classroom work and reasonable adjustments. Record one precise intervention and review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  <w:cantSplit/>
        </w:trPr>
        <w:tc>
          <w:tcPr>
            <w:tcW w:type="dxa" w:w="1584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Pupil name</w:t>
            </w:r>
          </w:p>
        </w:tc>
        <w:tc>
          <w:tcPr>
            <w:tcW w:type="dxa" w:w="93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Score /40</w:t>
            </w:r>
          </w:p>
        </w:tc>
        <w:tc>
          <w:tcPr>
            <w:tcW w:type="dxa" w:w="1008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Band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Secure knowledge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Misconception or gap</w:t>
            </w:r>
          </w:p>
        </w:tc>
        <w:tc>
          <w:tcPr>
            <w:tcW w:type="dxa" w:w="3528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Intervention and adult support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Review evidence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[3]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[4]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[5]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[6]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[7]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[8]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[9]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[10]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[11]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[12]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[13]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[14]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[15]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26"/>
        </w:rPr>
        <w:t>Year 6 Maths Spring Term Evaluation Record  pupils 16-30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  <w:cantSplit/>
        </w:trPr>
        <w:tc>
          <w:tcPr>
            <w:tcW w:type="dxa" w:w="1584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Pupil name</w:t>
            </w:r>
          </w:p>
        </w:tc>
        <w:tc>
          <w:tcPr>
            <w:tcW w:type="dxa" w:w="93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Score /40</w:t>
            </w:r>
          </w:p>
        </w:tc>
        <w:tc>
          <w:tcPr>
            <w:tcW w:type="dxa" w:w="1008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Band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Secure knowledge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Misconception or gap</w:t>
            </w:r>
          </w:p>
        </w:tc>
        <w:tc>
          <w:tcPr>
            <w:tcW w:type="dxa" w:w="3528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Intervention and adult support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Review evidence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[16]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[17]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[18]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[19]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[20]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[21]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[22]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[23]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[24]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[25]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[26]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[27]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[28]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[29]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[30]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